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监测窗口：2026年10月9日至2026年10月23日　　本期信息截至2026年10月23日</w:t>
      </w:r>
    </w:p>
    <w:p>
      <w:pPr>
        <w:spacing w:lineRule="exact" w:line="560" w:before="0" w:after="0"/>
        <w:jc w:val="center"/>
      </w:pPr>
      <w:r>
        <w:rPr>
          <w:rFonts w:ascii="楷体_GB2312" w:hAnsi="楷体_GB2312" w:eastAsia="楷体_GB2312"/>
          <w:b w:val="0"/>
          <w:color w:val="606060"/>
          <w:sz w:val="28"/>
        </w:rPr>
        <w:t>报告模式：演示/工作稿（含待核验条目）　　生成时间：2026-10-23 06:00</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10 条尚未完成原文核验，全部条目已逐条标注「待核验·演示内容」，未经核验不得对外作为当期监管动态引用；切换正式模式后这 10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本报告从2026年10月9日至2026年10月23日（回溯 15 天）窗口内的 10 条情报中，按相关度评分（阈值 55 分）自动选取最相关的 6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4 条：其中未核验/演示条目 0 条、低于相关度阈值 4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2 条、按上下文推断 4 条、来源未知（旧条目默认） 0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10 条，入选 6 条，平均相关度 61.7 分；其中已核验 0 条、未核验/演示 10 条。按类型分布：征求意见5条、行业动态1条。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三、人工智能与算法监管动态（2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67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（二）全国网络安全标准化技术委员会2026年第一次全体委员会议在珠海召开［相关度 62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四、数据要素与个人信息保护监管动态（2 条）</w:t>
      </w:r>
    </w:p>
    <w:p>
      <w:pPr>
        <w:spacing w:lineRule="exact" w:line="560" w:before="0" w:after="0"/>
        <w:jc w:val="both"/>
      </w:pPr>
      <w:r>
        <w:rPr>
          <w:rFonts w:ascii="楷体_GB2312" w:hAnsi="楷体_GB2312" w:eastAsia="楷体_GB2312"/>
          <w:b w:val="0"/>
          <w:sz w:val="32"/>
        </w:rPr>
        <w:t>（一）2026-10-22 “网络安全国家标准进中小学校园”活动在北京一零一中未来科学城学校举办［相关度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“网络安全国家标准进中小学校园”活动在北京一零一中未来科学城学校举办</w:t>
        <w:br/>
        <w:t>发布时间：</w:t>
        <w:br/>
        <w:t>2026-10-22</w:t>
        <w:br/>
        <w:t>2026年10月20日，由全国网络安全标准化技术委员会秘书处、北京市昌平区委网信办联合主办，北京一零一中未来科学城学校、CCIA数据安全工作委员会协办的“网络安全国家标准进中小学校园”主题活动在北京一零一中未来科学城学校举办。北京市昌平区委网信办主任毕尧、中国电子技术标准化研究院网安中心副主任周睿康参加会议并致辞。</w:t>
        <w:br/>
        <w:t>在活动专题分享和知识科普环节，北京市公安局昌平分局网安支队综合中队副中队长刘仔健以《知网络风险，守青春底线》为题进行分享；全国网安标委秘书处、CCIA数据安全工作委员会专家何延哲作《国家标准知识科普和未成年人网络保护标准介绍》；中国科学院信息工程研究所专家李敏围绕《产业联盟推动未成年人反“开盒”保护的实践与探索》作交流；北京一零一中未来科学城学校课程教学中心干部、信息技术教师宋媛媛分享了学校在学生个人信息保护方面的实践举措。</w:t>
        <w:br/>
        <w:t>在“密码训练营”互动游戏环节，志愿者讲解了游戏玩法和规则。各学生小组以2V2的形式开展了“破解5位十进制密码”的挑战，获胜队伍学生代表结合游戏体验，分享了心得体会和对网络安全的认识。</w:t>
        <w:br/>
        <w:t>本次活动采取“线下讲座+科普互动游戏”形式，将网络安全国家标准知识普及与互动体验相结合，对普及网络安全国家标准知识、提升未成年人网络安全意识和个人信息自我保护能力具有积极作用。昌平区委网信办、北京市公安局昌平分局、教育部教育管理信息中心、中国科学院信息工程研究所、中国教育电视台等单位有关同志，以及北京一零一中未来科学城学校初中部约140名学生及教师、专家参加活动。</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808080"/>
          <w:sz w:val="32"/>
        </w:rPr>
        <w:t>本条暂无可引用的原文引文（待核验阶段不引用未取得的文本）。</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标准动态，2026-10-22 发布），https://www.tc260.org.cn/tc260/xwdt1/202610/5ed247fd520f4130ae1413ff0232fa60.shtml（原文直链）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0" w:after="0"/>
        <w:jc w:val="both"/>
      </w:pPr>
      <w:r>
        <w:rPr>
          <w:rFonts w:ascii="楷体_GB2312" w:hAnsi="楷体_GB2312" w:eastAsia="楷体_GB2312"/>
          <w:b w:val="0"/>
          <w:sz w:val="32"/>
        </w:rPr>
        <w:t>（二）全国网络安全标准化技术委员会2025年第一次全体委员会议在苏州召开［相关度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全国网络安全标准化技术委员会2025年第一次全体委员会议在苏州召开</w:t>
        <w:br/>
        <w:t>发布时间：</w:t>
        <w:br/>
        <w:t>2025-04-17</w:t>
        <w:br/>
        <w:t>2025年4月14日，全国网络安全标准化技术委员会2025年第一次全体委员会议在江苏省苏州市召开。中央网信办副主任、国家网信办副主任、网安标委主任委员王京涛出席会议并讲话。</w:t>
        <w:br/>
        <w:t>会议指出，2024年，在市场监管总局、国家标准委的有力指导下，在有关主管部门的大力支持下，在各位委员专家、工作组、秘书处的共同努力下，网安标委落实大网络安全工作格局要求，实现网络安全、数据安全、内容安全三个层面的全覆盖，在机制建设、重点标准研制、国际标准化等方面取得了积极成效，</w:t>
        <w:br/>
        <w:t>会议强调，2025年，网安标委要深入学习贯彻习近平总书记关于网络强国的重要思想，高起点、高标准、高质量谋划网络安全标准化工作。一是要加大网络安全重点标准研制力度，围绕网络安全管理工作亟需，加快电子产品信息清除、儿童手表安全等强制性国家标准研制，加强智能驾驶安全、低空经济安全、抗量子密码等标准前瞻性研究。二是要大力提升网络安全标准应用实施效果，将网络安全管理工作和标准化工作紧密结合，加快网络安全产品互联互通系列标准研制和落地实施，推动标准在重点行业和典型场景的试点和应用。三是要扩大网络安全国际标准话语权，通过举办SC27国际会议，进一步扩大我国网络安全国际标准化朋友圈。四是要持续强化网安标委专业技术能力建设，各委员和工作组要加大技术研究和标准储备，秘书处要发挥好桥梁纽带作用，有效凝聚网络安全标准化工作合力。</w:t>
        <w:br/>
        <w:t>会议审议通过了网安标委2024年工作总结和2025年工作要点，听取了网安标委2024年度财务报告、各工作组2024年工作总结和2025年工作计划汇报，对2024年度网安标委标准化工作先进个人进行了表彰。</w:t>
        <w:br/>
        <w:t>国家标准委有关负责同志到会指导，网安标委副主任委员、秘书长、副秘书长以及各位委员、各工作组组长和副组长、相关组织代表参加会议。</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2025年第一次全体委员会议的新闻通报，非具体法规或标准征求意见稿，未列出任何条款化义务。会议指出2025年工作要点包括：加大网络安全重点标准研制力度（加快电子产品信息清除、儿童手表安全等强制性国家标准研制，加强智能驾驶安全、低空经济安全、抗量子密码等标准前瞻性研究）；提升网络安全标准应用实施效果（加快网络安全产品互联互通系列标准研制和落地实施，推动标准在重点行业和典型场景的试点和应用）；扩大网络安全国际标准话语权；强化专业技术能力建设。</w:t>
      </w:r>
    </w:p>
    <w:p>
      <w:pPr>
        <w:spacing w:lineRule="exact" w:line="560" w:before="0" w:after="0"/>
        <w:ind w:firstLine="640"/>
        <w:jc w:val="both"/>
      </w:pPr>
      <w:r>
        <w:rPr>
          <w:rFonts w:ascii="仿宋_GB2312" w:hAnsi="仿宋_GB2312" w:eastAsia="仿宋_GB2312"/>
          <w:b w:val="0"/>
          <w:sz w:val="32"/>
        </w:rPr>
        <w:t>会议审议通过了网安标委2024年工作总结和2025年工作要点，属标准化工作部署，不直接设定企业合规义务；其中'重点行业和典型场景的试点和应用'与'网络安全产品互联互通'方向，与本公司信息化·网安业务线可能存在的产品互联互通与安全标准适配需求相关，但本条未点名任何行业、场景或企业，具体适用关系待相关标准正式发布后确认。</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若网安标委后续就'网络安全产品互联互通系列标准'或强制性国家标准正式发布征求意见稿/标准文本，且其适用范围覆盖本公司数字建造平台（星环）、投建营一体化平台（星枢）等产品或所服务的重点行业场景，则可能对产品互联互通能力、安全功能配置提出适配要求；本条本身仅为会议通报，未设定生效义务，对数据要素、信息化·网安业务线的具体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 持续跟踪网安标委'网络安全产品互联互通系列标准'及电子产品信息清除等强制性国家标准的研制进展，在正式征求意见稿发布时启动内部评估；2) 结合信息化·网安业务线，梳理星环、星枢等平台的互联互通接口与安全能力现状，为标准落地预留改造空间；3) 数据要素相关业务暂无需依据本条调整，待具体标准文本明确数据安全要求后再行判断。</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“加快电子产品信息清除、儿童手表安全等强制性国家标准研制，加强智能驾驶安全、低空经济安全、抗量子密码等标准前瞻性研究”（会议强调部分第二点（2025年工作要点第一项））</w:t>
      </w:r>
    </w:p>
    <w:p>
      <w:pPr>
        <w:spacing w:lineRule="exact" w:line="560" w:before="0" w:after="0"/>
        <w:ind w:firstLine="640"/>
        <w:jc w:val="both"/>
      </w:pPr>
      <w:r>
        <w:rPr>
          <w:rFonts w:ascii="仿宋_GB2312" w:hAnsi="仿宋_GB2312" w:eastAsia="仿宋_GB2312"/>
          <w:b w:val="0"/>
          <w:color w:val="2F5F40"/>
          <w:sz w:val="32"/>
        </w:rPr>
        <w:t>“加快网络安全产品互联互通系列标准研制和落地实施，推动标准在重点行业和典型场景的试点和应用”（会议强调部分第三点（2025年工作要点第二项））</w:t>
      </w:r>
    </w:p>
    <w:p>
      <w:pPr>
        <w:spacing w:lineRule="exact" w:line="560" w:before="0" w:after="0"/>
        <w:ind w:firstLine="640"/>
        <w:jc w:val="both"/>
      </w:pPr>
      <w:r>
        <w:rPr>
          <w:rFonts w:ascii="仿宋_GB2312" w:hAnsi="仿宋_GB2312" w:eastAsia="仿宋_GB2312"/>
          <w:b w:val="0"/>
          <w:color w:val="2F5F40"/>
          <w:sz w:val="32"/>
        </w:rPr>
        <w:t>“会议审议通过了网安标委2024年工作总结和2025年工作要点”（会议审议事项段落）</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标准动态，2026-10-19 发布），https://www.tc260.org.cn/tc260/xwdt1/202504/06f1f18511474d2885d622b05616f2dc.shtml（原文直链）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五、网络与数据安全监管动态（1 条）</w:t>
      </w:r>
    </w:p>
    <w:p>
      <w:pPr>
        <w:spacing w:lineRule="exact" w:line="560" w:before="0" w:after="0"/>
        <w:jc w:val="both"/>
      </w:pPr>
      <w:r>
        <w:rPr>
          <w:rFonts w:ascii="楷体_GB2312" w:hAnsi="楷体_GB2312" w:eastAsia="楷体_GB2312"/>
          <w:b w:val="0"/>
          <w:sz w:val="32"/>
        </w:rPr>
        <w:t>（一）2026-10-13 关于下达25项网络安全推荐性国家标准计划的通知［相关度 56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通知公告</w:t>
        <w:br/>
        <w:t>关于下达25项网络安全推荐性国家标准计划的通知</w:t>
        <w:br/>
        <w:t>发布时间：</w:t>
        <w:br/>
        <w:t>2026-10-13</w:t>
        <w:br/>
        <w:t>各工作组、各项目牵头承担单位：</w:t>
        <w:br/>
        <w:t>近日，国家标准化管理委员会下达的推荐性国家标准计划，其中《网络安全技术 JSON密码使用语法规范》等25项国家标准由全国网络安全标准化技术委员会归口管理，详细信息见附件。</w:t>
        <w:br/>
        <w:t>请项目所属工作组制定项目推进计划，并督促项目牵头承担单位按计划抓紧落实，在计划执行中要加强协调，广泛征求意见，确保标准质量和水平，按要求完成国家标准制修订任务。</w:t>
        <w:br/>
        <w:t>附件：25项网络安全推荐性国家标准计划项目清单</w:t>
        <w:br/>
        <w:t>全国网络安全标准化技术委员会秘书处</w:t>
        <w:br/>
        <w:t>2026年10月13日</w:t>
        <w:br/>
        <w:t>附件：</w:t>
        <w:br/>
        <w:t>网安秘字〔2026〕121号——关于下达25项网络安全推荐性国家标准计划的通知.pdf</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本条为全国网络安全标准化技术委员会秘书处发布的《关于下达25项网络安全推荐性国家标准计划的通知》，属标准计划下达类征求意见/推进通知，明确《网络安全技术 JSON密码使用语法规范》等25项国家标准由全国网络安全标准化技术委员会归口管理，并要求项目所属工作组制定项目推进计划、督促牵头承担单位抓紧落实、加强协调、广泛征求意见。</w:t>
      </w:r>
    </w:p>
    <w:p>
      <w:pPr>
        <w:spacing w:lineRule="exact" w:line="560" w:before="0" w:after="0"/>
        <w:ind w:firstLine="640"/>
        <w:jc w:val="both"/>
      </w:pPr>
      <w:r>
        <w:rPr>
          <w:rFonts w:ascii="仿宋_GB2312" w:hAnsi="仿宋_GB2312" w:eastAsia="仿宋_GB2312"/>
          <w:b w:val="0"/>
          <w:sz w:val="32"/>
        </w:rPr>
        <w:t>通知正文未列出25项标准的具体名称、内容、适用范围与实施安排，仅以附件《25项网络安全推荐性国家标准计划项目清单》形式给出详细信息，因此无法从本条原文判断具体标准对密码使用、数据接口或网络安全管理提出的具体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命中信息化·网安业务线：若后续附件清单中的标准（如涉及JSON密码使用语法等密码与数据接口类标准）在正式发布并适用后，公司数字建造平台、投建营一体化平台、产业互联网·招采及AI应用、数据要素相关产品的密码使用与数据接口设计，可能被要求对照标准进行合规评估与改造；触发条件为该批标准正式发布并对公司相关产品适用，具体标准条目、适用范围与施行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关注该通知附件《25项网络安全推荐性国家标准计划项目清单》以确认与公司业务相关的标准项目及牵头单位；在相关标准正式发布前，对涉及密码使用、数据接口的信息化·网安相关产品线进行现状梳理，为后续标准符合性评估预留改造窗口；同时跟踪全国网络安全标准化技术委员会的征求意见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“近日，国家标准化管理委员会下达的推荐性国家标准计划，其中《网络安全技术 JSON密码使用语法规范》等25项国家标准由全国网络安全标准化技术委员会归口管理，详细信息见附件。”（通知正文第一段）</w:t>
      </w:r>
    </w:p>
    <w:p>
      <w:pPr>
        <w:spacing w:lineRule="exact" w:line="560" w:before="0" w:after="0"/>
        <w:ind w:firstLine="640"/>
        <w:jc w:val="both"/>
      </w:pPr>
      <w:r>
        <w:rPr>
          <w:rFonts w:ascii="仿宋_GB2312" w:hAnsi="仿宋_GB2312" w:eastAsia="仿宋_GB2312"/>
          <w:b w:val="0"/>
          <w:color w:val="2F5F40"/>
          <w:sz w:val="32"/>
        </w:rPr>
        <w:t>“请项目所属工作组制定项目推进计划，并督促项目牵头承担单位按计划抓紧落实，在计划执行中要加强协调，广泛征求意见，确保标准质量和水平，按要求完成国家标准制修订任务。”（通知正文第二段）</w:t>
      </w:r>
    </w:p>
    <w:p>
      <w:pPr>
        <w:spacing w:lineRule="exact" w:line="560" w:before="0" w:after="0"/>
        <w:ind w:firstLine="640"/>
        <w:jc w:val="both"/>
      </w:pPr>
      <w:r>
        <w:rPr>
          <w:rFonts w:ascii="仿宋_GB2312" w:hAnsi="仿宋_GB2312" w:eastAsia="仿宋_GB2312"/>
          <w:b w:val="0"/>
          <w:color w:val="2F5F40"/>
          <w:sz w:val="32"/>
        </w:rPr>
        <w:t>“附件：25项网络安全推荐性国家标准计划项目清单”（正文附件说明）</w:t>
      </w:r>
    </w:p>
    <w:p>
      <w:pPr>
        <w:spacing w:lineRule="exact" w:line="560" w:before="0" w:after="0"/>
        <w:ind w:firstLine="640"/>
        <w:jc w:val="both"/>
      </w:pPr>
      <w:r>
        <w:rPr>
          <w:rFonts w:ascii="楷体_GB2312" w:hAnsi="楷体_GB2312" w:eastAsia="楷体_GB2312"/>
          <w:b w:val="0"/>
          <w:color w:val="404040"/>
          <w:sz w:val="32"/>
        </w:rPr>
        <w:t>适用性预判：全国适用 · 指引性要求（其中《网络安全技术 JSON密码使用语法规范》等25项国家标准由全国网络安全标准化技术委员会归口管理）（模型预判，以原文为准，可人工更正）</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标准动态，2026-10-13 发布），https://www.tc260.org.cn/tc260/tzgg/202610/2ac025d624a046199d8895fd6eeee5aa.shtml（原文直链）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六、平台经济与市场秩序监管动态（1 条）</w:t>
      </w:r>
    </w:p>
    <w:p>
      <w:pPr>
        <w:spacing w:lineRule="exact" w:line="560" w:before="0" w:after="0"/>
        <w:jc w:val="both"/>
      </w:pPr>
      <w:r>
        <w:rPr>
          <w:rFonts w:ascii="楷体_GB2312" w:hAnsi="楷体_GB2312" w:eastAsia="楷体_GB2312"/>
          <w:b w:val="0"/>
          <w:sz w:val="32"/>
        </w:rPr>
        <w:t>（一）推荐优艾智合港股IPO获中国证监会备案［相关度 57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优艾智合港股IPO获中国证监会备案</w:t>
        <w:br/>
        <w:t>澎湃新闻首席记者 李晓青</w:t>
        <w:br/>
        <w:t>2026-10-17 09:34</w:t>
        <w:br/>
        <w:t>来源：澎湃新闻</w:t>
        <w:br/>
        <w:t>∙ IPO最前线 &gt;</w:t>
        <w:br/>
        <w:t>听全文</w:t>
        <w:br/>
        <w:t>字号</w:t>
        <w:br/>
        <w:t>10月16日，中国证监会发布《关于合肥优艾智合机器人股份有限公司境外发行上市及境内未上市股份“全流通”的备案通知书》。</w:t>
        <w:br/>
        <w:t>根据《通知书》内容，优艾智合拟发行不超过49477800股境外上市普通股并在香港联合交易所上市，公司37名股东拟将所持合计243804260股境内未上市股份转为境外上市股份，并在香港联合交易所上市流通。</w:t>
        <w:br/>
        <w:t>2025年9月26日，优艾智合正式向港交所递交招股书，申请通过港交所18C章程在主板上市，中金公司担任独家保荐人。若顺利挂牌，优艾智合将成为港股“移动操作机器人第一股”。</w:t>
        <w:br/>
        <w:t>资料显示，优艾智合成立于2017年，总部位于合肥肥东，是一家工业具身智能科技公司。公司以“一脑多态”为核心架构，为半导体、能源化工、锂电、3C等行业提供具备感知、移动与操作能力的机器人产品及解决方案。</w:t>
        <w:br/>
        <w:t>公司援引弗若斯特沙利文报告，按2024年收入计，优艾智合在全球工业移动操作机器人公司中排名第一，市场份额6.1%；在中国市场的份额为12%。</w:t>
        <w:br/>
        <w:t>从财务数据来看，优艾智合的营收在持续增长，但亏损仍在持续。</w:t>
        <w:br/>
        <w:t>2023年、2024年、2025年营收分别为1.08亿元、2.55亿元、3.4亿元；毛利分别为2814万元、8963万元、1.24亿元；毛利率分别为26.1%、35.2%、36.5%。</w:t>
        <w:br/>
        <w:t>优艾智合收入分为工业物流和巡检运维两个部分。其中，2025年来自工业物流收入为2亿元，占比为59.4%；来自巡检运维收入为1.38亿元，占比为40.6%。</w:t>
        <w:br/>
        <w:t>公司同期的年内亏损分别为2.59亿元、2亿元、3.84亿元；年内亏损率分别为241.5%、78.5%、113.1%；公司经调整净亏损分别为1.31亿元、8119万元、1.06亿元；经调整净亏损率分别为122%、31.9%、31.2%。</w:t>
        <w:br/>
        <w:t>截至2025年12月31日，优艾智合持有的现金及现金等价物为2.43亿元。</w:t>
        <w:br/>
        <w:t>从招股书披露的信息来看，公司客户集中度呈现明显上升趋势。</w:t>
        <w:br/>
        <w:t>2023年至2025年，公司来自最大客户的收入贡献率从10.5%升至20.4%，前五大客户收入贡献率从28.3%攀升至35.8%，公司对主要客户的依赖度在不断增加。</w:t>
        <w:br/>
        <w:t>与客户集中度上升形成对比的是，公司供应商集中度呈现下降趋势。2023年至2025年，公司向最大供应商采购额占比从13.1%降至8.2%，前五大供应商采购额占比从33.2%降至19.4%。</w:t>
        <w:br/>
        <w:t>股东方面，公司创始人、执行董事、首席执行官、董事会主席张朝辉；联合创始人、执行董事兼首席技术官边旭、梅雪松及张朝辉控制的西安优艾等为一致行动人，合计持股约30.24%，构成单一最大股东集团。</w:t>
        <w:br/>
        <w:t>责任编辑：郑景昕</w:t>
        <w:br/>
        <w:t>图片编辑：蒋立冬</w:t>
        <w:br/>
        <w:t>校对：张亮亮</w:t>
        <w:br/>
        <w:t>澎湃新闻报料：021-962866</w:t>
        <w:br/>
        <w:t>澎湃新闻，未经授权不得转载</w:t>
        <w:br/>
        <w:t>+1</w:t>
        <w:br/>
        <w:t>收藏</w:t>
        <w:br/>
        <w:t>我要举报</w:t>
        <w:br/>
        <w:t>#优艾智合#IPO</w:t>
        <w:br/>
        <w:t>查看更多</w:t>
        <w:br/>
        <w:t>扫码下载澎湃新闻客户端</w:t>
        <w:br/>
        <w:t>Android版</w:t>
        <w:br/>
        <w:t>iPhone版</w:t>
        <w:br/>
        <w:t>iPad版</w:t>
        <w:br/>
        <w:t>关于澎湃</w:t>
        <w:br/>
        <w:t>加入澎湃</w:t>
        <w:br/>
        <w:t>联系我们</w:t>
        <w:br/>
        <w:t>广告合作</w:t>
        <w:br/>
        <w:t>法律声明</w:t>
        <w:br/>
        <w:t>隐私政策</w:t>
        <w:br/>
        <w:t>澎湃矩阵</w:t>
        <w:br/>
        <w:t>澎湃新闻微博</w:t>
        <w:br/>
        <w:t>澎湃新闻公众号</w:t>
        <w:br/>
        <w:t>澎湃新闻抖音号</w:t>
        <w:br/>
        <w:t>派生万物开放平台</w:t>
        <w:br/>
        <w:t>IP SHANGHAI</w:t>
        <w:br/>
        <w:t>SIXTH TONE</w:t>
        <w:br/>
        <w:t>新闻报料</w:t>
        <w:br/>
        <w:t>报料热线: 021-962866</w:t>
        <w:br/>
        <w:t>报料邮箱: news@thepaper.cn</w:t>
        <w:br/>
        <w:t>沪ICP备14003370号</w:t>
        <w:br/>
        <w:t>沪公网安备31010602008124号</w:t>
        <w:br/>
        <w:t>互联网新闻信息服务许可证：31120170006</w:t>
        <w:br/>
        <w:t>增值电信业务经营许可证：沪B2-2017116</w:t>
        <w:br/>
        <w:t>© 2014-2026 上海东方报业有限公司</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境外发行上市备案类行业动态：中国证监会于10月16日发布《关于合肥优艾智合机器人股份有限公司境外发行上市及境内未上市股份“全流通”的备案通知书》，优艾智合拟发行不超过49477800股境外上市普通股并在香港联合交易所上市，37名股东拟将合计243804260股境内未上市股份转为境外上市股份并在港交所上市流通。该案例显示，境内企业赴港上市及境内未上市股份“全流通”需经中国证监会备案，属可参照的境外发行上市路径样本。对本公司命中的涉外合规业务线而言，本条提供的是一则同业境外上市备案事实，未涉及具体备案条件、审核标准或合规义务条款，不能据此推导对本公司的直接合规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待确认：若本公司或所属集团未来筹划境外发行上市、或涉及境内未上市股份转为境外上市股份并流通，则可能落入需向中国证监会履行备案程序的同类情形，涉外合规业务线需前置评估备案要求；若本公司业务不涉及境外发行上市及“全流通”安排，本条仅为行业动态，对数字建造平台、投建营一体化平台、产业互联网·招采、数据要素、AI应用、信息化·网安等业务线不构成直接触发。原文未涉及上述业务线的具体监管要求，相关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涉外合规条线持续跟踪中国证监会境外发行上市及“全流通”备案的同类案例与公开信息，作为境外资本运作合规的前瞻性参考；如公司或所属集团出现境外发行上市或股份“全流通”筹划意向，应提前核实备案适用条件与申报要求（原文未载明具体条件，需另行依据官方规定确认）；本条不涉及数据要素、招采等业务线的直接合规动作，暂无需据此调整相关业务流程。</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“10月16日，中国证监会发布《关于合肥优艾智合机器人股份有限公司境外发行上市及境内未上市股份“全流通”的备案通知书》。”（正文第一段）</w:t>
      </w:r>
    </w:p>
    <w:p>
      <w:pPr>
        <w:spacing w:lineRule="exact" w:line="560" w:before="0" w:after="0"/>
        <w:ind w:firstLine="640"/>
        <w:jc w:val="both"/>
      </w:pPr>
      <w:r>
        <w:rPr>
          <w:rFonts w:ascii="仿宋_GB2312" w:hAnsi="仿宋_GB2312" w:eastAsia="仿宋_GB2312"/>
          <w:b w:val="0"/>
          <w:color w:val="2F5F40"/>
          <w:sz w:val="32"/>
        </w:rPr>
        <w:t>“优艾智合拟发行不超过49477800股境外上市普通股并在香港联合交易所上市，公司37名股东拟将所持合计243804260股境内未上市股份转为境外上市股份，并在香港联合交易所上市流通。”（正文第二段）</w:t>
      </w:r>
    </w:p>
    <w:p>
      <w:pPr>
        <w:spacing w:lineRule="exact" w:line="560" w:before="0" w:after="0"/>
        <w:ind w:firstLine="640"/>
        <w:jc w:val="both"/>
      </w:pPr>
      <w:r>
        <w:rPr>
          <w:rFonts w:ascii="仿宋_GB2312" w:hAnsi="仿宋_GB2312" w:eastAsia="仿宋_GB2312"/>
          <w:b w:val="0"/>
          <w:color w:val="2F5F40"/>
          <w:sz w:val="32"/>
        </w:rPr>
        <w:t>“2025年9月26日，优艾智合正式向港交所递交招股书，申请通过港交所18C章程在主板上市，中金公司担任独家保荐人。”（正文第三段）</w:t>
      </w:r>
    </w:p>
    <w:p>
      <w:pPr>
        <w:spacing w:lineRule="exact" w:line="560" w:before="0" w:after="0"/>
        <w:ind w:firstLine="560"/>
        <w:jc w:val="both"/>
      </w:pPr>
      <w:r>
        <w:rPr>
          <w:rFonts w:ascii="仿宋_GB2312" w:hAnsi="仿宋_GB2312" w:eastAsia="仿宋_GB2312"/>
          <w:b w:val="0"/>
          <w:color w:val="606060"/>
          <w:sz w:val="28"/>
        </w:rPr>
        <w:t>来源：澎湃新闻（澎湃 › 财经，2026-10-17 发布），https://www.thepaper.cn/newsDetail_forward_34264414（原文直链）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2.跟踪落实「全国网络安全标准化技术委员会2025年第一次全体委员」：1) 持续跟踪网安标委'网络安全产品互联互通系列标准'及电子产品信息清除等强制性国家标准的研制进展，在正式征求意见稿发布时启动内部评估；2) 结合信息化·网安业务线，梳理星环、…</w:t>
      </w:r>
    </w:p>
    <w:p>
      <w:pPr>
        <w:spacing w:lineRule="exact" w:line="560" w:before="0" w:after="0"/>
        <w:ind w:firstLine="640"/>
        <w:jc w:val="both"/>
      </w:pPr>
      <w:r>
        <w:rPr>
          <w:rFonts w:ascii="仿宋_GB2312" w:hAnsi="仿宋_GB2312" w:eastAsia="仿宋_GB2312"/>
          <w:b w:val="0"/>
          <w:sz w:val="32"/>
        </w:rPr>
        <w:t>3.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4.跟踪落实「推荐优艾智合港股IPO获中国证监会备案」：建议涉外合规条线持续跟踪中国证监会境外发行上市及“全流通”备案的同类案例与公开信息，作为境外资本运作合规的前瞻性参考；如公司或所属集团出现境外发行上市或股份“全流通”筹划意向，…</w:t>
      </w:r>
    </w:p>
    <w:p>
      <w:pPr>
        <w:spacing w:lineRule="exact" w:line="560" w:before="0" w:after="0"/>
        <w:ind w:firstLine="640"/>
        <w:jc w:val="both"/>
      </w:pPr>
      <w:r>
        <w:rPr>
          <w:rFonts w:ascii="仿宋_GB2312" w:hAnsi="仿宋_GB2312" w:eastAsia="仿宋_GB2312"/>
          <w:b w:val="0"/>
          <w:sz w:val="32"/>
        </w:rPr>
        <w:t>5.跟踪落实「2026-10-13 关于下达25项网络安全推荐性国」：建议关注该通知附件《25项网络安全推荐性国家标准计划项目清单》以确认与公司业务相关的标准项目及牵头单位；在相关标准正式发布前，对涉及密码使用、数据接口的信息化·网安相关产品线进…</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2026-10-22 “网络安全国家标准进中小学校园”活动在北京一零一中未来科学城学校举办</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全国网络安全标准化技术委员会2025年第一次全体委员会议在苏州召开</w:t>
            </w:r>
          </w:p>
        </w:tc>
        <w:tc>
          <w:tcPr>
            <w:tcW w:type="dxa" w:w="1106"/>
          </w:tcPr>
          <w:p>
            <w:r/>
            <w:r>
              <w:rPr>
                <w:rFonts w:ascii="仿宋_GB2312" w:hAnsi="仿宋_GB2312" w:eastAsia="仿宋_GB2312"/>
                <w:b w:val="0"/>
                <w:sz w:val="24"/>
              </w:rPr>
              <w:t>2026-10-19</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推荐优艾智合港股IPO获中国证监会备案</w:t>
            </w:r>
          </w:p>
        </w:tc>
        <w:tc>
          <w:tcPr>
            <w:tcW w:type="dxa" w:w="1106"/>
          </w:tcPr>
          <w:p>
            <w:r/>
            <w:r>
              <w:rPr>
                <w:rFonts w:ascii="仿宋_GB2312" w:hAnsi="仿宋_GB2312" w:eastAsia="仿宋_GB2312"/>
                <w:b w:val="0"/>
                <w:sz w:val="24"/>
              </w:rPr>
              <w:t>2026-10-17</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57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2026-10-13 关于下达25项网络安全推荐性国家标准计划的通知</w:t>
            </w:r>
          </w:p>
        </w:tc>
        <w:tc>
          <w:tcPr>
            <w:tcW w:type="dxa" w:w="1106"/>
          </w:tcPr>
          <w:p>
            <w:r/>
            <w:r>
              <w:rPr>
                <w:rFonts w:ascii="仿宋_GB2312" w:hAnsi="仿宋_GB2312" w:eastAsia="仿宋_GB2312"/>
                <w:b w:val="0"/>
                <w:sz w:val="24"/>
              </w:rPr>
              <w:t>2026-10-13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推荐AI发现PHP编程语言严重漏洞：全球七成网站或受威胁，欧洲多国政府网站紧急下线</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49</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全国网络安全标准化技术委员会2024年第一次全体会议在京召开</w:t>
            </w:r>
          </w:p>
        </w:tc>
        <w:tc>
          <w:tcPr>
            <w:tcW w:type="dxa" w:w="1106"/>
          </w:tcPr>
          <w:p>
            <w:r/>
            <w:r>
              <w:rPr>
                <w:rFonts w:ascii="仿宋_GB2312" w:hAnsi="仿宋_GB2312" w:eastAsia="仿宋_GB2312"/>
                <w:b w:val="0"/>
                <w:sz w:val="24"/>
              </w:rPr>
              <w:t>2026-10-23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46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前三季度金融数据出炉 多元化融资特征鲜明</w:t>
            </w:r>
          </w:p>
        </w:tc>
        <w:tc>
          <w:tcPr>
            <w:tcW w:type="dxa" w:w="1106"/>
          </w:tcPr>
          <w:p>
            <w:r/>
            <w:r>
              <w:rPr>
                <w:rFonts w:ascii="仿宋_GB2312" w:hAnsi="仿宋_GB2312" w:eastAsia="仿宋_GB2312"/>
                <w:b w:val="0"/>
                <w:sz w:val="24"/>
              </w:rPr>
              <w:t>2026-10-20</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