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720" w:before="0" w:after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综合监管动态</w:t>
      </w:r>
    </w:p>
    <w:p>
      <w:pPr>
        <w:spacing w:lineRule="exact" w:line="720" w:before="0" w:after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合规洞察报告</w:t>
      </w:r>
    </w:p>
    <w:p>
      <w:pPr>
        <w:spacing w:lineRule="exact" w:line="560" w:before="0" w:after="0"/>
        <w:jc w:val="center"/>
      </w:pPr>
      <w:r>
        <w:rPr>
          <w:rFonts w:ascii="楷体_GB2312" w:hAnsi="楷体_GB2312" w:eastAsia="楷体_GB2312"/>
          <w:b w:val="0"/>
          <w:sz w:val="32"/>
        </w:rPr>
        <w:t>（2026年第1期）</w:t>
      </w:r>
    </w:p>
    <w:p>
      <w:pPr>
        <w:spacing w:lineRule="exact" w:line="560" w:before="0" w:after="80"/>
        <w:jc w:val="center"/>
      </w:pPr>
      <w:r>
        <w:rPr>
          <w:rFonts w:ascii="楷体_GB2312" w:hAnsi="楷体_GB2312" w:eastAsia="楷体_GB2312"/>
          <w:b w:val="0"/>
          <w:sz w:val="28"/>
        </w:rPr>
        <w:t>监测窗口：2026年9月26日至2026年10月10日　　本期信息截至2026年10月10日</w:t>
      </w:r>
    </w:p>
    <w:p>
      <w:pPr>
        <w:spacing w:lineRule="exact" w:line="560" w:before="0" w:after="0"/>
        <w:jc w:val="center"/>
      </w:pPr>
      <w:r>
        <w:rPr>
          <w:rFonts w:ascii="楷体_GB2312" w:hAnsi="楷体_GB2312" w:eastAsia="楷体_GB2312"/>
          <w:b w:val="0"/>
          <w:color w:val="606060"/>
          <w:sz w:val="28"/>
        </w:rPr>
        <w:t>报告模式：正式（仅含已核验条目）　　生成时间：2026-10-10 17:27</w:t>
      </w:r>
    </w:p>
    <w:p>
      <w:pPr>
        <w:spacing w:lineRule="exact" w:line="560" w:before="120" w:after="0"/>
        <w:jc w:val="both"/>
      </w:pPr>
      <w:r>
        <w:rPr>
          <w:rFonts w:ascii="黑体" w:hAnsi="黑体" w:eastAsia="黑体"/>
          <w:b w:val="0"/>
          <w:sz w:val="32"/>
        </w:rPr>
        <w:t>一、编制说明</w:t>
      </w:r>
    </w:p>
    <w:p>
      <w:pPr>
        <w:spacing w:lineRule="exact" w:line="560" w:before="0" w:after="0"/>
        <w:jc w:val="both"/>
      </w:pPr>
      <w:r>
        <w:rPr>
          <w:rFonts w:ascii="楷体_GB2312" w:hAnsi="楷体_GB2312" w:eastAsia="楷体_GB2312"/>
          <w:b w:val="0"/>
          <w:sz w:val="32"/>
        </w:rPr>
        <w:t>（一）监测范围与入选标准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本报告从2026年9月26日至2026年10月10日（回溯 15 天）窗口内的 37 条情报中，按相关度评分（阈值 55 分）自动选取最相关的 0 条成稿，不设逐条勾选。</w:t>
      </w:r>
    </w:p>
    <w:p>
      <w:pPr>
        <w:spacing w:lineRule="exact" w:line="560" w:before="0" w:after="0"/>
        <w:jc w:val="both"/>
      </w:pPr>
      <w:r>
        <w:rPr>
          <w:rFonts w:ascii="楷体_GB2312" w:hAnsi="楷体_GB2312" w:eastAsia="楷体_GB2312"/>
          <w:b w:val="0"/>
          <w:sz w:val="32"/>
        </w:rPr>
        <w:t>（二）排除情况（如实列示）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窗口内共排除 37 条：其中未核验/演示条目 37 条、低于相关度阈值 17 条、其余为关键词未命中或超出入选上限。未核验条目在演示模式下虽可入稿，但已逐条标注「待核验·演示内容」，正式模式下一律排除。</w:t>
      </w:r>
    </w:p>
    <w:p>
      <w:pPr>
        <w:spacing w:lineRule="exact" w:line="560" w:before="0" w:after="0"/>
        <w:jc w:val="both"/>
      </w:pPr>
      <w:r>
        <w:rPr>
          <w:rFonts w:ascii="楷体_GB2312" w:hAnsi="楷体_GB2312" w:eastAsia="楷体_GB2312"/>
          <w:b w:val="0"/>
          <w:sz w:val="32"/>
        </w:rPr>
        <w:t>（三）发布日期口径（阶段3：日期可追溯）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日期口径：本期无入选条目。</w:t>
      </w:r>
    </w:p>
    <w:p>
      <w:pPr>
        <w:spacing w:lineRule="exact" w:line="560" w:before="0" w:after="0"/>
        <w:jc w:val="both"/>
      </w:pPr>
      <w:r>
        <w:rPr>
          <w:rFonts w:ascii="楷体_GB2312" w:hAnsi="楷体_GB2312" w:eastAsia="楷体_GB2312"/>
          <w:b w:val="0"/>
          <w:sz w:val="32"/>
        </w:rPr>
        <w:t>（四）分析方式与局限性声明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条目事实来自公开页面采集；解读与建议为工具生成的分析参考，未经人工复核的条目已在表中标注。本报告不构成法律意见；规范依据以官方发布文本为准，本报告不声称已核对未能取得原文的规范依据。</w:t>
      </w:r>
    </w:p>
    <w:p>
      <w:pPr>
        <w:spacing w:lineRule="exact" w:line="560" w:before="0" w:after="0"/>
        <w:ind w:firstLine="560"/>
        <w:jc w:val="both"/>
      </w:pPr>
      <w:r>
        <w:rPr>
          <w:rFonts w:ascii="楷体_GB2312" w:hAnsi="楷体_GB2312" w:eastAsia="楷体_GB2312"/>
          <w:b w:val="0"/>
          <w:color w:val="808080"/>
          <w:sz w:val="28"/>
        </w:rPr>
        <w:t>本报告由合规洞察工具自动生成，其中的解读与建议为工具生成的分析参考，不构成法律意见；规范依据以官方发布文本为准，未能核验的依据未在本报告中声称已核对。</w:t>
      </w:r>
    </w:p>
    <w:p>
      <w:pPr>
        <w:spacing w:lineRule="exact" w:line="560" w:before="120" w:after="0"/>
        <w:jc w:val="both"/>
      </w:pPr>
      <w:r>
        <w:rPr>
          <w:rFonts w:ascii="黑体" w:hAnsi="黑体" w:eastAsia="黑体"/>
          <w:b w:val="0"/>
          <w:sz w:val="32"/>
        </w:rPr>
        <w:t>二、总体态势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窗口内无可入选条目。</w:t>
      </w:r>
    </w:p>
    <w:p>
      <w:pPr>
        <w:spacing w:lineRule="exact" w:line="560" w:before="0" w:after="0"/>
        <w:jc w:val="both"/>
      </w:pPr>
      <w:r>
        <w:rPr>
          <w:rFonts w:ascii="楷体_GB2312" w:hAnsi="楷体_GB2312" w:eastAsia="楷体_GB2312"/>
          <w:b w:val="0"/>
          <w:color w:val="808080"/>
          <w:sz w:val="28"/>
        </w:rPr>
        <w:t>示意数据：统计口径含未核验/演示条目，非真实监管统计，不得对外引用</w:t>
      </w:r>
    </w:p>
    <w:p>
      <w:pPr>
        <w:spacing w:lineRule="exact" w:line="560" w:before="120" w:after="0"/>
        <w:jc w:val="both"/>
      </w:pPr>
      <w:r>
        <w:rPr>
          <w:rFonts w:ascii="黑体" w:hAnsi="黑体" w:eastAsia="黑体"/>
          <w:b w:val="0"/>
          <w:sz w:val="32"/>
        </w:rPr>
        <w:t>三、本期条目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本期窗口内没有满足入选条件的条目（可能原因：窗口内无数据、相关度均低于阈值，或正式模式下全部条目尚未完成原文核验）。按规则不硬凑条目。</w:t>
      </w:r>
    </w:p>
    <w:p>
      <w:pPr>
        <w:spacing w:lineRule="exact" w:line="560" w:before="120" w:after="0"/>
        <w:jc w:val="both"/>
      </w:pPr>
      <w:r>
        <w:rPr>
          <w:rFonts w:ascii="黑体" w:hAnsi="黑体" w:eastAsia="黑体"/>
          <w:b w:val="0"/>
          <w:sz w:val="32"/>
        </w:rPr>
        <w:t>四、下一步工作建议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本期无可自动汇总的建议（未选取到含处置建议的条目）。</w:t>
      </w:r>
    </w:p>
    <w:p>
      <w:pPr>
        <w:spacing w:lineRule="exact" w:line="560" w:before="0" w:after="0"/>
        <w:ind w:firstLine="560"/>
        <w:jc w:val="both"/>
      </w:pPr>
      <w:r>
        <w:rPr>
          <w:rFonts w:ascii="楷体_GB2312" w:hAnsi="楷体_GB2312" w:eastAsia="楷体_GB2312"/>
          <w:b w:val="0"/>
          <w:color w:val="808080"/>
          <w:sz w:val="28"/>
        </w:rPr>
        <w:t>上述建议为工具按入选条目自动汇总的跟踪提示，落实情况需人工确认，本报告不主张任何事项已完成。</w:t>
      </w:r>
    </w:p>
    <w:p>
      <w:pPr>
        <w:spacing w:lineRule="exact" w:line="560" w:before="120" w:after="0"/>
        <w:jc w:val="both"/>
      </w:pPr>
      <w:r>
        <w:rPr>
          <w:rFonts w:ascii="黑体" w:hAnsi="黑体" w:eastAsia="黑体"/>
          <w:b w:val="0"/>
          <w:sz w:val="32"/>
        </w:rPr>
        <w:t>五、附录：本期信息索引</w:t>
      </w:r>
    </w:p>
    <w:p>
      <w:pPr>
        <w:spacing w:lineRule="exact" w:line="560" w:before="0" w:after="0"/>
        <w:jc w:val="both"/>
      </w:pPr>
      <w:r>
        <w:rPr>
          <w:rFonts w:ascii="楷体_GB2312" w:hAnsi="楷体_GB2312" w:eastAsia="楷体_GB2312"/>
          <w:b w:val="0"/>
          <w:sz w:val="28"/>
        </w:rPr>
        <w:t>下表含未入选条目，便于回查；未入选不等于无关，仅表示未达本期入选标准。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6"/>
        <w:gridCol w:w="1106"/>
        <w:gridCol w:w="1106"/>
        <w:gridCol w:w="1106"/>
        <w:gridCol w:w="1106"/>
        <w:gridCol w:w="1106"/>
        <w:gridCol w:w="1106"/>
        <w:gridCol w:w="1106"/>
      </w:tblGrid>
      <w:tr>
        <w:tc>
          <w:tcPr>
            <w:tcW w:type="dxa" w:w="1106"/>
          </w:tcPr>
          <w:p>
            <w:r/>
            <w:r>
              <w:rPr>
                <w:rFonts w:ascii="黑体" w:hAnsi="黑体" w:eastAsia="黑体"/>
                <w:b w:val="0"/>
                <w:sz w:val="24"/>
              </w:rPr>
              <w:t>序号</w:t>
            </w:r>
          </w:p>
        </w:tc>
        <w:tc>
          <w:tcPr>
            <w:tcW w:type="dxa" w:w="1106"/>
          </w:tcPr>
          <w:p>
            <w:r/>
            <w:r>
              <w:rPr>
                <w:rFonts w:ascii="黑体" w:hAnsi="黑体" w:eastAsia="黑体"/>
                <w:b w:val="0"/>
                <w:sz w:val="24"/>
              </w:rPr>
              <w:t>标题</w:t>
            </w:r>
          </w:p>
        </w:tc>
        <w:tc>
          <w:tcPr>
            <w:tcW w:type="dxa" w:w="1106"/>
          </w:tcPr>
          <w:p>
            <w:r/>
            <w:r>
              <w:rPr>
                <w:rFonts w:ascii="黑体" w:hAnsi="黑体" w:eastAsia="黑体"/>
                <w:b w:val="0"/>
                <w:sz w:val="24"/>
              </w:rPr>
              <w:t>日期</w:t>
            </w:r>
          </w:p>
        </w:tc>
        <w:tc>
          <w:tcPr>
            <w:tcW w:type="dxa" w:w="1106"/>
          </w:tcPr>
          <w:p>
            <w:r/>
            <w:r>
              <w:rPr>
                <w:rFonts w:ascii="黑体" w:hAnsi="黑体" w:eastAsia="黑体"/>
                <w:b w:val="0"/>
                <w:sz w:val="24"/>
              </w:rPr>
              <w:t>类型</w:t>
            </w:r>
          </w:p>
        </w:tc>
        <w:tc>
          <w:tcPr>
            <w:tcW w:type="dxa" w:w="1106"/>
          </w:tcPr>
          <w:p>
            <w:r/>
            <w:r>
              <w:rPr>
                <w:rFonts w:ascii="黑体" w:hAnsi="黑体" w:eastAsia="黑体"/>
                <w:b w:val="0"/>
                <w:sz w:val="24"/>
              </w:rPr>
              <w:t>发布主体</w:t>
            </w:r>
          </w:p>
        </w:tc>
        <w:tc>
          <w:tcPr>
            <w:tcW w:type="dxa" w:w="1106"/>
          </w:tcPr>
          <w:p>
            <w:r/>
            <w:r>
              <w:rPr>
                <w:rFonts w:ascii="黑体" w:hAnsi="黑体" w:eastAsia="黑体"/>
                <w:b w:val="0"/>
                <w:sz w:val="24"/>
              </w:rPr>
              <w:t>相关度</w:t>
            </w:r>
          </w:p>
        </w:tc>
        <w:tc>
          <w:tcPr>
            <w:tcW w:type="dxa" w:w="1106"/>
          </w:tcPr>
          <w:p>
            <w:r/>
            <w:r>
              <w:rPr>
                <w:rFonts w:ascii="黑体" w:hAnsi="黑体" w:eastAsia="黑体"/>
                <w:b w:val="0"/>
                <w:sz w:val="24"/>
              </w:rPr>
              <w:t>核验状态</w:t>
            </w:r>
          </w:p>
        </w:tc>
        <w:tc>
          <w:tcPr>
            <w:tcW w:type="dxa" w:w="1106"/>
          </w:tcPr>
          <w:p>
            <w:r/>
            <w:r>
              <w:rPr>
                <w:rFonts w:ascii="黑体" w:hAnsi="黑体" w:eastAsia="黑体"/>
                <w:b w:val="0"/>
                <w:sz w:val="24"/>
              </w:rPr>
              <w:t>入选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专家解读 | 开展数据产权登记，助力数据要素价值释放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70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专家解读 | 体系化推进行业高质量数据集建设行动 强化数据赋能人工智能创新发展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69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专家解读 | 筑基智能时代，释放数据价值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69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专家解读 | 夯实数据基础，激活智能跃迁——《关于推进行业高质量数据集建设行动的实施方案》解读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69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5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专家解读 | 高质量数据构筑人工智能跃升新引擎 “数据飞轮”塑造高质量发展新动能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69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专家解读 | 以数据产权登记为抓手 探索商业银行数据资产化新路径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专家解读 | 以统一数据产权登记体系 推动全国一体化数据市场建设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8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专家解读 | 激活数据产权制度效能 共建全国一体化数据市场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9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专家解读 | 筑牢数智底座 激活要素动能《关于推进行业高质量数据集建设行动的实施方案》解读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10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专家解读 | 推动行业高质量数据集建设，实现与"人工智能+"同频共振——《关于推进行业高质量数据集建设行动的实施方案》解读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11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专家解读 | 释放知识动能 护航数智发展—《关于推进行业高质量数据集建设行动的实施方案》解读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12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专家解读 | 深耕高质量数据集建设 激活人工智能发展新动能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专家解读 | 培育数据流通服务机构 繁荣数据市场生态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专家解读 | 培育数据流通服务机构 推进数据要素市场化价值化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15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网信办《生成式人工智能服务备案实施细化要求》发布：模型备案新增安全评估实测记录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新法规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国家网信办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16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网信办《个人信息出境认证办法》：认证成为出境三条路径之一，11 月 1 日施行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新法规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国家网信办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网信办《个人信息保护合规审计管理办法》施行：处理超千万个人信息须年度强制审计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2026-09-30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新法规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国家网信办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61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18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《人工智能生成合成内容标识办法》施行首日：多家平台上线强制标注功能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执法处罚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国家网信办等四部门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58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19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最高法《数据权益保护司法解释（征求意见稿）》公开征求意见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2026-10-02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征求意见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最高人民法院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57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网信办通报算法推荐管理规定执法案例：两平台因未公示算法原理被限期整改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2026-09-28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执法处罚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国家网信办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56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21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专家解读 | 以登记指引夯实数据产权制度根基 以能源企业实践赋能数据价值释放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54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22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专家解读 | 建立数据产权登记制度 夯实数据基础制度基石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54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专家解读 | 以规范透明、独立公正的数据产权登记服务 赋能数据要素合规高效流通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54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专家解读 | 坚持质量优先、合理审慎 提升数据产权登记公信力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54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25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一图读懂 | 关于培育数据流通服务机构 加快推进数据要素市场化价值化的意见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54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26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欧盟 Digital Omnibus：AI Act 高风险义务推迟至 2027-12 / 2028-08 施行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2026-09-27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域外动态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欧盟官方公报 EUR-Lex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49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美国 FTC 发布算法歧视执法声明：将歧视性 AI 决策纳入 FTC Act 第 5 节规制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2026-09-26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域外动态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FTC 官网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49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28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市场监管总局对某互联网平台“二选一”行为作出行政处罚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执法处罚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市场监管总局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48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29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国家数据局《公共数据授权运营实施指引》：发布授权运营协议示范文本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47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30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上海、北京同步推进数据条例修订：公共数据授权运营、数据资产登记入法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2026-10-01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征求意见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沪京经信/数据局官网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47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31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工信部通报第 N 批侵害用户权益 APP/SDK：违规收集个人信息、强制索权 37 款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2026-09-30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执法处罚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工业和信息化部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46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32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网信办《网络数据安全管理条例》配套实施细则：重要数据识别自评报告模板发布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2026-10-02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国家网信办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45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33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工信部发布大模型应用安全管理要求：上线前安全评估覆盖“深度合成+Agent 调用链”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2026-10-01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工业和信息化部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45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34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财政部《企业数据资源相关会计处理规定》应用指南：数据资产入表细化至三类情形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2026-09-29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财政部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45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35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一图读懂 | 关于推进行业高质量数据集建设行动的实施方案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政策文件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国家数据局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44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36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DeepSeek 开源新一代多模态模型：代码与文档理解基准刷新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2026-10-04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技术动态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GitHub / 机器之心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  <w:tr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37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开源 AI Agent 编排框架登 GitHub 趋势榜（aihot.news 热点榜）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2026-10-03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技术动态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aihot.news / GitHub Trending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17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待核验 · 演示内容</w:t>
            </w:r>
          </w:p>
        </w:tc>
        <w:tc>
          <w:tcPr>
            <w:tcW w:type="dxa" w:w="1106"/>
          </w:tcPr>
          <w:p>
            <w:r/>
            <w:r>
              <w:rPr>
                <w:rFonts w:ascii="仿宋_GB2312" w:hAnsi="仿宋_GB2312" w:eastAsia="仿宋_GB2312"/>
                <w:b w:val="0"/>
                <w:sz w:val="24"/>
              </w:rPr>
              <w:t>否</w:t>
            </w:r>
          </w:p>
        </w:tc>
      </w:tr>
    </w:tbl>
    <w:p>
      <w:pPr>
        <w:spacing w:lineRule="exact" w:line="560" w:before="0" w:after="0"/>
        <w:jc w:val="both"/>
      </w:pPr>
      <w:r>
        <w:rPr>
          <w:rFonts w:ascii="仿宋_GB2312" w:hAnsi="仿宋_GB2312" w:eastAsia="仿宋_GB2312"/>
          <w:b w:val="0"/>
          <w:sz w:val="32"/>
        </w:rPr>
      </w:r>
    </w:p>
    <w:p>
      <w:pPr>
        <w:spacing w:lineRule="exact" w:line="560" w:before="0" w:after="0"/>
        <w:jc w:val="both"/>
      </w:pPr>
      <w:r>
        <w:rPr>
          <w:rFonts w:ascii="楷体_GB2312" w:hAnsi="楷体_GB2312" w:eastAsia="楷体_GB2312"/>
          <w:b w:val="0"/>
          <w:color w:val="808080"/>
          <w:sz w:val="28"/>
        </w:rPr>
        <w:t>排版说明：本机缺少字体 方正小标宋简体，已回退为宋体显示，版式规范不变。</w:t>
      </w:r>
    </w:p>
    <w:p>
      <w:pPr>
        <w:spacing w:lineRule="exact" w:line="560" w:before="0" w:after="0"/>
        <w:jc w:val="both"/>
      </w:pPr>
      <w:r>
        <w:rPr>
          <w:rFonts w:ascii="楷体_GB2312" w:hAnsi="楷体_GB2312" w:eastAsia="楷体_GB2312"/>
          <w:b w:val="0"/>
          <w:color w:val="808080"/>
          <w:sz w:val="28"/>
        </w:rPr>
        <w:t>本报告由合规洞察工具自动生成，其中的解读与建议为工具生成的分析参考，不构成法律意见；规范依据以官方发布文本为准，未能核验的依据未在本报告中声称已核对。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_GB2312" w:hAnsi="仿宋_GB2312" w:eastAsia="仿宋_GB2312"/>
        <w:b w:val="0"/>
        <w:sz w:val="28"/>
      </w:rPr>
      <w:t xml:space="preserve">— </w:t>
    </w:r>
    <w:fldSimple w:instr="PAGE">
      <w:r>
        <w:t/>
      </w:r>
    </w:fldSimple>
    <w:r>
      <w:rPr>
        <w:rFonts w:ascii="仿宋_GB2312" w:hAnsi="仿宋_GB2312" w:eastAsia="仿宋_GB2312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