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p>
    <w:p>
      <w:pPr>
        <w:spacing w:after="120"/>
        <w:jc w:val="center"/>
      </w:pPr>
      <w:r>
        <w:rPr>
          <w:rFonts w:ascii="Arial" w:cs="Arial" w:eastAsia="Arial" w:hAnsi="Arial"/>
          <w:b/>
          <w:bCs/>
          <w:color w:val="1A56DB"/>
          <w:sz w:val="52"/>
          <w:szCs w:val="52"/>
        </w:rPr>
        <w:t xml:space="preserve">BOOK A SLOTH</w:t>
      </w:r>
    </w:p>
    <w:p>
      <w:pPr>
        <w:spacing w:after="80"/>
        <w:jc w:val="center"/>
      </w:pPr>
      <w:r>
        <w:rPr>
          <w:rFonts w:ascii="Arial" w:cs="Arial" w:eastAsia="Arial" w:hAnsi="Arial"/>
          <w:color w:val="555555"/>
          <w:sz w:val="32"/>
          <w:szCs w:val="32"/>
        </w:rPr>
        <w:t xml:space="preserve">Vendor Subscription &amp; Billing System</w:t>
      </w:r>
    </w:p>
    <w:p>
      <w:pPr>
        <w:spacing w:after="600"/>
        <w:jc w:val="center"/>
      </w:pPr>
      <w:r>
        <w:rPr>
          <w:rFonts w:ascii="Arial" w:cs="Arial" w:eastAsia="Arial" w:hAnsi="Arial"/>
          <w:i/>
          <w:iCs/>
          <w:color w:val="555555"/>
          <w:sz w:val="22"/>
          <w:szCs w:val="22"/>
        </w:rPr>
        <w:t xml:space="preserve">Product Requirements Document  ·  Version 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8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b/>
                <w:bCs/>
                <w:color w:val="2D2D2D"/>
                <w:sz w:val="20"/>
                <w:szCs w:val="20"/>
              </w:rPr>
              <w:t xml:space="preserve">Product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2D2D2D"/>
                <w:sz w:val="20"/>
                <w:szCs w:val="20"/>
              </w:rPr>
              <w:t xml:space="preserve">Book A Sloth — Vendor Platform</w:t>
            </w:r>
          </w:p>
        </w:tc>
      </w:tr>
      <w:tr>
        <w:tc>
          <w:tcPr>
            <w:tcW w:type="dxa" w:w="28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b/>
                <w:bCs/>
                <w:color w:val="2D2D2D"/>
                <w:sz w:val="20"/>
                <w:szCs w:val="20"/>
              </w:rPr>
              <w:t xml:space="preserve">Version</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2D2D2D"/>
                <w:sz w:val="20"/>
                <w:szCs w:val="20"/>
              </w:rPr>
              <w:t xml:space="preserve">2.0 — Billing &amp; Subscription</w:t>
            </w:r>
          </w:p>
        </w:tc>
      </w:tr>
      <w:tr>
        <w:tc>
          <w:tcPr>
            <w:tcW w:type="dxa" w:w="28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b/>
                <w:bCs/>
                <w:color w:val="2D2D2D"/>
                <w:sz w:val="20"/>
                <w:szCs w:val="20"/>
              </w:rPr>
              <w:t xml:space="preserve">Status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2D2D2D"/>
                <w:sz w:val="20"/>
                <w:szCs w:val="20"/>
              </w:rPr>
              <w:t xml:space="preserve">Final Draft — Ready for Engineering Review</w:t>
            </w:r>
          </w:p>
        </w:tc>
      </w:tr>
      <w:tr>
        <w:tc>
          <w:tcPr>
            <w:tcW w:type="dxa" w:w="28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b/>
                <w:bCs/>
                <w:color w:val="2D2D2D"/>
                <w:sz w:val="20"/>
                <w:szCs w:val="20"/>
              </w:rPr>
              <w:t xml:space="preserve">Scope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2D2D2D"/>
                <w:sz w:val="20"/>
                <w:szCs w:val="20"/>
              </w:rPr>
              <w:t xml:space="preserve">Subscription Plans, Payments, WhatsApp, OTP, Platform Fees</w:t>
            </w:r>
          </w:p>
        </w:tc>
      </w:tr>
    </w:tbl>
    <w:p>
      <w:r>
        <w:br/>
      </w:r>
    </w:p>
    <w:p>
      <w:pPr>
        <w:pStyle w:val="Heading1"/>
        <w:spacing w:after="200" w:before="400"/>
      </w:pPr>
      <w:r>
        <w:rPr>
          <w:rFonts w:ascii="Arial" w:cs="Arial" w:eastAsia="Arial" w:hAnsi="Arial"/>
          <w:b/>
          <w:bCs/>
          <w:color w:val="1A1A1A"/>
          <w:sz w:val="36"/>
          <w:szCs w:val="36"/>
        </w:rPr>
        <w:t xml:space="preserve">Section 1 — Objective</w:t>
      </w:r>
    </w:p>
    <w:p>
      <w:pPr>
        <w:spacing w:after="160" w:before="0"/>
        <w:jc w:val="left"/>
      </w:pPr>
      <w:r>
        <w:rPr>
          <w:rFonts w:ascii="Arial" w:cs="Arial" w:eastAsia="Arial" w:hAnsi="Arial"/>
          <w:b w:val="false"/>
          <w:bCs w:val="false"/>
          <w:i w:val="false"/>
          <w:iCs w:val="false"/>
          <w:color w:val="2D2D2D"/>
          <w:sz w:val="22"/>
          <w:szCs w:val="22"/>
        </w:rPr>
        <w:t xml:space="preserve">Book A Sloth is a booking platform for vendors including coaches, consultants, freelancers, and service professionals. This document defines the complete subscription system: plan tiers, feature access, payment flows, commission logic, WhatsApp notification cost architecture, OTP costs, and the platform convenience fee.</w:t>
      </w:r>
    </w:p>
    <w:p>
      <w:pPr>
        <w:spacing w:after="0" w:before="80"/>
      </w:pPr>
    </w:p>
    <w:p>
      <w:pPr>
        <w:spacing w:after="160" w:before="0"/>
        <w:jc w:val="left"/>
      </w:pPr>
      <w:r>
        <w:rPr>
          <w:rFonts w:ascii="Arial" w:cs="Arial" w:eastAsia="Arial" w:hAnsi="Arial"/>
          <w:b w:val="false"/>
          <w:bCs w:val="false"/>
          <w:i w:val="false"/>
          <w:iCs w:val="false"/>
          <w:color w:val="2D2D2D"/>
          <w:sz w:val="22"/>
          <w:szCs w:val="22"/>
        </w:rPr>
        <w:t xml:space="preserve">The system must accomplish four things simultaneously:</w:t>
      </w:r>
    </w:p>
    <w:p>
      <w:pPr>
        <w:pStyle w:val="ListParagraph"/>
        <w:numPr>
          <w:ilvl w:val="0"/>
          <w:numId w:val="2"/>
        </w:numPr>
        <w:spacing w:after="80"/>
      </w:pPr>
      <w:r>
        <w:rPr>
          <w:rFonts w:ascii="Arial" w:cs="Arial" w:eastAsia="Arial" w:hAnsi="Arial"/>
          <w:b w:val="false"/>
          <w:bCs w:val="false"/>
          <w:color w:val="2D2D2D"/>
          <w:sz w:val="22"/>
          <w:szCs w:val="22"/>
        </w:rPr>
        <w:t xml:space="preserve">Give vendors a genuinely useful free tier that drives adoption without destroying margin.</w:t>
      </w:r>
    </w:p>
    <w:p>
      <w:pPr>
        <w:pStyle w:val="ListParagraph"/>
        <w:numPr>
          <w:ilvl w:val="0"/>
          <w:numId w:val="2"/>
        </w:numPr>
        <w:spacing w:after="80"/>
      </w:pPr>
      <w:r>
        <w:rPr>
          <w:rFonts w:ascii="Arial" w:cs="Arial" w:eastAsia="Arial" w:hAnsi="Arial"/>
          <w:b w:val="false"/>
          <w:bCs w:val="false"/>
          <w:color w:val="2D2D2D"/>
          <w:sz w:val="22"/>
          <w:szCs w:val="22"/>
        </w:rPr>
        <w:t xml:space="preserve">Make paid plans clearly worth upgrading to, not just "more of the same."</w:t>
      </w:r>
    </w:p>
    <w:p>
      <w:pPr>
        <w:pStyle w:val="ListParagraph"/>
        <w:numPr>
          <w:ilvl w:val="0"/>
          <w:numId w:val="2"/>
        </w:numPr>
        <w:spacing w:after="80"/>
      </w:pPr>
      <w:r>
        <w:rPr>
          <w:rFonts w:ascii="Arial" w:cs="Arial" w:eastAsia="Arial" w:hAnsi="Arial"/>
          <w:b w:val="false"/>
          <w:bCs w:val="false"/>
          <w:color w:val="2D2D2D"/>
          <w:sz w:val="22"/>
          <w:szCs w:val="22"/>
        </w:rPr>
        <w:t xml:space="preserve">Ensure every cost the platform incurs — WhatsApp messages, OTPs, payment gateway fees — is either recovered or eliminated.</w:t>
      </w:r>
    </w:p>
    <w:p>
      <w:pPr>
        <w:pStyle w:val="ListParagraph"/>
        <w:numPr>
          <w:ilvl w:val="0"/>
          <w:numId w:val="2"/>
        </w:numPr>
        <w:spacing w:after="80"/>
      </w:pPr>
      <w:r>
        <w:rPr>
          <w:rFonts w:ascii="Arial" w:cs="Arial" w:eastAsia="Arial" w:hAnsi="Arial"/>
          <w:b w:val="false"/>
          <w:bCs w:val="false"/>
          <w:color w:val="2D2D2D"/>
          <w:sz w:val="22"/>
          <w:szCs w:val="22"/>
        </w:rPr>
        <w:t xml:space="preserve">Be fully database-driven so no plan logic lives in code. Admins can create, edit, or archive plans without a deployment.</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2FF" w:val="clear"/>
            <w:tcMar>
              <w:top w:type="dxa" w:w="120"/>
              <w:left w:type="dxa" w:w="180"/>
              <w:bottom w:type="dxa" w:w="120"/>
              <w:right w:type="dxa" w:w="180"/>
            </w:tcMar>
          </w:tcPr>
          <w:p>
            <w:pPr>
              <w:spacing w:after="40"/>
            </w:pPr>
            <w:r>
              <w:rPr>
                <w:rFonts w:ascii="Arial" w:cs="Arial" w:eastAsia="Arial" w:hAnsi="Arial"/>
                <w:b/>
                <w:bCs/>
                <w:color w:val="1A56DB"/>
                <w:sz w:val="18"/>
                <w:szCs w:val="18"/>
              </w:rPr>
              <w:t xml:space="preserve">Design Principle</w:t>
            </w:r>
          </w:p>
          <w:p>
            <w:pPr>
              <w:spacing w:after="0"/>
            </w:pPr>
            <w:r>
              <w:rPr>
                <w:rFonts w:ascii="Arial" w:cs="Arial" w:eastAsia="Arial" w:hAnsi="Arial"/>
                <w:color w:val="1A56DB"/>
                <w:sz w:val="20"/>
                <w:szCs w:val="20"/>
              </w:rPr>
              <w:t xml:space="preserve">WhatsApp is a paid-plan-only feature. OTP is always on the platform. The ₹11.80 platform convenience fee charged to clients on every online booking covers notification infrastructure costs across all plans.</w:t>
            </w:r>
          </w:p>
        </w:tc>
      </w:tr>
    </w:tbl>
    <w:p>
      <w:r>
        <w:br/>
      </w:r>
    </w:p>
    <w:p>
      <w:pPr>
        <w:pStyle w:val="Heading1"/>
        <w:spacing w:after="200" w:before="400"/>
      </w:pPr>
      <w:r>
        <w:rPr>
          <w:rFonts w:ascii="Arial" w:cs="Arial" w:eastAsia="Arial" w:hAnsi="Arial"/>
          <w:b/>
          <w:bCs/>
          <w:color w:val="1A1A1A"/>
          <w:sz w:val="36"/>
          <w:szCs w:val="36"/>
        </w:rPr>
        <w:t xml:space="preserve">Section 2 — Subscription Plans</w:t>
      </w:r>
    </w:p>
    <w:p>
      <w:pPr>
        <w:spacing w:after="160" w:before="0"/>
        <w:jc w:val="left"/>
      </w:pPr>
      <w:r>
        <w:rPr>
          <w:rFonts w:ascii="Arial" w:cs="Arial" w:eastAsia="Arial" w:hAnsi="Arial"/>
          <w:b w:val="false"/>
          <w:bCs w:val="false"/>
          <w:i w:val="false"/>
          <w:iCs w:val="false"/>
          <w:color w:val="2D2D2D"/>
          <w:sz w:val="22"/>
          <w:szCs w:val="22"/>
        </w:rPr>
        <w:t xml:space="preserve">There are three plans in v1. All limits are stored in the database and configurable by a Super Admin without code changes.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2300"/>
        <w:gridCol w:w="2560"/>
      </w:tblGrid>
      <w:tr>
        <w:trPr>
          <w:tblHeader/>
        </w:trPr>
        <w:tc>
          <w:tcPr>
            <w:tcW w:type="dxa" w:w="2200"/>
            <w:tcBorders>
              <w:top w:val="single" w:color="DDDDDD" w:sz="1"/>
              <w:left w:val="single" w:color="DDDDDD" w:sz="1"/>
              <w:bottom w:val="single" w:color="DDDDDD" w:sz="1"/>
              <w:right w:val="single" w:color="DDDDDD" w:sz="1"/>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
            </w:r>
          </w:p>
        </w:tc>
        <w:tc>
          <w:tcPr>
            <w:tcW w:type="dxa" w:w="2300"/>
            <w:tcBorders>
              <w:top w:val="single" w:color="DDDDDD" w:sz="1"/>
              <w:left w:val="single" w:color="DDDDDD" w:sz="1"/>
              <w:bottom w:val="single" w:color="DDDDDD" w:sz="1"/>
              <w:right w:val="single" w:color="DDDDDD" w:sz="1"/>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Starter</w:t>
            </w:r>
          </w:p>
        </w:tc>
        <w:tc>
          <w:tcPr>
            <w:tcW w:type="dxa" w:w="2300"/>
            <w:tcBorders>
              <w:top w:val="single" w:color="DDDDDD" w:sz="1"/>
              <w:left w:val="single" w:color="DDDDDD" w:sz="1"/>
              <w:bottom w:val="single" w:color="DDDDDD" w:sz="1"/>
              <w:right w:val="single" w:color="DDDDDD" w:sz="1"/>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Creator</w:t>
            </w:r>
          </w:p>
        </w:tc>
        <w:tc>
          <w:tcPr>
            <w:tcW w:type="dxa" w:w="2560"/>
            <w:tcBorders>
              <w:top w:val="single" w:color="DDDDDD" w:sz="1"/>
              <w:left w:val="single" w:color="DDDDDD" w:sz="1"/>
              <w:bottom w:val="single" w:color="DDDDDD" w:sz="1"/>
              <w:right w:val="single" w:color="DDDDDD" w:sz="1"/>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Professional</w:t>
            </w:r>
          </w:p>
        </w:tc>
      </w:tr>
      <w:tr>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Price / year</w:t>
            </w:r>
          </w:p>
        </w:tc>
        <w:tc>
          <w:tcPr>
            <w:tcW w:type="dxa" w:w="23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₹0 (Free)</w:t>
            </w:r>
          </w:p>
        </w:tc>
        <w:tc>
          <w:tcPr>
            <w:tcW w:type="dxa" w:w="23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₹999</w:t>
            </w:r>
          </w:p>
        </w:tc>
        <w:tc>
          <w:tcPr>
            <w:tcW w:type="dxa" w:w="2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₹3,650</w:t>
            </w:r>
          </w:p>
        </w:tc>
      </w:tr>
      <w:tr>
        <w:tc>
          <w:tcPr>
            <w:tcW w:type="dxa" w:w="22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Commission per booking</w:t>
            </w:r>
          </w:p>
        </w:tc>
        <w:tc>
          <w:tcPr>
            <w:tcW w:type="dxa" w:w="23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5% (completed only)</w:t>
            </w:r>
          </w:p>
        </w:tc>
        <w:tc>
          <w:tcPr>
            <w:tcW w:type="dxa" w:w="23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None</w:t>
            </w:r>
          </w:p>
        </w:tc>
        <w:tc>
          <w:tcPr>
            <w:tcW w:type="dxa" w:w="256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None</w:t>
            </w:r>
          </w:p>
        </w:tc>
      </w:tr>
      <w:tr>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Max services</w:t>
            </w:r>
          </w:p>
        </w:tc>
        <w:tc>
          <w:tcPr>
            <w:tcW w:type="dxa" w:w="23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10</w:t>
            </w:r>
          </w:p>
        </w:tc>
        <w:tc>
          <w:tcPr>
            <w:tcW w:type="dxa" w:w="23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20</w:t>
            </w:r>
          </w:p>
        </w:tc>
        <w:tc>
          <w:tcPr>
            <w:tcW w:type="dxa" w:w="2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30</w:t>
            </w:r>
          </w:p>
        </w:tc>
      </w:tr>
      <w:tr>
        <w:tc>
          <w:tcPr>
            <w:tcW w:type="dxa" w:w="22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Max bookings / year</w:t>
            </w:r>
          </w:p>
        </w:tc>
        <w:tc>
          <w:tcPr>
            <w:tcW w:type="dxa" w:w="23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1,000</w:t>
            </w:r>
          </w:p>
        </w:tc>
        <w:tc>
          <w:tcPr>
            <w:tcW w:type="dxa" w:w="23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2,000</w:t>
            </w:r>
          </w:p>
        </w:tc>
        <w:tc>
          <w:tcPr>
            <w:tcW w:type="dxa" w:w="256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3,000</w:t>
            </w:r>
          </w:p>
        </w:tc>
      </w:tr>
      <w:tr>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Max digital products</w:t>
            </w:r>
          </w:p>
        </w:tc>
        <w:tc>
          <w:tcPr>
            <w:tcW w:type="dxa" w:w="23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3</w:t>
            </w:r>
          </w:p>
        </w:tc>
        <w:tc>
          <w:tcPr>
            <w:tcW w:type="dxa" w:w="23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10</w:t>
            </w:r>
          </w:p>
        </w:tc>
        <w:tc>
          <w:tcPr>
            <w:tcW w:type="dxa" w:w="2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20</w:t>
            </w:r>
          </w:p>
        </w:tc>
      </w:tr>
      <w:tr>
        <w:tc>
          <w:tcPr>
            <w:tcW w:type="dxa" w:w="22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Calendar integrations</w:t>
            </w:r>
          </w:p>
        </w:tc>
        <w:tc>
          <w:tcPr>
            <w:tcW w:type="dxa" w:w="23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1 (Google)</w:t>
            </w:r>
          </w:p>
        </w:tc>
        <w:tc>
          <w:tcPr>
            <w:tcW w:type="dxa" w:w="23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2 (Google, Zoom)</w:t>
            </w:r>
          </w:p>
        </w:tc>
        <w:tc>
          <w:tcPr>
            <w:tcW w:type="dxa" w:w="256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3 (Google, Zoom, iCal)</w:t>
            </w:r>
          </w:p>
        </w:tc>
      </w:tr>
      <w:tr>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WhatsApp notifications</w:t>
            </w:r>
          </w:p>
        </w:tc>
        <w:tc>
          <w:tcPr>
            <w:tcW w:type="dxa" w:w="23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Email only</w:t>
            </w:r>
          </w:p>
        </w:tc>
        <w:tc>
          <w:tcPr>
            <w:tcW w:type="dxa" w:w="23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Full (utility msgs)</w:t>
            </w:r>
          </w:p>
        </w:tc>
        <w:tc>
          <w:tcPr>
            <w:tcW w:type="dxa" w:w="2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Full + follow-ups</w:t>
            </w:r>
          </w:p>
        </w:tc>
      </w:tr>
      <w:tr>
        <w:tc>
          <w:tcPr>
            <w:tcW w:type="dxa" w:w="22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Reminder automation flows</w:t>
            </w:r>
          </w:p>
        </w:tc>
        <w:tc>
          <w:tcPr>
            <w:tcW w:type="dxa" w:w="23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0</w:t>
            </w:r>
          </w:p>
        </w:tc>
        <w:tc>
          <w:tcPr>
            <w:tcW w:type="dxa" w:w="23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1</w:t>
            </w:r>
          </w:p>
        </w:tc>
        <w:tc>
          <w:tcPr>
            <w:tcW w:type="dxa" w:w="256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2</w:t>
            </w:r>
          </w:p>
        </w:tc>
      </w:tr>
      <w:tr>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Follow-up automation flows</w:t>
            </w:r>
          </w:p>
        </w:tc>
        <w:tc>
          <w:tcPr>
            <w:tcW w:type="dxa" w:w="23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0</w:t>
            </w:r>
          </w:p>
        </w:tc>
        <w:tc>
          <w:tcPr>
            <w:tcW w:type="dxa" w:w="23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Email only</w:t>
            </w:r>
          </w:p>
        </w:tc>
        <w:tc>
          <w:tcPr>
            <w:tcW w:type="dxa" w:w="2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2 (WA + Email)</w:t>
            </w:r>
          </w:p>
        </w:tc>
      </w:tr>
      <w:tr>
        <w:tc>
          <w:tcPr>
            <w:tcW w:type="dxa" w:w="22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Auto invoicing</w:t>
            </w:r>
          </w:p>
        </w:tc>
        <w:tc>
          <w:tcPr>
            <w:tcW w:type="dxa" w:w="23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No</w:t>
            </w:r>
          </w:p>
        </w:tc>
        <w:tc>
          <w:tcPr>
            <w:tcW w:type="dxa" w:w="23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Yes</w:t>
            </w:r>
          </w:p>
        </w:tc>
        <w:tc>
          <w:tcPr>
            <w:tcW w:type="dxa" w:w="256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Yes + history</w:t>
            </w:r>
          </w:p>
        </w:tc>
      </w:tr>
      <w:tr>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Reports</w:t>
            </w:r>
          </w:p>
        </w:tc>
        <w:tc>
          <w:tcPr>
            <w:tcW w:type="dxa" w:w="23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None</w:t>
            </w:r>
          </w:p>
        </w:tc>
        <w:tc>
          <w:tcPr>
            <w:tcW w:type="dxa" w:w="23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Basic</w:t>
            </w:r>
          </w:p>
        </w:tc>
        <w:tc>
          <w:tcPr>
            <w:tcW w:type="dxa" w:w="2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Advanced</w:t>
            </w:r>
          </w:p>
        </w:tc>
      </w:tr>
      <w:tr>
        <w:tc>
          <w:tcPr>
            <w:tcW w:type="dxa" w:w="22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Data export</w:t>
            </w:r>
          </w:p>
        </w:tc>
        <w:tc>
          <w:tcPr>
            <w:tcW w:type="dxa" w:w="23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No</w:t>
            </w:r>
          </w:p>
        </w:tc>
        <w:tc>
          <w:tcPr>
            <w:tcW w:type="dxa" w:w="23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No</w:t>
            </w:r>
          </w:p>
        </w:tc>
        <w:tc>
          <w:tcPr>
            <w:tcW w:type="dxa" w:w="256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CSV + Excel</w:t>
            </w:r>
          </w:p>
        </w:tc>
      </w:tr>
      <w:tr>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Client notes</w:t>
            </w:r>
          </w:p>
        </w:tc>
        <w:tc>
          <w:tcPr>
            <w:tcW w:type="dxa" w:w="23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No</w:t>
            </w:r>
          </w:p>
        </w:tc>
        <w:tc>
          <w:tcPr>
            <w:tcW w:type="dxa" w:w="23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No</w:t>
            </w:r>
          </w:p>
        </w:tc>
        <w:tc>
          <w:tcPr>
            <w:tcW w:type="dxa" w:w="2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Yes</w:t>
            </w:r>
          </w:p>
        </w:tc>
      </w:tr>
      <w:tr>
        <w:tc>
          <w:tcPr>
            <w:tcW w:type="dxa" w:w="22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Support</w:t>
            </w:r>
          </w:p>
        </w:tc>
        <w:tc>
          <w:tcPr>
            <w:tcW w:type="dxa" w:w="23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Standard</w:t>
            </w:r>
          </w:p>
        </w:tc>
        <w:tc>
          <w:tcPr>
            <w:tcW w:type="dxa" w:w="23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Priority email</w:t>
            </w:r>
          </w:p>
        </w:tc>
        <w:tc>
          <w:tcPr>
            <w:tcW w:type="dxa" w:w="256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Priority</w:t>
            </w:r>
          </w:p>
        </w:tc>
      </w:tr>
    </w:tbl>
    <w:p>
      <w:pPr>
        <w:spacing w:after="0" w:before="200"/>
      </w:pPr>
    </w:p>
    <w:p>
      <w:pPr>
        <w:pStyle w:val="Heading1"/>
        <w:spacing w:after="200" w:before="400"/>
      </w:pPr>
      <w:r>
        <w:rPr>
          <w:rFonts w:ascii="Arial" w:cs="Arial" w:eastAsia="Arial" w:hAnsi="Arial"/>
          <w:b/>
          <w:bCs/>
          <w:color w:val="1A1A1A"/>
          <w:sz w:val="36"/>
          <w:szCs w:val="36"/>
        </w:rPr>
        <w:t xml:space="preserve">Section 3 — Plan Detail Specifications</w:t>
      </w:r>
    </w:p>
    <w:p>
      <w:pPr>
        <w:pStyle w:val="Heading2"/>
        <w:spacing w:after="160" w:before="320"/>
      </w:pPr>
      <w:r>
        <w:rPr>
          <w:rFonts w:ascii="Arial" w:cs="Arial" w:eastAsia="Arial" w:hAnsi="Arial"/>
          <w:b/>
          <w:bCs/>
          <w:color w:val="1A1A1A"/>
          <w:sz w:val="28"/>
          <w:szCs w:val="28"/>
        </w:rPr>
        <w:t xml:space="preserve">3.1  Starter — Free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b/>
                <w:bCs/>
                <w:color w:val="2D2D2D"/>
                <w:sz w:val="20"/>
                <w:szCs w:val="20"/>
              </w:rPr>
              <w:t xml:space="preserve">Annual price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2D2D2D"/>
                <w:sz w:val="20"/>
                <w:szCs w:val="20"/>
              </w:rPr>
              <w:t xml:space="preserve">₹0</w:t>
            </w:r>
          </w:p>
        </w:tc>
      </w:tr>
      <w:tr>
        <w:tc>
          <w:tcPr>
            <w:tcW w:type="dxa" w:w="28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b/>
                <w:bCs/>
                <w:color w:val="2D2D2D"/>
                <w:sz w:val="20"/>
                <w:szCs w:val="20"/>
              </w:rPr>
              <w:t xml:space="preserve">Target vendor</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2D2D2D"/>
                <w:sz w:val="20"/>
                <w:szCs w:val="20"/>
              </w:rPr>
              <w:t xml:space="preserve">Someone testing the platform or running very low volume</w:t>
            </w:r>
          </w:p>
        </w:tc>
      </w:tr>
      <w:tr>
        <w:tc>
          <w:tcPr>
            <w:tcW w:type="dxa" w:w="28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b/>
                <w:bCs/>
                <w:color w:val="2D2D2D"/>
                <w:sz w:val="20"/>
                <w:szCs w:val="20"/>
              </w:rPr>
              <w:t xml:space="preserve">Commission model</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2D2D2D"/>
                <w:sz w:val="20"/>
                <w:szCs w:val="20"/>
              </w:rPr>
              <w:t xml:space="preserve">5% on every completed booking, deducted from payout</w:t>
            </w:r>
          </w:p>
        </w:tc>
      </w:tr>
      <w:tr>
        <w:tc>
          <w:tcPr>
            <w:tcW w:type="dxa" w:w="28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b/>
                <w:bCs/>
                <w:color w:val="2D2D2D"/>
                <w:sz w:val="20"/>
                <w:szCs w:val="20"/>
              </w:rPr>
              <w:t xml:space="preserve">Booking cap</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2D2D2D"/>
                <w:sz w:val="20"/>
                <w:szCs w:val="20"/>
              </w:rPr>
              <w:t xml:space="preserve">1,000 per subscription year (resets on renewal date)</w:t>
            </w:r>
          </w:p>
        </w:tc>
      </w:tr>
      <w:tr>
        <w:tc>
          <w:tcPr>
            <w:tcW w:type="dxa" w:w="28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b/>
                <w:bCs/>
                <w:color w:val="2D2D2D"/>
                <w:sz w:val="20"/>
                <w:szCs w:val="20"/>
              </w:rPr>
              <w:t xml:space="preserve">Services allowed</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2D2D2D"/>
                <w:sz w:val="20"/>
                <w:szCs w:val="20"/>
              </w:rPr>
              <w:t xml:space="preserve">10 active services at any time</w:t>
            </w:r>
          </w:p>
        </w:tc>
      </w:tr>
      <w:tr>
        <w:tc>
          <w:tcPr>
            <w:tcW w:type="dxa" w:w="28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b/>
                <w:bCs/>
                <w:color w:val="2D2D2D"/>
                <w:sz w:val="20"/>
                <w:szCs w:val="20"/>
              </w:rPr>
              <w:t xml:space="preserve">Digital products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2D2D2D"/>
                <w:sz w:val="20"/>
                <w:szCs w:val="20"/>
              </w:rPr>
              <w:t xml:space="preserve">3</w:t>
            </w:r>
          </w:p>
        </w:tc>
      </w:tr>
      <w:tr>
        <w:tc>
          <w:tcPr>
            <w:tcW w:type="dxa" w:w="28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b/>
                <w:bCs/>
                <w:color w:val="2D2D2D"/>
                <w:sz w:val="20"/>
                <w:szCs w:val="20"/>
              </w:rPr>
              <w:t xml:space="preserve">Calendar</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2D2D2D"/>
                <w:sz w:val="20"/>
                <w:szCs w:val="20"/>
              </w:rPr>
              <w:t xml:space="preserve">Google Calendar only (1 integration)</w:t>
            </w:r>
          </w:p>
        </w:tc>
      </w:tr>
      <w:tr>
        <w:tc>
          <w:tcPr>
            <w:tcW w:type="dxa" w:w="28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b/>
                <w:bCs/>
                <w:color w:val="2D2D2D"/>
                <w:sz w:val="20"/>
                <w:szCs w:val="20"/>
              </w:rPr>
              <w:t xml:space="preserve">Notifications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2D2D2D"/>
                <w:sz w:val="20"/>
                <w:szCs w:val="20"/>
              </w:rPr>
              <w:t xml:space="preserve">Email only — no WhatsApp on this plan</w:t>
            </w:r>
          </w:p>
        </w:tc>
      </w:tr>
      <w:tr>
        <w:tc>
          <w:tcPr>
            <w:tcW w:type="dxa" w:w="28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b/>
                <w:bCs/>
                <w:color w:val="2D2D2D"/>
                <w:sz w:val="20"/>
                <w:szCs w:val="20"/>
              </w:rPr>
              <w:t xml:space="preserve">Reminders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2D2D2D"/>
                <w:sz w:val="20"/>
                <w:szCs w:val="20"/>
              </w:rPr>
              <w:t xml:space="preserve">None — reminder automation is a paid feature</w:t>
            </w:r>
          </w:p>
        </w:tc>
      </w:tr>
      <w:tr>
        <w:tc>
          <w:tcPr>
            <w:tcW w:type="dxa" w:w="28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b/>
                <w:bCs/>
                <w:color w:val="2D2D2D"/>
                <w:sz w:val="20"/>
                <w:szCs w:val="20"/>
              </w:rPr>
              <w:t xml:space="preserve">Follow-ups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2D2D2D"/>
                <w:sz w:val="20"/>
                <w:szCs w:val="20"/>
              </w:rPr>
              <w:t xml:space="preserve">None</w:t>
            </w:r>
          </w:p>
        </w:tc>
      </w:tr>
      <w:tr>
        <w:tc>
          <w:tcPr>
            <w:tcW w:type="dxa" w:w="28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b/>
                <w:bCs/>
                <w:color w:val="2D2D2D"/>
                <w:sz w:val="20"/>
                <w:szCs w:val="20"/>
              </w:rPr>
              <w:t xml:space="preserve">Invoicing</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2D2D2D"/>
                <w:sz w:val="20"/>
                <w:szCs w:val="20"/>
              </w:rPr>
              <w:t xml:space="preserve">Manual only — no auto-invoice</w:t>
            </w:r>
          </w:p>
        </w:tc>
      </w:tr>
      <w:tr>
        <w:tc>
          <w:tcPr>
            <w:tcW w:type="dxa" w:w="28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b/>
                <w:bCs/>
                <w:color w:val="2D2D2D"/>
                <w:sz w:val="20"/>
                <w:szCs w:val="20"/>
              </w:rPr>
              <w:t xml:space="preserve">Reports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2D2D2D"/>
                <w:sz w:val="20"/>
                <w:szCs w:val="20"/>
              </w:rPr>
              <w:t xml:space="preserve">None</w:t>
            </w:r>
          </w:p>
        </w:tc>
      </w:tr>
      <w:tr>
        <w:tc>
          <w:tcPr>
            <w:tcW w:type="dxa" w:w="28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b/>
                <w:bCs/>
                <w:color w:val="2D2D2D"/>
                <w:sz w:val="20"/>
                <w:szCs w:val="20"/>
              </w:rPr>
              <w:t xml:space="preserve">Data export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2D2D2D"/>
                <w:sz w:val="20"/>
                <w:szCs w:val="20"/>
              </w:rPr>
              <w:t xml:space="preserve">Not available</w:t>
            </w:r>
          </w:p>
        </w:tc>
      </w:tr>
      <w:tr>
        <w:tc>
          <w:tcPr>
            <w:tcW w:type="dxa" w:w="28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b/>
                <w:bCs/>
                <w:color w:val="2D2D2D"/>
                <w:sz w:val="20"/>
                <w:szCs w:val="20"/>
              </w:rPr>
              <w:t xml:space="preserve">Support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2D2D2D"/>
                <w:sz w:val="20"/>
                <w:szCs w:val="20"/>
              </w:rPr>
              <w:t xml:space="preserve">Standard (ticket-based)</w:t>
            </w:r>
          </w:p>
        </w:tc>
      </w:tr>
    </w:tbl>
    <w:p>
      <w:pPr>
        <w:spacing w:after="0" w:before="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CD" w:val="clear"/>
            <w:tcMar>
              <w:top w:type="dxa" w:w="120"/>
              <w:left w:type="dxa" w:w="180"/>
              <w:bottom w:type="dxa" w:w="120"/>
              <w:right w:type="dxa" w:w="180"/>
            </w:tcMar>
          </w:tcPr>
          <w:p>
            <w:pPr>
              <w:spacing w:after="40"/>
            </w:pPr>
            <w:r>
              <w:rPr>
                <w:rFonts w:ascii="Arial" w:cs="Arial" w:eastAsia="Arial" w:hAnsi="Arial"/>
                <w:b/>
                <w:bCs/>
                <w:color w:val="7D4E00"/>
                <w:sz w:val="18"/>
                <w:szCs w:val="18"/>
              </w:rPr>
              <w:t xml:space="preserve">Why no WhatsApp on Starter?</w:t>
            </w:r>
          </w:p>
          <w:p>
            <w:pPr>
              <w:spacing w:after="0"/>
            </w:pPr>
            <w:r>
              <w:rPr>
                <w:rFonts w:ascii="Arial" w:cs="Arial" w:eastAsia="Arial" w:hAnsi="Arial"/>
                <w:color w:val="7D4E00"/>
                <w:sz w:val="20"/>
                <w:szCs w:val="20"/>
              </w:rPr>
              <w:t xml:space="preserve">A Starter vendor with 1,000 bookings/year sending just 3 WhatsApp utility messages per booking (confirmation, reminder, completion) costs the platform ₹420/year in Meta API fees. That vendor pays ₹0 in subscription fees. At 500 Starter vendors, that is ₹2,10,000/year in WhatsApp costs on zero-revenue accounts. The ₹11.80 platform fee covers email + OTP infrastructure, but not this level of WhatsApp spend. WhatsApp is therefore a paid-plan upgrade incentive, not a free perk.</w:t>
            </w:r>
          </w:p>
        </w:tc>
      </w:tr>
    </w:tbl>
    <w:p>
      <w:pPr>
        <w:spacing w:after="0" w:before="200"/>
      </w:pPr>
    </w:p>
    <w:p>
      <w:pPr>
        <w:pStyle w:val="Heading2"/>
        <w:spacing w:after="160" w:before="320"/>
      </w:pPr>
      <w:r>
        <w:rPr>
          <w:rFonts w:ascii="Arial" w:cs="Arial" w:eastAsia="Arial" w:hAnsi="Arial"/>
          <w:b/>
          <w:bCs/>
          <w:color w:val="1A1A1A"/>
          <w:sz w:val="28"/>
          <w:szCs w:val="28"/>
        </w:rPr>
        <w:t xml:space="preserve">3.2  Creator — ₹999 / Year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b/>
                <w:bCs/>
                <w:color w:val="2D2D2D"/>
                <w:sz w:val="20"/>
                <w:szCs w:val="20"/>
              </w:rPr>
              <w:t xml:space="preserve">Annual price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2D2D2D"/>
                <w:sz w:val="20"/>
                <w:szCs w:val="20"/>
              </w:rPr>
              <w:t xml:space="preserve">₹999 (non-refundable)</w:t>
            </w:r>
          </w:p>
        </w:tc>
      </w:tr>
      <w:tr>
        <w:tc>
          <w:tcPr>
            <w:tcW w:type="dxa" w:w="28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b/>
                <w:bCs/>
                <w:color w:val="2D2D2D"/>
                <w:sz w:val="20"/>
                <w:szCs w:val="20"/>
              </w:rPr>
              <w:t xml:space="preserve">Target vendor</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2D2D2D"/>
                <w:sz w:val="20"/>
                <w:szCs w:val="20"/>
              </w:rPr>
              <w:t xml:space="preserve">Coaches, consultants, freelancers, growing service businesses</w:t>
            </w:r>
          </w:p>
        </w:tc>
      </w:tr>
      <w:tr>
        <w:tc>
          <w:tcPr>
            <w:tcW w:type="dxa" w:w="28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b/>
                <w:bCs/>
                <w:color w:val="2D2D2D"/>
                <w:sz w:val="20"/>
                <w:szCs w:val="20"/>
              </w:rPr>
              <w:t xml:space="preserve">Commission model</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2D2D2D"/>
                <w:sz w:val="20"/>
                <w:szCs w:val="20"/>
              </w:rPr>
              <w:t xml:space="preserve">Zero commission — vendor keeps 100% of listed price</w:t>
            </w:r>
          </w:p>
        </w:tc>
      </w:tr>
      <w:tr>
        <w:tc>
          <w:tcPr>
            <w:tcW w:type="dxa" w:w="28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b/>
                <w:bCs/>
                <w:color w:val="2D2D2D"/>
                <w:sz w:val="20"/>
                <w:szCs w:val="20"/>
              </w:rPr>
              <w:t xml:space="preserve">Booking cap</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2D2D2D"/>
                <w:sz w:val="20"/>
                <w:szCs w:val="20"/>
              </w:rPr>
              <w:t xml:space="preserve">2,000 per subscription year</w:t>
            </w:r>
          </w:p>
        </w:tc>
      </w:tr>
      <w:tr>
        <w:tc>
          <w:tcPr>
            <w:tcW w:type="dxa" w:w="28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b/>
                <w:bCs/>
                <w:color w:val="2D2D2D"/>
                <w:sz w:val="20"/>
                <w:szCs w:val="20"/>
              </w:rPr>
              <w:t xml:space="preserve">Services allowed</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2D2D2D"/>
                <w:sz w:val="20"/>
                <w:szCs w:val="20"/>
              </w:rPr>
              <w:t xml:space="preserve">20 active services</w:t>
            </w:r>
          </w:p>
        </w:tc>
      </w:tr>
      <w:tr>
        <w:tc>
          <w:tcPr>
            <w:tcW w:type="dxa" w:w="28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b/>
                <w:bCs/>
                <w:color w:val="2D2D2D"/>
                <w:sz w:val="20"/>
                <w:szCs w:val="20"/>
              </w:rPr>
              <w:t xml:space="preserve">Digital products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2D2D2D"/>
                <w:sz w:val="20"/>
                <w:szCs w:val="20"/>
              </w:rPr>
              <w:t xml:space="preserve">10</w:t>
            </w:r>
          </w:p>
        </w:tc>
      </w:tr>
      <w:tr>
        <w:tc>
          <w:tcPr>
            <w:tcW w:type="dxa" w:w="28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b/>
                <w:bCs/>
                <w:color w:val="2D2D2D"/>
                <w:sz w:val="20"/>
                <w:szCs w:val="20"/>
              </w:rPr>
              <w:t xml:space="preserve">Calendar</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2D2D2D"/>
                <w:sz w:val="20"/>
                <w:szCs w:val="20"/>
              </w:rPr>
              <w:t xml:space="preserve">Google Calendar + Zoom (2 integrations, vendor selects primary)</w:t>
            </w:r>
          </w:p>
        </w:tc>
      </w:tr>
      <w:tr>
        <w:tc>
          <w:tcPr>
            <w:tcW w:type="dxa" w:w="28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b/>
                <w:bCs/>
                <w:color w:val="2D2D2D"/>
                <w:sz w:val="20"/>
                <w:szCs w:val="20"/>
              </w:rPr>
              <w:t xml:space="preserve">WhatsApp notifications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2D2D2D"/>
                <w:sz w:val="20"/>
                <w:szCs w:val="20"/>
              </w:rPr>
              <w:t xml:space="preserve">Booking confirmation, cancellation, completion — all via WhatsApp</w:t>
            </w:r>
          </w:p>
        </w:tc>
      </w:tr>
      <w:tr>
        <w:tc>
          <w:tcPr>
            <w:tcW w:type="dxa" w:w="28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b/>
                <w:bCs/>
                <w:color w:val="2D2D2D"/>
                <w:sz w:val="20"/>
                <w:szCs w:val="20"/>
              </w:rPr>
              <w:t xml:space="preserve">Reminders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2D2D2D"/>
                <w:sz w:val="20"/>
                <w:szCs w:val="20"/>
              </w:rPr>
              <w:t xml:space="preserve">1 reminder flow (e.g. "Your appointment is tomorrow at 3pm")</w:t>
            </w:r>
          </w:p>
        </w:tc>
      </w:tr>
      <w:tr>
        <w:tc>
          <w:tcPr>
            <w:tcW w:type="dxa" w:w="28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b/>
                <w:bCs/>
                <w:color w:val="2D2D2D"/>
                <w:sz w:val="20"/>
                <w:szCs w:val="20"/>
              </w:rPr>
              <w:t xml:space="preserve">Follow-up automation</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2D2D2D"/>
                <w:sz w:val="20"/>
                <w:szCs w:val="20"/>
              </w:rPr>
              <w:t xml:space="preserve">1 follow-up flow — email only (e.g. thank you, review request)</w:t>
            </w:r>
          </w:p>
        </w:tc>
      </w:tr>
      <w:tr>
        <w:tc>
          <w:tcPr>
            <w:tcW w:type="dxa" w:w="28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b/>
                <w:bCs/>
                <w:color w:val="2D2D2D"/>
                <w:sz w:val="20"/>
                <w:szCs w:val="20"/>
              </w:rPr>
              <w:t xml:space="preserve">Invoicing</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2D2D2D"/>
                <w:sz w:val="20"/>
                <w:szCs w:val="20"/>
              </w:rPr>
              <w:t xml:space="preserve">Auto-invoice generated on booking completion</w:t>
            </w:r>
          </w:p>
        </w:tc>
      </w:tr>
      <w:tr>
        <w:tc>
          <w:tcPr>
            <w:tcW w:type="dxa" w:w="28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b/>
                <w:bCs/>
                <w:color w:val="2D2D2D"/>
                <w:sz w:val="20"/>
                <w:szCs w:val="20"/>
              </w:rPr>
              <w:t xml:space="preserve">Reports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2D2D2D"/>
                <w:sz w:val="20"/>
                <w:szCs w:val="20"/>
              </w:rPr>
              <w:t xml:space="preserve">Basic: total bookings, revenue summary, service performance</w:t>
            </w:r>
          </w:p>
        </w:tc>
      </w:tr>
      <w:tr>
        <w:tc>
          <w:tcPr>
            <w:tcW w:type="dxa" w:w="28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b/>
                <w:bCs/>
                <w:color w:val="2D2D2D"/>
                <w:sz w:val="20"/>
                <w:szCs w:val="20"/>
              </w:rPr>
              <w:t xml:space="preserve">Data export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2D2D2D"/>
                <w:sz w:val="20"/>
                <w:szCs w:val="20"/>
              </w:rPr>
              <w:t xml:space="preserve">Not available</w:t>
            </w:r>
          </w:p>
        </w:tc>
      </w:tr>
      <w:tr>
        <w:tc>
          <w:tcPr>
            <w:tcW w:type="dxa" w:w="28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b/>
                <w:bCs/>
                <w:color w:val="2D2D2D"/>
                <w:sz w:val="20"/>
                <w:szCs w:val="20"/>
              </w:rPr>
              <w:t xml:space="preserve">Client notes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2D2D2D"/>
                <w:sz w:val="20"/>
                <w:szCs w:val="20"/>
              </w:rPr>
              <w:t xml:space="preserve">Not available</w:t>
            </w:r>
          </w:p>
        </w:tc>
      </w:tr>
      <w:tr>
        <w:tc>
          <w:tcPr>
            <w:tcW w:type="dxa" w:w="28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b/>
                <w:bCs/>
                <w:color w:val="2D2D2D"/>
                <w:sz w:val="20"/>
                <w:szCs w:val="20"/>
              </w:rPr>
              <w:t xml:space="preserve">Support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2D2D2D"/>
                <w:sz w:val="20"/>
                <w:szCs w:val="20"/>
              </w:rPr>
              <w:t xml:space="preserve">Priority email</w:t>
            </w:r>
          </w:p>
        </w:tc>
      </w:tr>
    </w:tbl>
    <w:p>
      <w:pPr>
        <w:spacing w:after="0" w:before="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CD" w:val="clear"/>
            <w:tcMar>
              <w:top w:type="dxa" w:w="120"/>
              <w:left w:type="dxa" w:w="180"/>
              <w:bottom w:type="dxa" w:w="120"/>
              <w:right w:type="dxa" w:w="180"/>
            </w:tcMar>
          </w:tcPr>
          <w:p>
            <w:pPr>
              <w:spacing w:after="40"/>
            </w:pPr>
            <w:r>
              <w:rPr>
                <w:rFonts w:ascii="Arial" w:cs="Arial" w:eastAsia="Arial" w:hAnsi="Arial"/>
                <w:b/>
                <w:bCs/>
                <w:color w:val="7D4E00"/>
                <w:sz w:val="18"/>
                <w:szCs w:val="18"/>
              </w:rPr>
              <w:t xml:space="preserve">Follow-up flows on Creator: why email only?</w:t>
            </w:r>
          </w:p>
          <w:p>
            <w:pPr>
              <w:spacing w:after="0"/>
            </w:pPr>
            <w:r>
              <w:rPr>
                <w:rFonts w:ascii="Arial" w:cs="Arial" w:eastAsia="Arial" w:hAnsi="Arial"/>
                <w:color w:val="7D4E00"/>
                <w:sz w:val="20"/>
                <w:szCs w:val="20"/>
              </w:rPr>
              <w:t xml:space="preserve">Follow-up messages (review requests, rebook prompts) are classified as Marketing by Meta — not Utility. They cost ₹0.83 to ₹1.25 per message. A Creator vendor with 2,000 bookings/year and 1 follow-up per booking at ₹1.00 each costs ₹2,000/year in WhatsApp fees alone — double their ₹999 subscription. Follow-ups on Creator are email-only. WhatsApp follow-ups are a Professional-only feature, and even then are credit-limited.</w:t>
            </w:r>
          </w:p>
        </w:tc>
      </w:tr>
    </w:tbl>
    <w:p>
      <w:pPr>
        <w:spacing w:after="0" w:before="200"/>
      </w:pPr>
    </w:p>
    <w:p>
      <w:pPr>
        <w:pStyle w:val="Heading2"/>
        <w:spacing w:after="160" w:before="320"/>
      </w:pPr>
      <w:r>
        <w:rPr>
          <w:rFonts w:ascii="Arial" w:cs="Arial" w:eastAsia="Arial" w:hAnsi="Arial"/>
          <w:b/>
          <w:bCs/>
          <w:color w:val="1A1A1A"/>
          <w:sz w:val="28"/>
          <w:szCs w:val="28"/>
        </w:rPr>
        <w:t xml:space="preserve">3.3  Professional — ₹3,650 / Year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b/>
                <w:bCs/>
                <w:color w:val="2D2D2D"/>
                <w:sz w:val="20"/>
                <w:szCs w:val="20"/>
              </w:rPr>
              <w:t xml:space="preserve">Annual price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2D2D2D"/>
                <w:sz w:val="20"/>
                <w:szCs w:val="20"/>
              </w:rPr>
              <w:t xml:space="preserve">₹3,650 (non-refundable)</w:t>
            </w:r>
          </w:p>
        </w:tc>
      </w:tr>
      <w:tr>
        <w:tc>
          <w:tcPr>
            <w:tcW w:type="dxa" w:w="28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b/>
                <w:bCs/>
                <w:color w:val="2D2D2D"/>
                <w:sz w:val="20"/>
                <w:szCs w:val="20"/>
              </w:rPr>
              <w:t xml:space="preserve">Target vendor</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2D2D2D"/>
                <w:sz w:val="20"/>
                <w:szCs w:val="20"/>
              </w:rPr>
              <w:t xml:space="preserve">High-volume vendors needing advanced automation and analytics</w:t>
            </w:r>
          </w:p>
        </w:tc>
      </w:tr>
      <w:tr>
        <w:tc>
          <w:tcPr>
            <w:tcW w:type="dxa" w:w="28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b/>
                <w:bCs/>
                <w:color w:val="2D2D2D"/>
                <w:sz w:val="20"/>
                <w:szCs w:val="20"/>
              </w:rPr>
              <w:t xml:space="preserve">Commission model</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2D2D2D"/>
                <w:sz w:val="20"/>
                <w:szCs w:val="20"/>
              </w:rPr>
              <w:t xml:space="preserve">Zero commission</w:t>
            </w:r>
          </w:p>
        </w:tc>
      </w:tr>
      <w:tr>
        <w:tc>
          <w:tcPr>
            <w:tcW w:type="dxa" w:w="28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b/>
                <w:bCs/>
                <w:color w:val="2D2D2D"/>
                <w:sz w:val="20"/>
                <w:szCs w:val="20"/>
              </w:rPr>
              <w:t xml:space="preserve">Booking cap</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2D2D2D"/>
                <w:sz w:val="20"/>
                <w:szCs w:val="20"/>
              </w:rPr>
              <w:t xml:space="preserve">3,000 per subscription year</w:t>
            </w:r>
          </w:p>
        </w:tc>
      </w:tr>
      <w:tr>
        <w:tc>
          <w:tcPr>
            <w:tcW w:type="dxa" w:w="28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b/>
                <w:bCs/>
                <w:color w:val="2D2D2D"/>
                <w:sz w:val="20"/>
                <w:szCs w:val="20"/>
              </w:rPr>
              <w:t xml:space="preserve">Services allowed</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2D2D2D"/>
                <w:sz w:val="20"/>
                <w:szCs w:val="20"/>
              </w:rPr>
              <w:t xml:space="preserve">30 active services</w:t>
            </w:r>
          </w:p>
        </w:tc>
      </w:tr>
      <w:tr>
        <w:tc>
          <w:tcPr>
            <w:tcW w:type="dxa" w:w="28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b/>
                <w:bCs/>
                <w:color w:val="2D2D2D"/>
                <w:sz w:val="20"/>
                <w:szCs w:val="20"/>
              </w:rPr>
              <w:t xml:space="preserve">Digital products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2D2D2D"/>
                <w:sz w:val="20"/>
                <w:szCs w:val="20"/>
              </w:rPr>
              <w:t xml:space="preserve">20</w:t>
            </w:r>
          </w:p>
        </w:tc>
      </w:tr>
      <w:tr>
        <w:tc>
          <w:tcPr>
            <w:tcW w:type="dxa" w:w="28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b/>
                <w:bCs/>
                <w:color w:val="2D2D2D"/>
                <w:sz w:val="20"/>
                <w:szCs w:val="20"/>
              </w:rPr>
              <w:t xml:space="preserve">Calendar</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2D2D2D"/>
                <w:sz w:val="20"/>
                <w:szCs w:val="20"/>
              </w:rPr>
              <w:t xml:space="preserve">Google Calendar + Zoom + iCal (3 integrations)</w:t>
            </w:r>
          </w:p>
        </w:tc>
      </w:tr>
      <w:tr>
        <w:tc>
          <w:tcPr>
            <w:tcW w:type="dxa" w:w="28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b/>
                <w:bCs/>
                <w:color w:val="2D2D2D"/>
                <w:sz w:val="20"/>
                <w:szCs w:val="20"/>
              </w:rPr>
              <w:t xml:space="preserve">WhatsApp notifications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2D2D2D"/>
                <w:sz w:val="20"/>
                <w:szCs w:val="20"/>
              </w:rPr>
              <w:t xml:space="preserve">Confirmation, cancellation, completion — all via WhatsApp</w:t>
            </w:r>
          </w:p>
        </w:tc>
      </w:tr>
      <w:tr>
        <w:tc>
          <w:tcPr>
            <w:tcW w:type="dxa" w:w="28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b/>
                <w:bCs/>
                <w:color w:val="2D2D2D"/>
                <w:sz w:val="20"/>
                <w:szCs w:val="20"/>
              </w:rPr>
              <w:t xml:space="preserve">Reminders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2D2D2D"/>
                <w:sz w:val="20"/>
                <w:szCs w:val="20"/>
              </w:rPr>
              <w:t xml:space="preserve">2 reminder flows (e.g. 24h before + 1h before)</w:t>
            </w:r>
          </w:p>
        </w:tc>
      </w:tr>
      <w:tr>
        <w:tc>
          <w:tcPr>
            <w:tcW w:type="dxa" w:w="28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b/>
                <w:bCs/>
                <w:color w:val="2D2D2D"/>
                <w:sz w:val="20"/>
                <w:szCs w:val="20"/>
              </w:rPr>
              <w:t xml:space="preserve">Follow-up automation</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2D2D2D"/>
                <w:sz w:val="20"/>
                <w:szCs w:val="20"/>
              </w:rPr>
              <w:t xml:space="preserve">2 flows via WhatsApp + Email — includes 500 WA marketing credits/year</w:t>
            </w:r>
          </w:p>
        </w:tc>
      </w:tr>
      <w:tr>
        <w:tc>
          <w:tcPr>
            <w:tcW w:type="dxa" w:w="28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b/>
                <w:bCs/>
                <w:color w:val="2D2D2D"/>
                <w:sz w:val="20"/>
                <w:szCs w:val="20"/>
              </w:rPr>
              <w:t xml:space="preserve">WA marketing credits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2D2D2D"/>
                <w:sz w:val="20"/>
                <w:szCs w:val="20"/>
              </w:rPr>
              <w:t xml:space="preserve">500 included/year. Additional credits at ₹1.50/message (platform cost ₹1.00)</w:t>
            </w:r>
          </w:p>
        </w:tc>
      </w:tr>
      <w:tr>
        <w:tc>
          <w:tcPr>
            <w:tcW w:type="dxa" w:w="28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b/>
                <w:bCs/>
                <w:color w:val="2D2D2D"/>
                <w:sz w:val="20"/>
                <w:szCs w:val="20"/>
              </w:rPr>
              <w:t xml:space="preserve">Reports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2D2D2D"/>
                <w:sz w:val="20"/>
                <w:szCs w:val="20"/>
              </w:rPr>
              <w:t xml:space="preserve">Advanced: revenue, bookings, trends, conversion metrics</w:t>
            </w:r>
          </w:p>
        </w:tc>
      </w:tr>
      <w:tr>
        <w:tc>
          <w:tcPr>
            <w:tcW w:type="dxa" w:w="28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b/>
                <w:bCs/>
                <w:color w:val="2D2D2D"/>
                <w:sz w:val="20"/>
                <w:szCs w:val="20"/>
              </w:rPr>
              <w:t xml:space="preserve">Data export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2D2D2D"/>
                <w:sz w:val="20"/>
                <w:szCs w:val="20"/>
              </w:rPr>
              <w:t xml:space="preserve">CSV + Excel — clients, bookings, revenue</w:t>
            </w:r>
          </w:p>
        </w:tc>
      </w:tr>
      <w:tr>
        <w:tc>
          <w:tcPr>
            <w:tcW w:type="dxa" w:w="28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b/>
                <w:bCs/>
                <w:color w:val="2D2D2D"/>
                <w:sz w:val="20"/>
                <w:szCs w:val="20"/>
              </w:rPr>
              <w:t xml:space="preserve">Client notes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2D2D2D"/>
                <w:sz w:val="20"/>
                <w:szCs w:val="20"/>
              </w:rPr>
              <w:t xml:space="preserve">Yes — notes visible on client profile</w:t>
            </w:r>
          </w:p>
        </w:tc>
      </w:tr>
      <w:tr>
        <w:tc>
          <w:tcPr>
            <w:tcW w:type="dxa" w:w="28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b/>
                <w:bCs/>
                <w:color w:val="2D2D2D"/>
                <w:sz w:val="20"/>
                <w:szCs w:val="20"/>
              </w:rPr>
              <w:t xml:space="preserve">Invoicing</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2D2D2D"/>
                <w:sz w:val="20"/>
                <w:szCs w:val="20"/>
              </w:rPr>
              <w:t xml:space="preserve">Auto-invoice + full invoice history</w:t>
            </w:r>
          </w:p>
        </w:tc>
      </w:tr>
      <w:tr>
        <w:tc>
          <w:tcPr>
            <w:tcW w:type="dxa" w:w="28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b/>
                <w:bCs/>
                <w:color w:val="2D2D2D"/>
                <w:sz w:val="20"/>
                <w:szCs w:val="20"/>
              </w:rPr>
              <w:t xml:space="preserve">Support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2D2D2D"/>
                <w:sz w:val="20"/>
                <w:szCs w:val="20"/>
              </w:rPr>
              <w:t xml:space="preserve">Priority (email + faster SLA)</w:t>
            </w:r>
          </w:p>
        </w:tc>
      </w:tr>
    </w:tbl>
    <w:p>
      <w:pPr>
        <w:spacing w:after="0" w:before="200"/>
      </w:pPr>
    </w:p>
    <w:p>
      <w:r>
        <w:br/>
      </w:r>
    </w:p>
    <w:p>
      <w:pPr>
        <w:pStyle w:val="Heading1"/>
        <w:spacing w:after="200" w:before="400"/>
      </w:pPr>
      <w:r>
        <w:rPr>
          <w:rFonts w:ascii="Arial" w:cs="Arial" w:eastAsia="Arial" w:hAnsi="Arial"/>
          <w:b/>
          <w:bCs/>
          <w:color w:val="1A1A1A"/>
          <w:sz w:val="36"/>
          <w:szCs w:val="36"/>
        </w:rPr>
        <w:t xml:space="preserve">Section 4 — Payment &amp; Fee Architecture</w:t>
      </w:r>
    </w:p>
    <w:p>
      <w:pPr>
        <w:spacing w:after="160" w:before="0"/>
        <w:jc w:val="left"/>
      </w:pPr>
      <w:r>
        <w:rPr>
          <w:rFonts w:ascii="Arial" w:cs="Arial" w:eastAsia="Arial" w:hAnsi="Arial"/>
          <w:b w:val="false"/>
          <w:bCs w:val="false"/>
          <w:i w:val="false"/>
          <w:iCs w:val="false"/>
          <w:color w:val="2D2D2D"/>
          <w:sz w:val="22"/>
          <w:szCs w:val="22"/>
        </w:rPr>
        <w:t xml:space="preserve">Every online booking on the platform involves three distinct fee layers. Understanding which party pays each one is critical for the checkout UI, the settlement engine, and vendor trust.</w:t>
      </w:r>
    </w:p>
    <w:p>
      <w:pPr>
        <w:spacing w:after="0" w:before="140"/>
      </w:pPr>
    </w:p>
    <w:p>
      <w:pPr>
        <w:pStyle w:val="Heading2"/>
        <w:spacing w:after="160" w:before="320"/>
      </w:pPr>
      <w:r>
        <w:rPr>
          <w:rFonts w:ascii="Arial" w:cs="Arial" w:eastAsia="Arial" w:hAnsi="Arial"/>
          <w:b/>
          <w:bCs/>
          <w:color w:val="1A1A1A"/>
          <w:sz w:val="28"/>
          <w:szCs w:val="28"/>
        </w:rPr>
        <w:t xml:space="preserve">4.1  The Three Fee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1800"/>
        <w:gridCol w:w="1900"/>
        <w:gridCol w:w="2060"/>
      </w:tblGrid>
      <w:tr>
        <w:trPr>
          <w:tblHeader/>
        </w:trPr>
        <w:tc>
          <w:tcPr>
            <w:tcW w:type="dxa" w:w="2100"/>
            <w:tcBorders>
              <w:top w:val="single" w:color="DDDDDD" w:sz="1"/>
              <w:left w:val="single" w:color="DDDDDD" w:sz="1"/>
              <w:bottom w:val="single" w:color="DDDDDD" w:sz="1"/>
              <w:right w:val="single" w:color="DDDDDD" w:sz="1"/>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Fee</w:t>
            </w:r>
          </w:p>
        </w:tc>
        <w:tc>
          <w:tcPr>
            <w:tcW w:type="dxa" w:w="1500"/>
            <w:tcBorders>
              <w:top w:val="single" w:color="DDDDDD" w:sz="1"/>
              <w:left w:val="single" w:color="DDDDDD" w:sz="1"/>
              <w:bottom w:val="single" w:color="DDDDDD" w:sz="1"/>
              <w:right w:val="single" w:color="DDDDDD" w:sz="1"/>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Amount</w:t>
            </w:r>
          </w:p>
        </w:tc>
        <w:tc>
          <w:tcPr>
            <w:tcW w:type="dxa" w:w="1800"/>
            <w:tcBorders>
              <w:top w:val="single" w:color="DDDDDD" w:sz="1"/>
              <w:left w:val="single" w:color="DDDDDD" w:sz="1"/>
              <w:bottom w:val="single" w:color="DDDDDD" w:sz="1"/>
              <w:right w:val="single" w:color="DDDDDD" w:sz="1"/>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Who pays</w:t>
            </w:r>
          </w:p>
        </w:tc>
        <w:tc>
          <w:tcPr>
            <w:tcW w:type="dxa" w:w="1900"/>
            <w:tcBorders>
              <w:top w:val="single" w:color="DDDDDD" w:sz="1"/>
              <w:left w:val="single" w:color="DDDDDD" w:sz="1"/>
              <w:bottom w:val="single" w:color="DDDDDD" w:sz="1"/>
              <w:right w:val="single" w:color="DDDDDD" w:sz="1"/>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Who receives</w:t>
            </w:r>
          </w:p>
        </w:tc>
        <w:tc>
          <w:tcPr>
            <w:tcW w:type="dxa" w:w="2060"/>
            <w:tcBorders>
              <w:top w:val="single" w:color="DDDDDD" w:sz="1"/>
              <w:left w:val="single" w:color="DDDDDD" w:sz="1"/>
              <w:bottom w:val="single" w:color="DDDDDD" w:sz="1"/>
              <w:right w:val="single" w:color="DDDDDD" w:sz="1"/>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Applied on</w:t>
            </w:r>
          </w:p>
        </w:tc>
      </w:tr>
      <w:tr>
        <w:tc>
          <w:tcPr>
            <w:tcW w:type="dxa" w:w="21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Razorpay processing fee</w:t>
            </w:r>
          </w:p>
        </w:tc>
        <w:tc>
          <w:tcPr>
            <w:tcW w:type="dxa" w:w="1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₹11.80 flat</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Client (on top of listed price)</w:t>
            </w:r>
          </w:p>
        </w:tc>
        <w:tc>
          <w:tcPr>
            <w:tcW w:type="dxa" w:w="1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Razorpay directly</w:t>
            </w:r>
          </w:p>
        </w:tc>
        <w:tc>
          <w:tcPr>
            <w:tcW w:type="dxa" w:w="20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All paid online bookings</w:t>
            </w:r>
          </w:p>
        </w:tc>
      </w:tr>
      <w:tr>
        <w:tc>
          <w:tcPr>
            <w:tcW w:type="dxa" w:w="21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Platform convenience fee</w:t>
            </w:r>
          </w:p>
        </w:tc>
        <w:tc>
          <w:tcPr>
            <w:tcW w:type="dxa" w:w="15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₹11.80 flat</w:t>
            </w:r>
          </w:p>
        </w:tc>
        <w:tc>
          <w:tcPr>
            <w:tcW w:type="dxa" w:w="18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Client (on top of listed price)</w:t>
            </w:r>
          </w:p>
        </w:tc>
        <w:tc>
          <w:tcPr>
            <w:tcW w:type="dxa" w:w="19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Platform account</w:t>
            </w:r>
          </w:p>
        </w:tc>
        <w:tc>
          <w:tcPr>
            <w:tcW w:type="dxa" w:w="206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All paid online bookings</w:t>
            </w:r>
          </w:p>
        </w:tc>
      </w:tr>
      <w:tr>
        <w:tc>
          <w:tcPr>
            <w:tcW w:type="dxa" w:w="21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Platform commission</w:t>
            </w:r>
          </w:p>
        </w:tc>
        <w:tc>
          <w:tcPr>
            <w:tcW w:type="dxa" w:w="1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5% of booking value</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Vendor (deducted from payout)</w:t>
            </w:r>
          </w:p>
        </w:tc>
        <w:tc>
          <w:tcPr>
            <w:tcW w:type="dxa" w:w="1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Platform account</w:t>
            </w:r>
          </w:p>
        </w:tc>
        <w:tc>
          <w:tcPr>
            <w:tcW w:type="dxa" w:w="20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Starter plan, completed bookings only</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2FF" w:val="clear"/>
            <w:tcMar>
              <w:top w:type="dxa" w:w="120"/>
              <w:left w:type="dxa" w:w="180"/>
              <w:bottom w:type="dxa" w:w="120"/>
              <w:right w:type="dxa" w:w="180"/>
            </w:tcMar>
          </w:tcPr>
          <w:p>
            <w:pPr>
              <w:spacing w:after="40"/>
            </w:pPr>
            <w:r>
              <w:rPr>
                <w:rFonts w:ascii="Arial" w:cs="Arial" w:eastAsia="Arial" w:hAnsi="Arial"/>
                <w:b/>
                <w:bCs/>
                <w:color w:val="1A56DB"/>
                <w:sz w:val="18"/>
                <w:szCs w:val="18"/>
              </w:rPr>
              <w:t xml:space="preserve">What the client sees at checkout (Creator or Pro vendor, ₹1,000 service)</w:t>
            </w:r>
          </w:p>
          <w:p>
            <w:pPr>
              <w:spacing w:after="0"/>
            </w:pPr>
            <w:r>
              <w:rPr>
                <w:rFonts w:ascii="Arial" w:cs="Arial" w:eastAsia="Arial" w:hAnsi="Arial"/>
                <w:color w:val="1A56DB"/>
                <w:sz w:val="20"/>
                <w:szCs w:val="20"/>
              </w:rPr>
              <w:t xml:space="preserve">Service price: ₹1,000.00
Payment processing fee: ₹11.80
Platform convenience fee: ₹11.80
─────────────────────────────
Total you pay: ₹1,023.60
Both line items must be visible before the client taps Pay. They cannot appear only on the final confirmation screen.</w:t>
            </w:r>
          </w:p>
        </w:tc>
      </w:tr>
    </w:tbl>
    <w:p>
      <w:pPr>
        <w:spacing w:after="0" w:before="160"/>
      </w:pPr>
    </w:p>
    <w:p>
      <w:pPr>
        <w:pStyle w:val="Heading2"/>
        <w:spacing w:after="160" w:before="320"/>
      </w:pPr>
      <w:r>
        <w:rPr>
          <w:rFonts w:ascii="Arial" w:cs="Arial" w:eastAsia="Arial" w:hAnsi="Arial"/>
          <w:b/>
          <w:bCs/>
          <w:color w:val="1A1A1A"/>
          <w:sz w:val="28"/>
          <w:szCs w:val="28"/>
        </w:rPr>
        <w:t xml:space="preserve">4.2  Payout Calculation by Plan</w:t>
      </w:r>
    </w:p>
    <w:p>
      <w:pPr>
        <w:pStyle w:val="Heading3"/>
        <w:spacing w:after="120" w:before="240"/>
      </w:pPr>
      <w:r>
        <w:rPr>
          <w:rFonts w:ascii="Arial" w:cs="Arial" w:eastAsia="Arial" w:hAnsi="Arial"/>
          <w:b/>
          <w:bCs/>
          <w:color w:val="1A56DB"/>
          <w:sz w:val="24"/>
          <w:szCs w:val="24"/>
        </w:rPr>
        <w:t xml:space="preserve">Scenario A — Starter plan, ₹1,000 booking (completed)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28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b/>
                <w:bCs/>
                <w:color w:val="2D2D2D"/>
                <w:sz w:val="20"/>
                <w:szCs w:val="20"/>
              </w:rPr>
              <w:t xml:space="preserve">Client pays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2D2D2D"/>
                <w:sz w:val="20"/>
                <w:szCs w:val="20"/>
              </w:rPr>
              <w:t xml:space="preserve">₹1,000.00 (listed price only — no fee add-on on Starter)</w:t>
            </w:r>
          </w:p>
        </w:tc>
      </w:tr>
      <w:tr>
        <w:tc>
          <w:tcPr>
            <w:tcW w:type="dxa" w:w="28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b/>
                <w:bCs/>
                <w:color w:val="2D2D2D"/>
                <w:sz w:val="20"/>
                <w:szCs w:val="20"/>
              </w:rPr>
              <w:t xml:space="preserve">Razorpay fee (2.35%)</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2D2D2D"/>
                <w:sz w:val="20"/>
                <w:szCs w:val="20"/>
              </w:rPr>
              <w:t xml:space="preserve">₹23.50 — deducted from vendor payout</w:t>
            </w:r>
          </w:p>
        </w:tc>
      </w:tr>
      <w:tr>
        <w:tc>
          <w:tcPr>
            <w:tcW w:type="dxa" w:w="28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b/>
                <w:bCs/>
                <w:color w:val="2D2D2D"/>
                <w:sz w:val="20"/>
                <w:szCs w:val="20"/>
              </w:rPr>
              <w:t xml:space="preserve">Platform commission (5%)</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2D2D2D"/>
                <w:sz w:val="20"/>
                <w:szCs w:val="20"/>
              </w:rPr>
              <w:t xml:space="preserve">₹50.00 — deducted from vendor payout</w:t>
            </w:r>
          </w:p>
        </w:tc>
      </w:tr>
      <w:tr>
        <w:tc>
          <w:tcPr>
            <w:tcW w:type="dxa" w:w="28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b/>
                <w:bCs/>
                <w:color w:val="2D2D2D"/>
                <w:sz w:val="20"/>
                <w:szCs w:val="20"/>
              </w:rPr>
              <w:t xml:space="preserve">Platform convenience fee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2D2D2D"/>
                <w:sz w:val="20"/>
                <w:szCs w:val="20"/>
              </w:rPr>
              <w:t xml:space="preserve">₹11.80 — collected separately from client at checkout</w:t>
            </w:r>
          </w:p>
        </w:tc>
      </w:tr>
      <w:tr>
        <w:tc>
          <w:tcPr>
            <w:tcW w:type="dxa" w:w="28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b/>
                <w:bCs/>
                <w:color w:val="2D2D2D"/>
                <w:sz w:val="20"/>
                <w:szCs w:val="20"/>
              </w:rPr>
              <w:t xml:space="preserve">Vendor receives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2D2D2D"/>
                <w:sz w:val="20"/>
                <w:szCs w:val="20"/>
              </w:rPr>
              <w:t xml:space="preserve">₹926.50 — settled T+3 business days</w:t>
            </w:r>
          </w:p>
        </w:tc>
      </w:tr>
    </w:tbl>
    <w:p>
      <w:pPr>
        <w:spacing w:after="0" w:before="80"/>
      </w:pPr>
    </w:p>
    <w:p>
      <w:pPr>
        <w:spacing w:after="160" w:before="0"/>
        <w:jc w:val="left"/>
      </w:pPr>
      <w:r>
        <w:rPr>
          <w:rFonts w:ascii="Arial" w:cs="Arial" w:eastAsia="Arial" w:hAnsi="Arial"/>
          <w:b w:val="false"/>
          <w:bCs w:val="false"/>
          <w:i/>
          <w:iCs/>
          <w:color w:val="555555"/>
          <w:sz w:val="22"/>
          <w:szCs w:val="22"/>
        </w:rPr>
        <w:t xml:space="preserve">Note: On Starter, the Razorpay fee is 2.35% deducted from the vendor's payout, not a flat ₹11.80 passed to the client. This is intentional — it keeps the client experience simpler on the free plan while ensuring the platform recovers its costs through commission.</w:t>
      </w:r>
    </w:p>
    <w:p>
      <w:pPr>
        <w:spacing w:after="0" w:before="160"/>
      </w:pPr>
    </w:p>
    <w:p>
      <w:pPr>
        <w:pStyle w:val="Heading3"/>
        <w:spacing w:after="120" w:before="240"/>
      </w:pPr>
      <w:r>
        <w:rPr>
          <w:rFonts w:ascii="Arial" w:cs="Arial" w:eastAsia="Arial" w:hAnsi="Arial"/>
          <w:b/>
          <w:bCs/>
          <w:color w:val="1A56DB"/>
          <w:sz w:val="24"/>
          <w:szCs w:val="24"/>
        </w:rPr>
        <w:t xml:space="preserve">Scenario B — Creator or Pro plan, ₹1,000 booking (completed)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28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b/>
                <w:bCs/>
                <w:color w:val="2D2D2D"/>
                <w:sz w:val="20"/>
                <w:szCs w:val="20"/>
              </w:rPr>
              <w:t xml:space="preserve">Client pays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2D2D2D"/>
                <w:sz w:val="20"/>
                <w:szCs w:val="20"/>
              </w:rPr>
              <w:t xml:space="preserve">₹1,023.60 (₹1,000 + ₹11.80 PG fee + ₹11.80 platform fee)</w:t>
            </w:r>
          </w:p>
        </w:tc>
      </w:tr>
      <w:tr>
        <w:tc>
          <w:tcPr>
            <w:tcW w:type="dxa" w:w="28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b/>
                <w:bCs/>
                <w:color w:val="2D2D2D"/>
                <w:sz w:val="20"/>
                <w:szCs w:val="20"/>
              </w:rPr>
              <w:t xml:space="preserve">Razorpay receives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2D2D2D"/>
                <w:sz w:val="20"/>
                <w:szCs w:val="20"/>
              </w:rPr>
              <w:t xml:space="preserve">₹11.80 flat — collected directly from client, never touches platform</w:t>
            </w:r>
          </w:p>
        </w:tc>
      </w:tr>
      <w:tr>
        <w:tc>
          <w:tcPr>
            <w:tcW w:type="dxa" w:w="28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b/>
                <w:bCs/>
                <w:color w:val="2D2D2D"/>
                <w:sz w:val="20"/>
                <w:szCs w:val="20"/>
              </w:rPr>
              <w:t xml:space="preserve">Platform convenience fee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2D2D2D"/>
                <w:sz w:val="20"/>
                <w:szCs w:val="20"/>
              </w:rPr>
              <w:t xml:space="preserve">₹11.80 — routed to platform via Razorpay Route</w:t>
            </w:r>
          </w:p>
        </w:tc>
      </w:tr>
      <w:tr>
        <w:tc>
          <w:tcPr>
            <w:tcW w:type="dxa" w:w="28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b/>
                <w:bCs/>
                <w:color w:val="2D2D2D"/>
                <w:sz w:val="20"/>
                <w:szCs w:val="20"/>
              </w:rPr>
              <w:t xml:space="preserve">Platform commission</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2D2D2D"/>
                <w:sz w:val="20"/>
                <w:szCs w:val="20"/>
              </w:rPr>
              <w:t xml:space="preserve">₹0 — no commission on paid plans</w:t>
            </w:r>
          </w:p>
        </w:tc>
      </w:tr>
      <w:tr>
        <w:tc>
          <w:tcPr>
            <w:tcW w:type="dxa" w:w="28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b/>
                <w:bCs/>
                <w:color w:val="2D2D2D"/>
                <w:sz w:val="20"/>
                <w:szCs w:val="20"/>
              </w:rPr>
              <w:t xml:space="preserve">Vendor receives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2D2D2D"/>
                <w:sz w:val="20"/>
                <w:szCs w:val="20"/>
              </w:rPr>
              <w:t xml:space="preserve">₹1,000.00 — exactly the listed price, settled T+3</w:t>
            </w:r>
          </w:p>
        </w:tc>
      </w:tr>
    </w:tbl>
    <w:p>
      <w:pPr>
        <w:spacing w:after="0" w:before="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CFBF1" w:val="clear"/>
            <w:tcMar>
              <w:top w:type="dxa" w:w="120"/>
              <w:left w:type="dxa" w:w="180"/>
              <w:bottom w:type="dxa" w:w="120"/>
              <w:right w:type="dxa" w:w="180"/>
            </w:tcMar>
          </w:tcPr>
          <w:p>
            <w:pPr>
              <w:spacing w:after="40"/>
            </w:pPr>
            <w:r>
              <w:rPr>
                <w:rFonts w:ascii="Arial" w:cs="Arial" w:eastAsia="Arial" w:hAnsi="Arial"/>
                <w:b/>
                <w:bCs/>
                <w:color w:val="0F766E"/>
                <w:sz w:val="18"/>
                <w:szCs w:val="18"/>
              </w:rPr>
              <w:t xml:space="preserve">Key vendor promise on paid plans</w:t>
            </w:r>
          </w:p>
          <w:p>
            <w:pPr>
              <w:spacing w:after="0"/>
            </w:pPr>
            <w:r>
              <w:rPr>
                <w:rFonts w:ascii="Arial" w:cs="Arial" w:eastAsia="Arial" w:hAnsi="Arial"/>
                <w:color w:val="0F766E"/>
                <w:sz w:val="20"/>
                <w:szCs w:val="20"/>
              </w:rPr>
              <w:t xml:space="preserve">What you list is what you earn. Creator and Professional vendors always receive 100% of their listed price. No deductions, no surprises. This is a core upgrade incentive and must be communicated clearly on the pricing page.</w:t>
            </w:r>
          </w:p>
        </w:tc>
      </w:tr>
    </w:tbl>
    <w:p>
      <w:pPr>
        <w:spacing w:after="0" w:before="200"/>
      </w:pPr>
    </w:p>
    <w:p>
      <w:pPr>
        <w:pStyle w:val="Heading2"/>
        <w:spacing w:after="160" w:before="320"/>
      </w:pPr>
      <w:r>
        <w:rPr>
          <w:rFonts w:ascii="Arial" w:cs="Arial" w:eastAsia="Arial" w:hAnsi="Arial"/>
          <w:b/>
          <w:bCs/>
          <w:color w:val="1A1A1A"/>
          <w:sz w:val="28"/>
          <w:szCs w:val="28"/>
        </w:rPr>
        <w:t xml:space="preserve">4.3  Commission Rules — What Counts as a Completed Booking</w:t>
      </w:r>
    </w:p>
    <w:p>
      <w:pPr>
        <w:spacing w:after="160" w:before="0"/>
        <w:jc w:val="left"/>
      </w:pPr>
      <w:r>
        <w:rPr>
          <w:rFonts w:ascii="Arial" w:cs="Arial" w:eastAsia="Arial" w:hAnsi="Arial"/>
          <w:b w:val="false"/>
          <w:bCs w:val="false"/>
          <w:i w:val="false"/>
          <w:iCs w:val="false"/>
          <w:color w:val="2D2D2D"/>
          <w:sz w:val="22"/>
          <w:szCs w:val="22"/>
        </w:rPr>
        <w:t xml:space="preserve">Commission is only charged on Starter plan. It only triggers when a booking reaches "completed" status. The exact trigger rule matters because it defines the platform's revenue and must be implemented precisely in the booking state machine.</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300"/>
        <w:gridCol w:w="2760"/>
      </w:tblGrid>
      <w:tr>
        <w:trPr>
          <w:tblHeader/>
        </w:trPr>
        <w:tc>
          <w:tcPr>
            <w:tcW w:type="dxa" w:w="1800"/>
            <w:tcBorders>
              <w:top w:val="single" w:color="DDDDDD" w:sz="1"/>
              <w:left w:val="single" w:color="DDDDDD" w:sz="1"/>
              <w:bottom w:val="single" w:color="DDDDDD" w:sz="1"/>
              <w:right w:val="single" w:color="DDDDDD" w:sz="1"/>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Booking status</w:t>
            </w:r>
          </w:p>
        </w:tc>
        <w:tc>
          <w:tcPr>
            <w:tcW w:type="dxa" w:w="2500"/>
            <w:tcBorders>
              <w:top w:val="single" w:color="DDDDDD" w:sz="1"/>
              <w:left w:val="single" w:color="DDDDDD" w:sz="1"/>
              <w:bottom w:val="single" w:color="DDDDDD" w:sz="1"/>
              <w:right w:val="single" w:color="DDDDDD" w:sz="1"/>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Who caused it</w:t>
            </w:r>
          </w:p>
        </w:tc>
        <w:tc>
          <w:tcPr>
            <w:tcW w:type="dxa" w:w="2300"/>
            <w:tcBorders>
              <w:top w:val="single" w:color="DDDDDD" w:sz="1"/>
              <w:left w:val="single" w:color="DDDDDD" w:sz="1"/>
              <w:bottom w:val="single" w:color="DDDDDD" w:sz="1"/>
              <w:right w:val="single" w:color="DDDDDD" w:sz="1"/>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Commission charged?</w:t>
            </w:r>
          </w:p>
        </w:tc>
        <w:tc>
          <w:tcPr>
            <w:tcW w:type="dxa" w:w="2760"/>
            <w:tcBorders>
              <w:top w:val="single" w:color="DDDDDD" w:sz="1"/>
              <w:left w:val="single" w:color="DDDDDD" w:sz="1"/>
              <w:bottom w:val="single" w:color="DDDDDD" w:sz="1"/>
              <w:right w:val="single" w:color="DDDDDD" w:sz="1"/>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Client refund</w:t>
            </w:r>
          </w:p>
        </w:tc>
      </w:tr>
      <w:tr>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Completed</w:t>
            </w:r>
          </w:p>
        </w:tc>
        <w:tc>
          <w:tcPr>
            <w:tcW w:type="dxa" w:w="2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System auto-complete or vendor marks done</w:t>
            </w:r>
          </w:p>
        </w:tc>
        <w:tc>
          <w:tcPr>
            <w:tcW w:type="dxa" w:w="23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YES — 5% deducted at settlement</w:t>
            </w:r>
          </w:p>
        </w:tc>
        <w:tc>
          <w:tcPr>
            <w:tcW w:type="dxa" w:w="27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None</w:t>
            </w:r>
          </w:p>
        </w:tc>
      </w:tr>
      <w:tr>
        <w:tc>
          <w:tcPr>
            <w:tcW w:type="dxa" w:w="18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Cancelled</w:t>
            </w:r>
          </w:p>
        </w:tc>
        <w:tc>
          <w:tcPr>
            <w:tcW w:type="dxa" w:w="25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Client cancels before appointment</w:t>
            </w:r>
          </w:p>
        </w:tc>
        <w:tc>
          <w:tcPr>
            <w:tcW w:type="dxa" w:w="23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No</w:t>
            </w:r>
          </w:p>
        </w:tc>
        <w:tc>
          <w:tcPr>
            <w:tcW w:type="dxa" w:w="276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Per vendor's refund policy</w:t>
            </w:r>
          </w:p>
        </w:tc>
      </w:tr>
      <w:tr>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Cancelled</w:t>
            </w:r>
          </w:p>
        </w:tc>
        <w:tc>
          <w:tcPr>
            <w:tcW w:type="dxa" w:w="2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Vendor cancels</w:t>
            </w:r>
          </w:p>
        </w:tc>
        <w:tc>
          <w:tcPr>
            <w:tcW w:type="dxa" w:w="23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No</w:t>
            </w:r>
          </w:p>
        </w:tc>
        <w:tc>
          <w:tcPr>
            <w:tcW w:type="dxa" w:w="27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Full refund. Razorpay fee absorbed by platform.</w:t>
            </w:r>
          </w:p>
        </w:tc>
      </w:tr>
      <w:tr>
        <w:tc>
          <w:tcPr>
            <w:tcW w:type="dxa" w:w="18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No-show</w:t>
            </w:r>
          </w:p>
        </w:tc>
        <w:tc>
          <w:tcPr>
            <w:tcW w:type="dxa" w:w="25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Client did not attend, vendor marks no-show</w:t>
            </w:r>
          </w:p>
        </w:tc>
        <w:tc>
          <w:tcPr>
            <w:tcW w:type="dxa" w:w="23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No</w:t>
            </w:r>
          </w:p>
        </w:tc>
        <w:tc>
          <w:tcPr>
            <w:tcW w:type="dxa" w:w="276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Per vendor's no-show policy</w:t>
            </w:r>
          </w:p>
        </w:tc>
      </w:tr>
      <w:tr>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Pending / Confirmed</w:t>
            </w:r>
          </w:p>
        </w:tc>
        <w:tc>
          <w:tcPr>
            <w:tcW w:type="dxa" w:w="2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Still in progress</w:t>
            </w:r>
          </w:p>
        </w:tc>
        <w:tc>
          <w:tcPr>
            <w:tcW w:type="dxa" w:w="23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No</w:t>
            </w:r>
          </w:p>
        </w:tc>
        <w:tc>
          <w:tcPr>
            <w:tcW w:type="dxa" w:w="27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N/A</w:t>
            </w:r>
          </w:p>
        </w:tc>
      </w:tr>
    </w:tbl>
    <w:p>
      <w:pPr>
        <w:spacing w:after="0" w:before="120"/>
      </w:pPr>
    </w:p>
    <w:p>
      <w:pPr>
        <w:spacing w:after="160" w:before="0"/>
        <w:jc w:val="left"/>
      </w:pPr>
      <w:r>
        <w:rPr>
          <w:rFonts w:ascii="Arial" w:cs="Arial" w:eastAsia="Arial" w:hAnsi="Arial"/>
          <w:b w:val="false"/>
          <w:bCs w:val="false"/>
          <w:i/>
          <w:iCs/>
          <w:color w:val="555555"/>
          <w:sz w:val="22"/>
          <w:szCs w:val="22"/>
        </w:rPr>
        <w:t xml:space="preserve">Auto-complete rule: if a vendor has not marked a booking as cancelled or no-show within 24 hours of the scheduled end time, the system automatically sets status to "completed" and commission is charged. This prevents vendors from simply ignoring bookings to avoid commission.</w:t>
      </w:r>
    </w:p>
    <w:p>
      <w:pPr>
        <w:spacing w:after="0" w:before="200"/>
      </w:pPr>
    </w:p>
    <w:p>
      <w:r>
        <w:br/>
      </w:r>
    </w:p>
    <w:p>
      <w:pPr>
        <w:pStyle w:val="Heading2"/>
        <w:spacing w:after="160" w:before="320"/>
      </w:pPr>
      <w:r>
        <w:rPr>
          <w:rFonts w:ascii="Arial" w:cs="Arial" w:eastAsia="Arial" w:hAnsi="Arial"/>
          <w:b/>
          <w:bCs/>
          <w:color w:val="1A1A1A"/>
          <w:sz w:val="28"/>
          <w:szCs w:val="28"/>
        </w:rPr>
        <w:t xml:space="preserve">4.4  Subscription Purchase &amp; Activation Flow</w:t>
      </w:r>
    </w:p>
    <w:p>
      <w:pPr>
        <w:spacing w:after="160" w:before="0"/>
        <w:jc w:val="left"/>
      </w:pPr>
      <w:r>
        <w:rPr>
          <w:rFonts w:ascii="Arial" w:cs="Arial" w:eastAsia="Arial" w:hAnsi="Arial"/>
          <w:b w:val="false"/>
          <w:bCs w:val="false"/>
          <w:i w:val="false"/>
          <w:iCs w:val="false"/>
          <w:color w:val="2D2D2D"/>
          <w:sz w:val="22"/>
          <w:szCs w:val="22"/>
        </w:rPr>
        <w:t xml:space="preserve">When a vendor upgrades from Starter to Creator or Professional:</w:t>
      </w:r>
    </w:p>
    <w:p>
      <w:pPr>
        <w:pStyle w:val="ListParagraph"/>
        <w:numPr>
          <w:ilvl w:val="0"/>
          <w:numId w:val="3"/>
        </w:numPr>
        <w:spacing w:after="100"/>
      </w:pPr>
      <w:r>
        <w:rPr>
          <w:rFonts w:ascii="Arial" w:cs="Arial" w:eastAsia="Arial" w:hAnsi="Arial"/>
          <w:color w:val="2D2D2D"/>
          <w:sz w:val="22"/>
          <w:szCs w:val="22"/>
        </w:rPr>
        <w:t xml:space="preserve">Vendor selects a plan on the pricing page.</w:t>
      </w:r>
    </w:p>
    <w:p>
      <w:pPr>
        <w:pStyle w:val="ListParagraph"/>
        <w:numPr>
          <w:ilvl w:val="0"/>
          <w:numId w:val="3"/>
        </w:numPr>
        <w:spacing w:after="100"/>
      </w:pPr>
      <w:r>
        <w:rPr>
          <w:rFonts w:ascii="Arial" w:cs="Arial" w:eastAsia="Arial" w:hAnsi="Arial"/>
          <w:color w:val="2D2D2D"/>
          <w:sz w:val="22"/>
          <w:szCs w:val="22"/>
        </w:rPr>
        <w:t xml:space="preserve">Razorpay payment link is generated for the annual amount.</w:t>
      </w:r>
    </w:p>
    <w:p>
      <w:pPr>
        <w:pStyle w:val="ListParagraph"/>
        <w:numPr>
          <w:ilvl w:val="0"/>
          <w:numId w:val="3"/>
        </w:numPr>
        <w:spacing w:after="100"/>
      </w:pPr>
      <w:r>
        <w:rPr>
          <w:rFonts w:ascii="Arial" w:cs="Arial" w:eastAsia="Arial" w:hAnsi="Arial"/>
          <w:color w:val="2D2D2D"/>
          <w:sz w:val="22"/>
          <w:szCs w:val="22"/>
        </w:rPr>
        <w:t xml:space="preserve">On successful payment capture, a vendor_subscriptions record is created: starts_at = now, expires_at = now + 365 days, status = active, payment_reference = razorpay_payment_id.</w:t>
      </w:r>
    </w:p>
    <w:p>
      <w:pPr>
        <w:pStyle w:val="ListParagraph"/>
        <w:numPr>
          <w:ilvl w:val="0"/>
          <w:numId w:val="3"/>
        </w:numPr>
        <w:spacing w:after="100"/>
      </w:pPr>
      <w:r>
        <w:rPr>
          <w:rFonts w:ascii="Arial" w:cs="Arial" w:eastAsia="Arial" w:hAnsi="Arial"/>
          <w:color w:val="2D2D2D"/>
          <w:sz w:val="22"/>
          <w:szCs w:val="22"/>
        </w:rPr>
        <w:t xml:space="preserve">Features unlock immediately — no delay, no manual admin action required.</w:t>
      </w:r>
    </w:p>
    <w:p>
      <w:pPr>
        <w:pStyle w:val="ListParagraph"/>
        <w:numPr>
          <w:ilvl w:val="0"/>
          <w:numId w:val="3"/>
        </w:numPr>
        <w:spacing w:after="100"/>
      </w:pPr>
      <w:r>
        <w:rPr>
          <w:rFonts w:ascii="Arial" w:cs="Arial" w:eastAsia="Arial" w:hAnsi="Arial"/>
          <w:color w:val="2D2D2D"/>
          <w:sz w:val="22"/>
          <w:szCs w:val="22"/>
        </w:rPr>
        <w:t xml:space="preserve">An auto-invoice is generated and emailed to the vendor with the subscription receipt.</w:t>
      </w:r>
    </w:p>
    <w:p>
      <w:pPr>
        <w:pStyle w:val="ListParagraph"/>
        <w:numPr>
          <w:ilvl w:val="0"/>
          <w:numId w:val="3"/>
        </w:numPr>
        <w:spacing w:after="100"/>
      </w:pPr>
      <w:r>
        <w:rPr>
          <w:rFonts w:ascii="Arial" w:cs="Arial" w:eastAsia="Arial" w:hAnsi="Arial"/>
          <w:color w:val="2D2D2D"/>
          <w:sz w:val="22"/>
          <w:szCs w:val="22"/>
        </w:rPr>
        <w:t xml:space="preserve">The vendor's dashboard reflects the new plan within the same session.</w:t>
      </w:r>
    </w:p>
    <w:p>
      <w:pPr>
        <w:spacing w:after="0" w:before="140"/>
      </w:pPr>
    </w:p>
    <w:p>
      <w:pPr>
        <w:pStyle w:val="Heading2"/>
        <w:spacing w:after="160" w:before="320"/>
      </w:pPr>
      <w:r>
        <w:rPr>
          <w:rFonts w:ascii="Arial" w:cs="Arial" w:eastAsia="Arial" w:hAnsi="Arial"/>
          <w:b/>
          <w:bCs/>
          <w:color w:val="1A1A1A"/>
          <w:sz w:val="28"/>
          <w:szCs w:val="28"/>
        </w:rPr>
        <w:t xml:space="preserve">4.5  Renewal &amp; Expiry Behaviour</w:t>
      </w:r>
    </w:p>
    <w:p>
      <w:pPr>
        <w:spacing w:after="160" w:before="0"/>
        <w:jc w:val="left"/>
      </w:pPr>
      <w:r>
        <w:rPr>
          <w:rFonts w:ascii="Arial" w:cs="Arial" w:eastAsia="Arial" w:hAnsi="Arial"/>
          <w:b w:val="false"/>
          <w:bCs w:val="false"/>
          <w:i w:val="false"/>
          <w:iCs w:val="false"/>
          <w:color w:val="2D2D2D"/>
          <w:sz w:val="22"/>
          <w:szCs w:val="22"/>
        </w:rPr>
        <w:t xml:space="preserve">Subscriptions do not auto-renew in v1. The renewal flow is:</w:t>
      </w:r>
    </w:p>
    <w:p>
      <w:pPr>
        <w:pStyle w:val="ListParagraph"/>
        <w:numPr>
          <w:ilvl w:val="0"/>
          <w:numId w:val="2"/>
        </w:numPr>
        <w:spacing w:after="80"/>
      </w:pPr>
      <w:r>
        <w:rPr>
          <w:rFonts w:ascii="Arial" w:cs="Arial" w:eastAsia="Arial" w:hAnsi="Arial"/>
          <w:b w:val="false"/>
          <w:bCs w:val="false"/>
          <w:color w:val="2D2D2D"/>
          <w:sz w:val="22"/>
          <w:szCs w:val="22"/>
        </w:rPr>
        <w:t xml:space="preserve">30 days before expiry: email reminder sent to vendor.</w:t>
      </w:r>
    </w:p>
    <w:p>
      <w:pPr>
        <w:pStyle w:val="ListParagraph"/>
        <w:numPr>
          <w:ilvl w:val="0"/>
          <w:numId w:val="2"/>
        </w:numPr>
        <w:spacing w:after="80"/>
      </w:pPr>
      <w:r>
        <w:rPr>
          <w:rFonts w:ascii="Arial" w:cs="Arial" w:eastAsia="Arial" w:hAnsi="Arial"/>
          <w:b w:val="false"/>
          <w:bCs w:val="false"/>
          <w:color w:val="2D2D2D"/>
          <w:sz w:val="22"/>
          <w:szCs w:val="22"/>
        </w:rPr>
        <w:t xml:space="preserve">7 days before expiry: second email reminder.</w:t>
      </w:r>
    </w:p>
    <w:p>
      <w:pPr>
        <w:pStyle w:val="ListParagraph"/>
        <w:numPr>
          <w:ilvl w:val="0"/>
          <w:numId w:val="2"/>
        </w:numPr>
        <w:spacing w:after="80"/>
      </w:pPr>
      <w:r>
        <w:rPr>
          <w:rFonts w:ascii="Arial" w:cs="Arial" w:eastAsia="Arial" w:hAnsi="Arial"/>
          <w:b w:val="false"/>
          <w:bCs w:val="false"/>
          <w:color w:val="2D2D2D"/>
          <w:sz w:val="22"/>
          <w:szCs w:val="22"/>
        </w:rPr>
        <w:t xml:space="preserve">1 day before expiry: final reminder with urgent CTA.</w:t>
      </w:r>
    </w:p>
    <w:p>
      <w:pPr>
        <w:pStyle w:val="ListParagraph"/>
        <w:numPr>
          <w:ilvl w:val="0"/>
          <w:numId w:val="2"/>
        </w:numPr>
        <w:spacing w:after="80"/>
      </w:pPr>
      <w:r>
        <w:rPr>
          <w:rFonts w:ascii="Arial" w:cs="Arial" w:eastAsia="Arial" w:hAnsi="Arial"/>
          <w:b w:val="false"/>
          <w:bCs w:val="false"/>
          <w:color w:val="2D2D2D"/>
          <w:sz w:val="22"/>
          <w:szCs w:val="22"/>
        </w:rPr>
        <w:t xml:space="preserve">On expiry date: account automatically downgrades to Starter. No data is deleted.</w:t>
      </w:r>
    </w:p>
    <w:p>
      <w:pPr>
        <w:pStyle w:val="ListParagraph"/>
        <w:numPr>
          <w:ilvl w:val="0"/>
          <w:numId w:val="2"/>
        </w:numPr>
        <w:spacing w:after="80"/>
      </w:pPr>
      <w:r>
        <w:rPr>
          <w:rFonts w:ascii="Arial" w:cs="Arial" w:eastAsia="Arial" w:hAnsi="Arial"/>
          <w:b w:val="false"/>
          <w:bCs w:val="false"/>
          <w:color w:val="2D2D2D"/>
          <w:sz w:val="22"/>
          <w:szCs w:val="22"/>
        </w:rPr>
        <w:t xml:space="preserve">Post-expiry on Starter: all existing services, bookings, and client records are retained but the account is limited to Starter feature set immediately.</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CD" w:val="clear"/>
            <w:tcMar>
              <w:top w:type="dxa" w:w="120"/>
              <w:left w:type="dxa" w:w="180"/>
              <w:bottom w:type="dxa" w:w="120"/>
              <w:right w:type="dxa" w:w="180"/>
            </w:tcMar>
          </w:tcPr>
          <w:p>
            <w:pPr>
              <w:spacing w:after="40"/>
            </w:pPr>
            <w:r>
              <w:rPr>
                <w:rFonts w:ascii="Arial" w:cs="Arial" w:eastAsia="Arial" w:hAnsi="Arial"/>
                <w:b/>
                <w:bCs/>
                <w:color w:val="7D4E00"/>
                <w:sz w:val="18"/>
                <w:szCs w:val="18"/>
              </w:rPr>
              <w:t xml:space="preserve">Data retention on downgrade</w:t>
            </w:r>
          </w:p>
          <w:p>
            <w:pPr>
              <w:spacing w:after="0"/>
            </w:pPr>
            <w:r>
              <w:rPr>
                <w:rFonts w:ascii="Arial" w:cs="Arial" w:eastAsia="Arial" w:hAnsi="Arial"/>
                <w:color w:val="7D4E00"/>
                <w:sz w:val="20"/>
                <w:szCs w:val="20"/>
              </w:rPr>
              <w:t xml:space="preserve">If a vendor had 25 services on Creator and downgrades to Starter (10-service limit), their existing 25 services are NOT deleted. They are set to read-only. The vendor cannot create new services or accept new bookings until they either upgrade again or archive services down to 10. This is communicated via an in-app banner.</w:t>
            </w:r>
          </w:p>
        </w:tc>
      </w:tr>
    </w:tbl>
    <w:p>
      <w:pPr>
        <w:spacing w:after="0" w:before="200"/>
      </w:pPr>
    </w:p>
    <w:p>
      <w:pPr>
        <w:pStyle w:val="Heading2"/>
        <w:spacing w:after="160" w:before="320"/>
      </w:pPr>
      <w:r>
        <w:rPr>
          <w:rFonts w:ascii="Arial" w:cs="Arial" w:eastAsia="Arial" w:hAnsi="Arial"/>
          <w:b/>
          <w:bCs/>
          <w:color w:val="1A1A1A"/>
          <w:sz w:val="28"/>
          <w:szCs w:val="28"/>
        </w:rPr>
        <w:t xml:space="preserve">4.6  Downgrade Rules</w:t>
      </w:r>
    </w:p>
    <w:p>
      <w:pPr>
        <w:spacing w:after="160" w:before="0"/>
        <w:jc w:val="left"/>
      </w:pPr>
      <w:r>
        <w:rPr>
          <w:rFonts w:ascii="Arial" w:cs="Arial" w:eastAsia="Arial" w:hAnsi="Arial"/>
          <w:b w:val="false"/>
          <w:bCs w:val="false"/>
          <w:i w:val="false"/>
          <w:iCs w:val="false"/>
          <w:color w:val="2D2D2D"/>
          <w:sz w:val="22"/>
          <w:szCs w:val="22"/>
        </w:rPr>
        <w:t xml:space="preserve">Vendors cannot switch to a lower plan mid-cycle. If a vendor selects a lower plan, the change is queued and applied at the next renewal date. If at renewal the vendor's usage exceeds the new plan's limits, the account enters a limit_exceeded grace state:</w:t>
      </w:r>
    </w:p>
    <w:p>
      <w:pPr>
        <w:pStyle w:val="ListParagraph"/>
        <w:numPr>
          <w:ilvl w:val="0"/>
          <w:numId w:val="2"/>
        </w:numPr>
        <w:spacing w:after="80"/>
      </w:pPr>
      <w:r>
        <w:rPr>
          <w:rFonts w:ascii="Arial" w:cs="Arial" w:eastAsia="Arial" w:hAnsi="Arial"/>
          <w:b w:val="false"/>
          <w:bCs w:val="false"/>
          <w:color w:val="2D2D2D"/>
          <w:sz w:val="22"/>
          <w:szCs w:val="22"/>
        </w:rPr>
        <w:t xml:space="preserve">Existing data: read-only.</w:t>
      </w:r>
    </w:p>
    <w:p>
      <w:pPr>
        <w:pStyle w:val="ListParagraph"/>
        <w:numPr>
          <w:ilvl w:val="0"/>
          <w:numId w:val="2"/>
        </w:numPr>
        <w:spacing w:after="80"/>
      </w:pPr>
      <w:r>
        <w:rPr>
          <w:rFonts w:ascii="Arial" w:cs="Arial" w:eastAsia="Arial" w:hAnsi="Arial"/>
          <w:b w:val="false"/>
          <w:bCs w:val="false"/>
          <w:color w:val="2D2D2D"/>
          <w:sz w:val="22"/>
          <w:szCs w:val="22"/>
        </w:rPr>
        <w:t xml:space="preserve">New bookings: blocked until resolved.</w:t>
      </w:r>
    </w:p>
    <w:p>
      <w:pPr>
        <w:pStyle w:val="ListParagraph"/>
        <w:numPr>
          <w:ilvl w:val="0"/>
          <w:numId w:val="2"/>
        </w:numPr>
        <w:spacing w:after="80"/>
      </w:pPr>
      <w:r>
        <w:rPr>
          <w:rFonts w:ascii="Arial" w:cs="Arial" w:eastAsia="Arial" w:hAnsi="Arial"/>
          <w:b w:val="false"/>
          <w:bCs w:val="false"/>
          <w:color w:val="2D2D2D"/>
          <w:sz w:val="22"/>
          <w:szCs w:val="22"/>
        </w:rPr>
        <w:t xml:space="preserve">New services or digital products: blocked.</w:t>
      </w:r>
    </w:p>
    <w:p>
      <w:pPr>
        <w:pStyle w:val="ListParagraph"/>
        <w:numPr>
          <w:ilvl w:val="0"/>
          <w:numId w:val="2"/>
        </w:numPr>
        <w:spacing w:after="80"/>
      </w:pPr>
      <w:r>
        <w:rPr>
          <w:rFonts w:ascii="Arial" w:cs="Arial" w:eastAsia="Arial" w:hAnsi="Arial"/>
          <w:b w:val="false"/>
          <w:bCs w:val="false"/>
          <w:color w:val="2D2D2D"/>
          <w:sz w:val="22"/>
          <w:szCs w:val="22"/>
        </w:rPr>
        <w:t xml:space="preserve">Admin is notified automatically.</w:t>
      </w:r>
    </w:p>
    <w:p>
      <w:pPr>
        <w:pStyle w:val="ListParagraph"/>
        <w:numPr>
          <w:ilvl w:val="0"/>
          <w:numId w:val="2"/>
        </w:numPr>
        <w:spacing w:after="80"/>
      </w:pPr>
      <w:r>
        <w:rPr>
          <w:rFonts w:ascii="Arial" w:cs="Arial" w:eastAsia="Arial" w:hAnsi="Arial"/>
          <w:b w:val="false"/>
          <w:bCs w:val="false"/>
          <w:color w:val="2D2D2D"/>
          <w:sz w:val="22"/>
          <w:szCs w:val="22"/>
        </w:rPr>
        <w:t xml:space="preserve">Vendor sees an in-app banner listing exactly which limits are exceeded and the steps to resolve.</w:t>
      </w:r>
    </w:p>
    <w:p>
      <w:pPr>
        <w:spacing w:after="0" w:before="200"/>
      </w:pPr>
    </w:p>
    <w:p>
      <w:pPr>
        <w:pStyle w:val="Heading2"/>
        <w:spacing w:after="160" w:before="320"/>
      </w:pPr>
      <w:r>
        <w:rPr>
          <w:rFonts w:ascii="Arial" w:cs="Arial" w:eastAsia="Arial" w:hAnsi="Arial"/>
          <w:b/>
          <w:bCs/>
          <w:color w:val="1A1A1A"/>
          <w:sz w:val="28"/>
          <w:szCs w:val="28"/>
        </w:rPr>
        <w:t xml:space="preserve">4.7  Cancellation &amp; Refund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2200"/>
        <w:gridCol w:w="2760"/>
      </w:tblGrid>
      <w:tr>
        <w:trPr>
          <w:tblHeader/>
        </w:trPr>
        <w:tc>
          <w:tcPr>
            <w:tcW w:type="dxa" w:w="1400"/>
            <w:tcBorders>
              <w:top w:val="single" w:color="DDDDDD" w:sz="1"/>
              <w:left w:val="single" w:color="DDDDDD" w:sz="1"/>
              <w:bottom w:val="single" w:color="DDDDDD" w:sz="1"/>
              <w:right w:val="single" w:color="DDDDDD" w:sz="1"/>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Plan</w:t>
            </w:r>
          </w:p>
        </w:tc>
        <w:tc>
          <w:tcPr>
            <w:tcW w:type="dxa" w:w="3000"/>
            <w:tcBorders>
              <w:top w:val="single" w:color="DDDDDD" w:sz="1"/>
              <w:left w:val="single" w:color="DDDDDD" w:sz="1"/>
              <w:bottom w:val="single" w:color="DDDDDD" w:sz="1"/>
              <w:right w:val="single" w:color="DDDDDD" w:sz="1"/>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Platform keeps</w:t>
            </w:r>
          </w:p>
        </w:tc>
        <w:tc>
          <w:tcPr>
            <w:tcW w:type="dxa" w:w="2200"/>
            <w:tcBorders>
              <w:top w:val="single" w:color="DDDDDD" w:sz="1"/>
              <w:left w:val="single" w:color="DDDDDD" w:sz="1"/>
              <w:bottom w:val="single" w:color="DDDDDD" w:sz="1"/>
              <w:right w:val="single" w:color="DDDDDD" w:sz="1"/>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Vendor refunded</w:t>
            </w:r>
          </w:p>
        </w:tc>
        <w:tc>
          <w:tcPr>
            <w:tcW w:type="dxa" w:w="2760"/>
            <w:tcBorders>
              <w:top w:val="single" w:color="DDDDDD" w:sz="1"/>
              <w:left w:val="single" w:color="DDDDDD" w:sz="1"/>
              <w:bottom w:val="single" w:color="DDDDDD" w:sz="1"/>
              <w:right w:val="single" w:color="DDDDDD" w:sz="1"/>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Access after cancellation</w:t>
            </w:r>
          </w:p>
        </w:tc>
      </w:tr>
      <w:tr>
        <w:tc>
          <w:tcPr>
            <w:tcW w:type="dxa" w:w="1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Starter</w:t>
            </w:r>
          </w:p>
        </w:tc>
        <w:tc>
          <w:tcPr>
            <w:tcW w:type="dxa" w:w="3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All commissions already earned + Razorpay fees on processed bookings</w:t>
            </w:r>
          </w:p>
        </w:tc>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₹0 — nothing was paid</w:t>
            </w:r>
          </w:p>
        </w:tc>
        <w:tc>
          <w:tcPr>
            <w:tcW w:type="dxa" w:w="27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Continues on Starter (free)</w:t>
            </w:r>
          </w:p>
        </w:tc>
      </w:tr>
      <w:tr>
        <w:tc>
          <w:tcPr>
            <w:tcW w:type="dxa" w:w="14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Creator</w:t>
            </w:r>
          </w:p>
        </w:tc>
        <w:tc>
          <w:tcPr>
            <w:tcW w:type="dxa" w:w="30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Full ₹999 + Razorpay fee on the subscription payment (₹23.50)</w:t>
            </w:r>
          </w:p>
        </w:tc>
        <w:tc>
          <w:tcPr>
            <w:tcW w:type="dxa" w:w="22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₹0</w:t>
            </w:r>
          </w:p>
        </w:tc>
        <w:tc>
          <w:tcPr>
            <w:tcW w:type="dxa" w:w="276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Access until expiry date</w:t>
            </w:r>
          </w:p>
        </w:tc>
      </w:tr>
      <w:tr>
        <w:tc>
          <w:tcPr>
            <w:tcW w:type="dxa" w:w="1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Professional</w:t>
            </w:r>
          </w:p>
        </w:tc>
        <w:tc>
          <w:tcPr>
            <w:tcW w:type="dxa" w:w="3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Full ₹3,650 + Razorpay fee on subscription payment (₹85.78)</w:t>
            </w:r>
          </w:p>
        </w:tc>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₹0</w:t>
            </w:r>
          </w:p>
        </w:tc>
        <w:tc>
          <w:tcPr>
            <w:tcW w:type="dxa" w:w="27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Access until expiry date</w:t>
            </w:r>
          </w:p>
        </w:tc>
      </w:tr>
    </w:tbl>
    <w:p>
      <w:pPr>
        <w:spacing w:after="0" w:before="120"/>
      </w:pPr>
    </w:p>
    <w:p>
      <w:pPr>
        <w:spacing w:after="160" w:before="0"/>
        <w:jc w:val="left"/>
      </w:pPr>
      <w:r>
        <w:rPr>
          <w:rFonts w:ascii="Arial" w:cs="Arial" w:eastAsia="Arial" w:hAnsi="Arial"/>
          <w:b w:val="false"/>
          <w:bCs w:val="false"/>
          <w:i/>
          <w:iCs/>
          <w:color w:val="555555"/>
          <w:sz w:val="22"/>
          <w:szCs w:val="22"/>
        </w:rPr>
        <w:t xml:space="preserve">Annual subscription fees are non-refundable on all paid plans. The vendor's access continues until the plan expiry date regardless of when they cancel. This mirrors the model used by Hostinger, Amazon Prime, and Netflix — cancellation stops renewal, it does not revoke access already paid for.</w:t>
      </w:r>
    </w:p>
    <w:p>
      <w:pPr>
        <w:spacing w:after="0" w:before="200"/>
      </w:pPr>
    </w:p>
    <w:p>
      <w:pPr>
        <w:pStyle w:val="Heading2"/>
        <w:spacing w:after="160" w:before="320"/>
      </w:pPr>
      <w:r>
        <w:rPr>
          <w:rFonts w:ascii="Arial" w:cs="Arial" w:eastAsia="Arial" w:hAnsi="Arial"/>
          <w:b/>
          <w:bCs/>
          <w:color w:val="1A1A1A"/>
          <w:sz w:val="28"/>
          <w:szCs w:val="28"/>
        </w:rPr>
        <w:t xml:space="preserve">4.8  Payment Failure Handling</w:t>
      </w:r>
    </w:p>
    <w:p>
      <w:pPr>
        <w:spacing w:after="160" w:before="0"/>
        <w:jc w:val="left"/>
      </w:pPr>
      <w:r>
        <w:rPr>
          <w:rFonts w:ascii="Arial" w:cs="Arial" w:eastAsia="Arial" w:hAnsi="Arial"/>
          <w:b w:val="false"/>
          <w:bCs w:val="false"/>
          <w:i w:val="false"/>
          <w:iCs w:val="false"/>
          <w:color w:val="2D2D2D"/>
          <w:sz w:val="22"/>
          <w:szCs w:val="22"/>
        </w:rPr>
        <w:t xml:space="preserve">If a subscription payment fails (card decline, bank timeout, UPI failure):</w:t>
      </w:r>
    </w:p>
    <w:p>
      <w:pPr>
        <w:pStyle w:val="ListParagraph"/>
        <w:numPr>
          <w:ilvl w:val="0"/>
          <w:numId w:val="2"/>
        </w:numPr>
        <w:spacing w:after="80"/>
      </w:pPr>
      <w:r>
        <w:rPr>
          <w:rFonts w:ascii="Arial" w:cs="Arial" w:eastAsia="Arial" w:hAnsi="Arial"/>
          <w:b w:val="false"/>
          <w:bCs w:val="false"/>
          <w:color w:val="2D2D2D"/>
          <w:sz w:val="22"/>
          <w:szCs w:val="22"/>
        </w:rPr>
        <w:t xml:space="preserve">Razorpay retries automatically per its internal retry logic.</w:t>
      </w:r>
    </w:p>
    <w:p>
      <w:pPr>
        <w:pStyle w:val="ListParagraph"/>
        <w:numPr>
          <w:ilvl w:val="0"/>
          <w:numId w:val="2"/>
        </w:numPr>
        <w:spacing w:after="80"/>
      </w:pPr>
      <w:r>
        <w:rPr>
          <w:rFonts w:ascii="Arial" w:cs="Arial" w:eastAsia="Arial" w:hAnsi="Arial"/>
          <w:b w:val="false"/>
          <w:bCs w:val="false"/>
          <w:color w:val="2D2D2D"/>
          <w:sz w:val="22"/>
          <w:szCs w:val="22"/>
        </w:rPr>
        <w:t xml:space="preserve">If payment is not captured within 24 hours, the subscription is not activated.</w:t>
      </w:r>
    </w:p>
    <w:p>
      <w:pPr>
        <w:pStyle w:val="ListParagraph"/>
        <w:numPr>
          <w:ilvl w:val="0"/>
          <w:numId w:val="2"/>
        </w:numPr>
        <w:spacing w:after="80"/>
      </w:pPr>
      <w:r>
        <w:rPr>
          <w:rFonts w:ascii="Arial" w:cs="Arial" w:eastAsia="Arial" w:hAnsi="Arial"/>
          <w:b w:val="false"/>
          <w:bCs w:val="false"/>
          <w:color w:val="2D2D2D"/>
          <w:sz w:val="22"/>
          <w:szCs w:val="22"/>
        </w:rPr>
        <w:t xml:space="preserve">The vendor remains on their current plan — no gap in service.</w:t>
      </w:r>
    </w:p>
    <w:p>
      <w:pPr>
        <w:pStyle w:val="ListParagraph"/>
        <w:numPr>
          <w:ilvl w:val="0"/>
          <w:numId w:val="2"/>
        </w:numPr>
        <w:spacing w:after="80"/>
      </w:pPr>
      <w:r>
        <w:rPr>
          <w:rFonts w:ascii="Arial" w:cs="Arial" w:eastAsia="Arial" w:hAnsi="Arial"/>
          <w:b w:val="false"/>
          <w:bCs w:val="false"/>
          <w:color w:val="2D2D2D"/>
          <w:sz w:val="22"/>
          <w:szCs w:val="22"/>
        </w:rPr>
        <w:t xml:space="preserve">A failure notification email is sent with a direct retry link.</w:t>
      </w:r>
    </w:p>
    <w:p>
      <w:pPr>
        <w:pStyle w:val="ListParagraph"/>
        <w:numPr>
          <w:ilvl w:val="0"/>
          <w:numId w:val="2"/>
        </w:numPr>
        <w:spacing w:after="80"/>
      </w:pPr>
      <w:r>
        <w:rPr>
          <w:rFonts w:ascii="Arial" w:cs="Arial" w:eastAsia="Arial" w:hAnsi="Arial"/>
          <w:b w:val="false"/>
          <w:bCs w:val="false"/>
          <w:color w:val="2D2D2D"/>
          <w:sz w:val="22"/>
          <w:szCs w:val="22"/>
        </w:rPr>
        <w:t xml:space="preserve">No grace period is granted. There is no "pending upgrade" state.</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CEA" w:val="clear"/>
            <w:tcMar>
              <w:top w:type="dxa" w:w="120"/>
              <w:left w:type="dxa" w:w="180"/>
              <w:bottom w:type="dxa" w:w="120"/>
              <w:right w:type="dxa" w:w="180"/>
            </w:tcMar>
          </w:tcPr>
          <w:p>
            <w:pPr>
              <w:spacing w:after="40"/>
            </w:pPr>
            <w:r>
              <w:rPr>
                <w:rFonts w:ascii="Arial" w:cs="Arial" w:eastAsia="Arial" w:hAnsi="Arial"/>
                <w:b/>
                <w:bCs/>
                <w:color w:val="A02020"/>
                <w:sz w:val="18"/>
                <w:szCs w:val="18"/>
              </w:rPr>
              <w:t xml:space="preserve">Minimum booking value for online payment</w:t>
            </w:r>
          </w:p>
          <w:p>
            <w:pPr>
              <w:spacing w:after="0"/>
            </w:pPr>
            <w:r>
              <w:rPr>
                <w:rFonts w:ascii="Arial" w:cs="Arial" w:eastAsia="Arial" w:hAnsi="Arial"/>
                <w:color w:val="A02020"/>
                <w:sz w:val="20"/>
                <w:szCs w:val="20"/>
              </w:rPr>
              <w:t xml:space="preserve">₹250. Bookings below this threshold must be collected offline or in cash. The combined client fee surcharge (₹11.80 PG + ₹11.80 platform = ₹23.60) on a ₹100 booking represents a 23.6% surcharge, which will visibly destroy checkout conversion. The ₹250 floor keeps the surcharge below 9.5%.</w:t>
            </w:r>
          </w:p>
        </w:tc>
      </w:tr>
    </w:tbl>
    <w:p>
      <w:pPr>
        <w:spacing w:after="0" w:before="200"/>
      </w:pPr>
    </w:p>
    <w:p>
      <w:r>
        <w:br/>
      </w:r>
    </w:p>
    <w:p>
      <w:pPr>
        <w:pStyle w:val="Heading1"/>
        <w:spacing w:after="200" w:before="400"/>
      </w:pPr>
      <w:r>
        <w:rPr>
          <w:rFonts w:ascii="Arial" w:cs="Arial" w:eastAsia="Arial" w:hAnsi="Arial"/>
          <w:b/>
          <w:bCs/>
          <w:color w:val="1A1A1A"/>
          <w:sz w:val="36"/>
          <w:szCs w:val="36"/>
        </w:rPr>
        <w:t xml:space="preserve">Section 5 — WhatsApp Notification Architecture</w:t>
      </w:r>
    </w:p>
    <w:p>
      <w:pPr>
        <w:spacing w:after="160" w:before="0"/>
        <w:jc w:val="left"/>
      </w:pPr>
      <w:r>
        <w:rPr>
          <w:rFonts w:ascii="Arial" w:cs="Arial" w:eastAsia="Arial" w:hAnsi="Arial"/>
          <w:b w:val="false"/>
          <w:bCs w:val="false"/>
          <w:i w:val="false"/>
          <w:iCs w:val="false"/>
          <w:color w:val="2D2D2D"/>
          <w:sz w:val="22"/>
          <w:szCs w:val="22"/>
        </w:rPr>
        <w:t xml:space="preserve">WhatsApp Business API costs are the single largest variable cost risk on this platform. This section defines exactly which messages are sent, on which plans, at what Meta-defined category (which determines price), and how the platform exploits free messaging windows to reduce costs.</w:t>
      </w:r>
    </w:p>
    <w:p>
      <w:pPr>
        <w:spacing w:after="0" w:before="140"/>
      </w:pPr>
    </w:p>
    <w:p>
      <w:pPr>
        <w:pStyle w:val="Heading2"/>
        <w:spacing w:after="160" w:before="320"/>
      </w:pPr>
      <w:r>
        <w:rPr>
          <w:rFonts w:ascii="Arial" w:cs="Arial" w:eastAsia="Arial" w:hAnsi="Arial"/>
          <w:b/>
          <w:bCs/>
          <w:color w:val="1A1A1A"/>
          <w:sz w:val="28"/>
          <w:szCs w:val="28"/>
        </w:rPr>
        <w:t xml:space="preserve">5.1  Meta Pricing Categories (as of 2025–2026)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800"/>
        <w:gridCol w:w="2560"/>
      </w:tblGrid>
      <w:tr>
        <w:trPr>
          <w:tblHeader/>
        </w:trPr>
        <w:tc>
          <w:tcPr>
            <w:tcW w:type="dxa" w:w="1800"/>
            <w:tcBorders>
              <w:top w:val="single" w:color="DDDDDD" w:sz="1"/>
              <w:left w:val="single" w:color="DDDDDD" w:sz="1"/>
              <w:bottom w:val="single" w:color="DDDDDD" w:sz="1"/>
              <w:right w:val="single" w:color="DDDDDD" w:sz="1"/>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Category</w:t>
            </w:r>
          </w:p>
        </w:tc>
        <w:tc>
          <w:tcPr>
            <w:tcW w:type="dxa" w:w="2200"/>
            <w:tcBorders>
              <w:top w:val="single" w:color="DDDDDD" w:sz="1"/>
              <w:left w:val="single" w:color="DDDDDD" w:sz="1"/>
              <w:bottom w:val="single" w:color="DDDDDD" w:sz="1"/>
              <w:right w:val="single" w:color="DDDDDD" w:sz="1"/>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Cost per message (India)</w:t>
            </w:r>
          </w:p>
        </w:tc>
        <w:tc>
          <w:tcPr>
            <w:tcW w:type="dxa" w:w="2800"/>
            <w:tcBorders>
              <w:top w:val="single" w:color="DDDDDD" w:sz="1"/>
              <w:left w:val="single" w:color="DDDDDD" w:sz="1"/>
              <w:bottom w:val="single" w:color="DDDDDD" w:sz="1"/>
              <w:right w:val="single" w:color="DDDDDD" w:sz="1"/>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When used</w:t>
            </w:r>
          </w:p>
        </w:tc>
        <w:tc>
          <w:tcPr>
            <w:tcW w:type="dxa" w:w="2560"/>
            <w:tcBorders>
              <w:top w:val="single" w:color="DDDDDD" w:sz="1"/>
              <w:left w:val="single" w:color="DDDDDD" w:sz="1"/>
              <w:bottom w:val="single" w:color="DDDDDD" w:sz="1"/>
              <w:right w:val="single" w:color="DDDDDD" w:sz="1"/>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Who initiates</w:t>
            </w:r>
          </w:p>
        </w:tc>
      </w:tr>
      <w:tr>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Service</w:t>
            </w:r>
          </w:p>
        </w:tc>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₹0.00 (free)</w:t>
            </w:r>
          </w:p>
        </w:tc>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Reply to client within 24h of client's message</w:t>
            </w:r>
          </w:p>
        </w:tc>
        <w:tc>
          <w:tcPr>
            <w:tcW w:type="dxa" w:w="2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Client initiates</w:t>
            </w:r>
          </w:p>
        </w:tc>
      </w:tr>
      <w:tr>
        <w:tc>
          <w:tcPr>
            <w:tcW w:type="dxa" w:w="18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Utility (inside free window)</w:t>
            </w:r>
          </w:p>
        </w:tc>
        <w:tc>
          <w:tcPr>
            <w:tcW w:type="dxa" w:w="22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₹0.00 (free from July 2025)</w:t>
            </w:r>
          </w:p>
        </w:tc>
        <w:tc>
          <w:tcPr>
            <w:tcW w:type="dxa" w:w="28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Utility template within 24h client window</w:t>
            </w:r>
          </w:p>
        </w:tc>
        <w:tc>
          <w:tcPr>
            <w:tcW w:type="dxa" w:w="256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Business sends</w:t>
            </w:r>
          </w:p>
        </w:tc>
      </w:tr>
      <w:tr>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Utility (outside free window)</w:t>
            </w:r>
          </w:p>
        </w:tc>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₹0.14</w:t>
            </w:r>
          </w:p>
        </w:tc>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Booking confirmations, reminders, status updates</w:t>
            </w:r>
          </w:p>
        </w:tc>
        <w:tc>
          <w:tcPr>
            <w:tcW w:type="dxa" w:w="2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Business sends</w:t>
            </w:r>
          </w:p>
        </w:tc>
      </w:tr>
      <w:tr>
        <w:tc>
          <w:tcPr>
            <w:tcW w:type="dxa" w:w="18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Marketing</w:t>
            </w:r>
          </w:p>
        </w:tc>
        <w:tc>
          <w:tcPr>
            <w:tcW w:type="dxa" w:w="22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₹0.83 – ₹1.25</w:t>
            </w:r>
          </w:p>
        </w:tc>
        <w:tc>
          <w:tcPr>
            <w:tcW w:type="dxa" w:w="28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Follow-ups, review requests, rebook prompts</w:t>
            </w:r>
          </w:p>
        </w:tc>
        <w:tc>
          <w:tcPr>
            <w:tcW w:type="dxa" w:w="256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Business sends</w:t>
            </w:r>
          </w:p>
        </w:tc>
      </w:tr>
      <w:tr>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Authentication (OTP)</w:t>
            </w:r>
          </w:p>
        </w:tc>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₹0.14</w:t>
            </w:r>
          </w:p>
        </w:tc>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Login OTPs, payment confirmation OTPs</w:t>
            </w:r>
          </w:p>
        </w:tc>
        <w:tc>
          <w:tcPr>
            <w:tcW w:type="dxa" w:w="2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Business sends</w:t>
            </w:r>
          </w:p>
        </w:tc>
      </w:tr>
    </w:tbl>
    <w:p>
      <w:pPr>
        <w:spacing w:after="0" w:before="160"/>
      </w:pPr>
    </w:p>
    <w:p>
      <w:pPr>
        <w:pStyle w:val="Heading2"/>
        <w:spacing w:after="160" w:before="320"/>
      </w:pPr>
      <w:r>
        <w:rPr>
          <w:rFonts w:ascii="Arial" w:cs="Arial" w:eastAsia="Arial" w:hAnsi="Arial"/>
          <w:b/>
          <w:bCs/>
          <w:color w:val="1A1A1A"/>
          <w:sz w:val="28"/>
          <w:szCs w:val="28"/>
        </w:rPr>
        <w:t xml:space="preserve">5.2  WhatsApp by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700"/>
        <w:gridCol w:w="2300"/>
        <w:gridCol w:w="2860"/>
      </w:tblGrid>
      <w:tr>
        <w:trPr>
          <w:tblHeader/>
        </w:trPr>
        <w:tc>
          <w:tcPr>
            <w:tcW w:type="dxa" w:w="2500"/>
            <w:tcBorders>
              <w:top w:val="single" w:color="DDDDDD" w:sz="1"/>
              <w:left w:val="single" w:color="DDDDDD" w:sz="1"/>
              <w:bottom w:val="single" w:color="DDDDDD" w:sz="1"/>
              <w:right w:val="single" w:color="DDDDDD" w:sz="1"/>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Notification type</w:t>
            </w:r>
          </w:p>
        </w:tc>
        <w:tc>
          <w:tcPr>
            <w:tcW w:type="dxa" w:w="1700"/>
            <w:tcBorders>
              <w:top w:val="single" w:color="DDDDDD" w:sz="1"/>
              <w:left w:val="single" w:color="DDDDDD" w:sz="1"/>
              <w:bottom w:val="single" w:color="DDDDDD" w:sz="1"/>
              <w:right w:val="single" w:color="DDDDDD" w:sz="1"/>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Starter</w:t>
            </w:r>
          </w:p>
        </w:tc>
        <w:tc>
          <w:tcPr>
            <w:tcW w:type="dxa" w:w="2300"/>
            <w:tcBorders>
              <w:top w:val="single" w:color="DDDDDD" w:sz="1"/>
              <w:left w:val="single" w:color="DDDDDD" w:sz="1"/>
              <w:bottom w:val="single" w:color="DDDDDD" w:sz="1"/>
              <w:right w:val="single" w:color="DDDDDD" w:sz="1"/>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Creator</w:t>
            </w:r>
          </w:p>
        </w:tc>
        <w:tc>
          <w:tcPr>
            <w:tcW w:type="dxa" w:w="2860"/>
            <w:tcBorders>
              <w:top w:val="single" w:color="DDDDDD" w:sz="1"/>
              <w:left w:val="single" w:color="DDDDDD" w:sz="1"/>
              <w:bottom w:val="single" w:color="DDDDDD" w:sz="1"/>
              <w:right w:val="single" w:color="DDDDDD" w:sz="1"/>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Professional</w:t>
            </w:r>
          </w:p>
        </w:tc>
      </w:tr>
      <w:tr>
        <w:tc>
          <w:tcPr>
            <w:tcW w:type="dxa" w:w="2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Booking confirmation</w:t>
            </w:r>
          </w:p>
        </w:tc>
        <w:tc>
          <w:tcPr>
            <w:tcW w:type="dxa" w:w="17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Email only</w:t>
            </w:r>
          </w:p>
        </w:tc>
        <w:tc>
          <w:tcPr>
            <w:tcW w:type="dxa" w:w="23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Email + WhatsApp (utility)</w:t>
            </w:r>
          </w:p>
        </w:tc>
        <w:tc>
          <w:tcPr>
            <w:tcW w:type="dxa" w:w="28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Email + WhatsApp (utility)</w:t>
            </w:r>
          </w:p>
        </w:tc>
      </w:tr>
      <w:tr>
        <w:tc>
          <w:tcPr>
            <w:tcW w:type="dxa" w:w="25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Booking cancellation</w:t>
            </w:r>
          </w:p>
        </w:tc>
        <w:tc>
          <w:tcPr>
            <w:tcW w:type="dxa" w:w="17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Email only</w:t>
            </w:r>
          </w:p>
        </w:tc>
        <w:tc>
          <w:tcPr>
            <w:tcW w:type="dxa" w:w="23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Email + WhatsApp (utility)</w:t>
            </w:r>
          </w:p>
        </w:tc>
        <w:tc>
          <w:tcPr>
            <w:tcW w:type="dxa" w:w="286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Email + WhatsApp (utility)</w:t>
            </w:r>
          </w:p>
        </w:tc>
      </w:tr>
      <w:tr>
        <w:tc>
          <w:tcPr>
            <w:tcW w:type="dxa" w:w="2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Booking completion</w:t>
            </w:r>
          </w:p>
        </w:tc>
        <w:tc>
          <w:tcPr>
            <w:tcW w:type="dxa" w:w="17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Email only</w:t>
            </w:r>
          </w:p>
        </w:tc>
        <w:tc>
          <w:tcPr>
            <w:tcW w:type="dxa" w:w="23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Email + WhatsApp (utility)</w:t>
            </w:r>
          </w:p>
        </w:tc>
        <w:tc>
          <w:tcPr>
            <w:tcW w:type="dxa" w:w="28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Email + WhatsApp (utility)</w:t>
            </w:r>
          </w:p>
        </w:tc>
      </w:tr>
      <w:tr>
        <w:tc>
          <w:tcPr>
            <w:tcW w:type="dxa" w:w="25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Appointment reminder</w:t>
            </w:r>
          </w:p>
        </w:tc>
        <w:tc>
          <w:tcPr>
            <w:tcW w:type="dxa" w:w="17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Email only</w:t>
            </w:r>
          </w:p>
        </w:tc>
        <w:tc>
          <w:tcPr>
            <w:tcW w:type="dxa" w:w="23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1 reminder via WhatsApp (utility)</w:t>
            </w:r>
          </w:p>
        </w:tc>
        <w:tc>
          <w:tcPr>
            <w:tcW w:type="dxa" w:w="286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2 reminders via WhatsApp (utility)</w:t>
            </w:r>
          </w:p>
        </w:tc>
      </w:tr>
      <w:tr>
        <w:tc>
          <w:tcPr>
            <w:tcW w:type="dxa" w:w="2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Follow-up (review, rebook)</w:t>
            </w:r>
          </w:p>
        </w:tc>
        <w:tc>
          <w:tcPr>
            <w:tcW w:type="dxa" w:w="17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None</w:t>
            </w:r>
          </w:p>
        </w:tc>
        <w:tc>
          <w:tcPr>
            <w:tcW w:type="dxa" w:w="23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Email only (no WhatsApp)</w:t>
            </w:r>
          </w:p>
        </w:tc>
        <w:tc>
          <w:tcPr>
            <w:tcW w:type="dxa" w:w="28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WhatsApp + Email (marketing, credit-limited)</w:t>
            </w:r>
          </w:p>
        </w:tc>
      </w:tr>
      <w:tr>
        <w:tc>
          <w:tcPr>
            <w:tcW w:type="dxa" w:w="25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Platform cost per booking</w:t>
            </w:r>
          </w:p>
        </w:tc>
        <w:tc>
          <w:tcPr>
            <w:tcW w:type="dxa" w:w="17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₹0 WA cost</w:t>
            </w:r>
          </w:p>
        </w:tc>
        <w:tc>
          <w:tcPr>
            <w:tcW w:type="dxa" w:w="23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~₹0.28 – ₹0.42 (2–3 utility msgs)</w:t>
            </w:r>
          </w:p>
        </w:tc>
        <w:tc>
          <w:tcPr>
            <w:tcW w:type="dxa" w:w="286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~₹0.56 – ₹1.50 depending on flow</w:t>
            </w:r>
          </w:p>
        </w:tc>
      </w:tr>
    </w:tbl>
    <w:p>
      <w:pPr>
        <w:spacing w:after="0" w:before="160"/>
      </w:pPr>
    </w:p>
    <w:p>
      <w:pPr>
        <w:pStyle w:val="Heading2"/>
        <w:spacing w:after="160" w:before="320"/>
      </w:pPr>
      <w:r>
        <w:rPr>
          <w:rFonts w:ascii="Arial" w:cs="Arial" w:eastAsia="Arial" w:hAnsi="Arial"/>
          <w:b/>
          <w:bCs/>
          <w:color w:val="1A1A1A"/>
          <w:sz w:val="28"/>
          <w:szCs w:val="28"/>
        </w:rPr>
        <w:t xml:space="preserve">5.3  The Free Window Strategy (Critical Engineering Requirement)</w:t>
      </w:r>
    </w:p>
    <w:p>
      <w:pPr>
        <w:spacing w:after="160" w:before="0"/>
        <w:jc w:val="left"/>
      </w:pPr>
      <w:r>
        <w:rPr>
          <w:rFonts w:ascii="Arial" w:cs="Arial" w:eastAsia="Arial" w:hAnsi="Arial"/>
          <w:b w:val="false"/>
          <w:bCs w:val="false"/>
          <w:i w:val="false"/>
          <w:iCs w:val="false"/>
          <w:color w:val="2D2D2D"/>
          <w:sz w:val="22"/>
          <w:szCs w:val="22"/>
        </w:rPr>
        <w:t xml:space="preserve">Since November 2024, Meta made service conversations — where the client sends the first WhatsApp message — completely free. Since July 2025, utility messages sent within the 24-hour client-initiated window are also free.</w:t>
      </w:r>
    </w:p>
    <w:p>
      <w:pPr>
        <w:spacing w:after="0" w:before="100"/>
      </w:pPr>
    </w:p>
    <w:p>
      <w:pPr>
        <w:spacing w:after="160" w:before="0"/>
        <w:jc w:val="left"/>
      </w:pPr>
      <w:r>
        <w:rPr>
          <w:rFonts w:ascii="Arial" w:cs="Arial" w:eastAsia="Arial" w:hAnsi="Arial"/>
          <w:b w:val="false"/>
          <w:bCs w:val="false"/>
          <w:i w:val="false"/>
          <w:iCs w:val="false"/>
          <w:color w:val="2D2D2D"/>
          <w:sz w:val="22"/>
          <w:szCs w:val="22"/>
        </w:rPr>
        <w:t xml:space="preserve">The platform must exploit this systematically. Here is how:</w:t>
      </w:r>
    </w:p>
    <w:p>
      <w:pPr>
        <w:spacing w:after="0" w:before="80"/>
      </w:pPr>
    </w:p>
    <w:p>
      <w:pPr>
        <w:pStyle w:val="Heading3"/>
        <w:spacing w:after="120" w:before="240"/>
      </w:pPr>
      <w:r>
        <w:rPr>
          <w:rFonts w:ascii="Arial" w:cs="Arial" w:eastAsia="Arial" w:hAnsi="Arial"/>
          <w:b/>
          <w:bCs/>
          <w:color w:val="1A56DB"/>
          <w:sz w:val="24"/>
          <w:szCs w:val="24"/>
        </w:rPr>
        <w:t xml:space="preserve">Implementation requirement</w:t>
      </w:r>
    </w:p>
    <w:p>
      <w:pPr>
        <w:spacing w:after="160" w:before="0"/>
        <w:jc w:val="left"/>
      </w:pPr>
      <w:r>
        <w:rPr>
          <w:rFonts w:ascii="Arial" w:cs="Arial" w:eastAsia="Arial" w:hAnsi="Arial"/>
          <w:b w:val="false"/>
          <w:bCs w:val="false"/>
          <w:i w:val="false"/>
          <w:iCs w:val="false"/>
          <w:color w:val="2D2D2D"/>
          <w:sz w:val="22"/>
          <w:szCs w:val="22"/>
        </w:rPr>
        <w:t xml:space="preserve">The client-facing booking confirmation page must include a "Confirm via WhatsApp" CTA button. When the client taps it, they send the first message to the vendor's WhatsApp business number. This client-initiated message opens a free 24-hour window.</w:t>
      </w:r>
    </w:p>
    <w:p>
      <w:pPr>
        <w:spacing w:after="0" w:before="80"/>
      </w:pPr>
    </w:p>
    <w:p>
      <w:pPr>
        <w:spacing w:after="160" w:before="0"/>
        <w:jc w:val="left"/>
      </w:pPr>
      <w:r>
        <w:rPr>
          <w:rFonts w:ascii="Arial" w:cs="Arial" w:eastAsia="Arial" w:hAnsi="Arial"/>
          <w:b w:val="false"/>
          <w:bCs w:val="false"/>
          <w:i w:val="false"/>
          <w:iCs w:val="false"/>
          <w:color w:val="2D2D2D"/>
          <w:sz w:val="22"/>
          <w:szCs w:val="22"/>
        </w:rPr>
        <w:t xml:space="preserve">All of the following messages, if sent within that 24-hour window, cost ₹0:</w:t>
      </w:r>
    </w:p>
    <w:p>
      <w:pPr>
        <w:pStyle w:val="ListParagraph"/>
        <w:numPr>
          <w:ilvl w:val="0"/>
          <w:numId w:val="2"/>
        </w:numPr>
        <w:spacing w:after="80"/>
      </w:pPr>
      <w:r>
        <w:rPr>
          <w:rFonts w:ascii="Arial" w:cs="Arial" w:eastAsia="Arial" w:hAnsi="Arial"/>
          <w:b w:val="false"/>
          <w:bCs w:val="false"/>
          <w:color w:val="2D2D2D"/>
          <w:sz w:val="22"/>
          <w:szCs w:val="22"/>
        </w:rPr>
        <w:t xml:space="preserve">Booking confirmation (normally ₹0.14)</w:t>
      </w:r>
    </w:p>
    <w:p>
      <w:pPr>
        <w:pStyle w:val="ListParagraph"/>
        <w:numPr>
          <w:ilvl w:val="0"/>
          <w:numId w:val="2"/>
        </w:numPr>
        <w:spacing w:after="80"/>
      </w:pPr>
      <w:r>
        <w:rPr>
          <w:rFonts w:ascii="Arial" w:cs="Arial" w:eastAsia="Arial" w:hAnsi="Arial"/>
          <w:b w:val="false"/>
          <w:bCs w:val="false"/>
          <w:color w:val="2D2D2D"/>
          <w:sz w:val="22"/>
          <w:szCs w:val="22"/>
        </w:rPr>
        <w:t xml:space="preserve">Payment receipt (normally ₹0.14)</w:t>
      </w:r>
    </w:p>
    <w:p>
      <w:pPr>
        <w:pStyle w:val="ListParagraph"/>
        <w:numPr>
          <w:ilvl w:val="0"/>
          <w:numId w:val="2"/>
        </w:numPr>
        <w:spacing w:after="80"/>
      </w:pPr>
      <w:r>
        <w:rPr>
          <w:rFonts w:ascii="Arial" w:cs="Arial" w:eastAsia="Arial" w:hAnsi="Arial"/>
          <w:b w:val="false"/>
          <w:bCs w:val="false"/>
          <w:color w:val="2D2D2D"/>
          <w:sz w:val="22"/>
          <w:szCs w:val="22"/>
        </w:rPr>
        <w:t xml:space="preserve">Booking summary with date and time (normally ₹0.14)</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CFBF1" w:val="clear"/>
            <w:tcMar>
              <w:top w:type="dxa" w:w="120"/>
              <w:left w:type="dxa" w:w="180"/>
              <w:bottom w:type="dxa" w:w="120"/>
              <w:right w:type="dxa" w:w="180"/>
            </w:tcMar>
          </w:tcPr>
          <w:p>
            <w:pPr>
              <w:spacing w:after="40"/>
            </w:pPr>
            <w:r>
              <w:rPr>
                <w:rFonts w:ascii="Arial" w:cs="Arial" w:eastAsia="Arial" w:hAnsi="Arial"/>
                <w:b/>
                <w:bCs/>
                <w:color w:val="0F766E"/>
                <w:sz w:val="18"/>
                <w:szCs w:val="18"/>
              </w:rPr>
              <w:t xml:space="preserve">Expected savings from this one change</w:t>
            </w:r>
          </w:p>
          <w:p>
            <w:pPr>
              <w:spacing w:after="0"/>
            </w:pPr>
            <w:r>
              <w:rPr>
                <w:rFonts w:ascii="Arial" w:cs="Arial" w:eastAsia="Arial" w:hAnsi="Arial"/>
                <w:color w:val="0F766E"/>
                <w:sz w:val="20"/>
                <w:szCs w:val="20"/>
              </w:rPr>
              <w:t xml:space="preserve">If 40% of clients confirm via WhatsApp (industry average for WhatsApp-first markets in India), the platform saves ₹0.14 × 3 messages × 40% = ₹0.17 per booking on average. At 50,000 total bookings/year across paid-plan vendors, that is ₹8,400/year saved purely from routing messages through the free window. This saving compounds as volume grows and costs nothing to implement beyond the UI button.</w:t>
            </w:r>
          </w:p>
        </w:tc>
      </w:tr>
    </w:tbl>
    <w:p>
      <w:pPr>
        <w:spacing w:after="0" w:before="160"/>
      </w:pPr>
    </w:p>
    <w:p>
      <w:pPr>
        <w:pStyle w:val="Heading2"/>
        <w:spacing w:after="160" w:before="320"/>
      </w:pPr>
      <w:r>
        <w:rPr>
          <w:rFonts w:ascii="Arial" w:cs="Arial" w:eastAsia="Arial" w:hAnsi="Arial"/>
          <w:b/>
          <w:bCs/>
          <w:color w:val="1A1A1A"/>
          <w:sz w:val="28"/>
          <w:szCs w:val="28"/>
        </w:rPr>
        <w:t xml:space="preserve">5.4  WhatsApp Marketing Credit System (Professional Plan)</w:t>
      </w:r>
    </w:p>
    <w:p>
      <w:pPr>
        <w:spacing w:after="160" w:before="0"/>
        <w:jc w:val="left"/>
      </w:pPr>
      <w:r>
        <w:rPr>
          <w:rFonts w:ascii="Arial" w:cs="Arial" w:eastAsia="Arial" w:hAnsi="Arial"/>
          <w:b w:val="false"/>
          <w:bCs w:val="false"/>
          <w:i w:val="false"/>
          <w:iCs w:val="false"/>
          <w:color w:val="2D2D2D"/>
          <w:sz w:val="22"/>
          <w:szCs w:val="22"/>
        </w:rPr>
        <w:t xml:space="preserve">Follow-up messages (review requests, rebook prompts) are Marketing-category messages. They cost ₹0.83–₹1.25 each. Giving Professional vendors unlimited WhatsApp follow-ups would make the plan unprofitable at any reasonable booking volume.</w:t>
      </w:r>
    </w:p>
    <w:p>
      <w:pPr>
        <w:spacing w:after="0" w:before="80"/>
      </w:pPr>
    </w:p>
    <w:p>
      <w:pPr>
        <w:spacing w:after="160" w:before="0"/>
        <w:jc w:val="left"/>
      </w:pPr>
      <w:r>
        <w:rPr>
          <w:rFonts w:ascii="Arial" w:cs="Arial" w:eastAsia="Arial" w:hAnsi="Arial"/>
          <w:b w:val="false"/>
          <w:bCs w:val="false"/>
          <w:i w:val="false"/>
          <w:iCs w:val="false"/>
          <w:color w:val="2D2D2D"/>
          <w:sz w:val="22"/>
          <w:szCs w:val="22"/>
        </w:rPr>
        <w:t xml:space="preserve">The credit system resolves this: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DDDDD" w:sz="1"/>
              <w:left w:val="single" w:color="DDDDDD" w:sz="1"/>
              <w:bottom w:val="single" w:color="DDDDDD" w:sz="1"/>
              <w:right w:val="single" w:color="DDDDDD" w:sz="1"/>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
            </w:r>
          </w:p>
        </w:tc>
        <w:tc>
          <w:tcPr>
            <w:tcW w:type="dxa" w:w="6160"/>
            <w:tcBorders>
              <w:top w:val="single" w:color="DDDDDD" w:sz="1"/>
              <w:left w:val="single" w:color="DDDDDD" w:sz="1"/>
              <w:bottom w:val="single" w:color="DDDDDD" w:sz="1"/>
              <w:right w:val="single" w:color="DDDDDD" w:sz="1"/>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3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Included credits / year</w:t>
            </w:r>
          </w:p>
        </w:tc>
        <w:tc>
          <w:tcPr>
            <w:tcW w:type="dxa" w:w="6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500 WhatsApp marketing messages included in the ₹3,650 subscription</w:t>
            </w:r>
          </w:p>
        </w:tc>
      </w:tr>
      <w:tr>
        <w:tc>
          <w:tcPr>
            <w:tcW w:type="dxa" w:w="32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Platform cost of included credits</w:t>
            </w:r>
          </w:p>
        </w:tc>
        <w:tc>
          <w:tcPr>
            <w:tcW w:type="dxa" w:w="616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₹500 (at ₹1.00/message) — budgeted into Pro plan margin</w:t>
            </w:r>
          </w:p>
        </w:tc>
      </w:tr>
      <w:tr>
        <w:tc>
          <w:tcPr>
            <w:tcW w:type="dxa" w:w="3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Additional credits</w:t>
            </w:r>
          </w:p>
        </w:tc>
        <w:tc>
          <w:tcPr>
            <w:tcW w:type="dxa" w:w="6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Vendor purchases at ₹1.50 per message</w:t>
            </w:r>
          </w:p>
        </w:tc>
      </w:tr>
      <w:tr>
        <w:tc>
          <w:tcPr>
            <w:tcW w:type="dxa" w:w="32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Platform cost of additional credits</w:t>
            </w:r>
          </w:p>
        </w:tc>
        <w:tc>
          <w:tcPr>
            <w:tcW w:type="dxa" w:w="616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₹1.00 — platform earns ₹0.50 margin per additional message</w:t>
            </w:r>
          </w:p>
        </w:tc>
      </w:tr>
      <w:tr>
        <w:tc>
          <w:tcPr>
            <w:tcW w:type="dxa" w:w="3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Credit reset</w:t>
            </w:r>
          </w:p>
        </w:tc>
        <w:tc>
          <w:tcPr>
            <w:tcW w:type="dxa" w:w="6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Resets annually on subscription renewal date</w:t>
            </w:r>
          </w:p>
        </w:tc>
      </w:tr>
      <w:tr>
        <w:tc>
          <w:tcPr>
            <w:tcW w:type="dxa" w:w="32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Unused credits</w:t>
            </w:r>
          </w:p>
        </w:tc>
        <w:tc>
          <w:tcPr>
            <w:tcW w:type="dxa" w:w="616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Do not roll over — expire at renewal</w:t>
            </w:r>
          </w:p>
        </w:tc>
      </w:tr>
      <w:tr>
        <w:tc>
          <w:tcPr>
            <w:tcW w:type="dxa" w:w="3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Over-limit behaviour</w:t>
            </w:r>
          </w:p>
        </w:tc>
        <w:tc>
          <w:tcPr>
            <w:tcW w:type="dxa" w:w="6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Follow-up WhatsApp sending is paused. Vendor sees in-app alert to buy credits.</w:t>
            </w:r>
          </w:p>
        </w:tc>
      </w:tr>
    </w:tbl>
    <w:p>
      <w:pPr>
        <w:spacing w:after="0" w:before="120"/>
      </w:pPr>
    </w:p>
    <w:p>
      <w:pPr>
        <w:pStyle w:val="Heading3"/>
        <w:spacing w:after="120" w:before="240"/>
      </w:pPr>
      <w:r>
        <w:rPr>
          <w:rFonts w:ascii="Arial" w:cs="Arial" w:eastAsia="Arial" w:hAnsi="Arial"/>
          <w:b/>
          <w:bCs/>
          <w:color w:val="1A56DB"/>
          <w:sz w:val="24"/>
          <w:szCs w:val="24"/>
        </w:rPr>
        <w:t xml:space="preserve">Example — Pro vendor with 1,500 completed bookings, 1 follow-up per booking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28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b/>
                <w:bCs/>
                <w:color w:val="2D2D2D"/>
                <w:sz w:val="20"/>
                <w:szCs w:val="20"/>
              </w:rPr>
              <w:t xml:space="preserve">Total follow-up messages needed</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2D2D2D"/>
                <w:sz w:val="20"/>
                <w:szCs w:val="20"/>
              </w:rPr>
              <w:t xml:space="preserve">1,500</w:t>
            </w:r>
          </w:p>
        </w:tc>
      </w:tr>
      <w:tr>
        <w:tc>
          <w:tcPr>
            <w:tcW w:type="dxa" w:w="28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b/>
                <w:bCs/>
                <w:color w:val="2D2D2D"/>
                <w:sz w:val="20"/>
                <w:szCs w:val="20"/>
              </w:rPr>
              <w:t xml:space="preserve">Included credits used</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2D2D2D"/>
                <w:sz w:val="20"/>
                <w:szCs w:val="20"/>
              </w:rPr>
              <w:t xml:space="preserve">500 (₹500 cost to platform — already in plan price)</w:t>
            </w:r>
          </w:p>
        </w:tc>
      </w:tr>
      <w:tr>
        <w:tc>
          <w:tcPr>
            <w:tcW w:type="dxa" w:w="28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b/>
                <w:bCs/>
                <w:color w:val="2D2D2D"/>
                <w:sz w:val="20"/>
                <w:szCs w:val="20"/>
              </w:rPr>
              <w:t xml:space="preserve">Additional credits needed</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2D2D2D"/>
                <w:sz w:val="20"/>
                <w:szCs w:val="20"/>
              </w:rPr>
              <w:t xml:space="preserve">1,000</w:t>
            </w:r>
          </w:p>
        </w:tc>
      </w:tr>
      <w:tr>
        <w:tc>
          <w:tcPr>
            <w:tcW w:type="dxa" w:w="28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b/>
                <w:bCs/>
                <w:color w:val="2D2D2D"/>
                <w:sz w:val="20"/>
                <w:szCs w:val="20"/>
              </w:rPr>
              <w:t xml:space="preserve">Vendor pays for additional</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2D2D2D"/>
                <w:sz w:val="20"/>
                <w:szCs w:val="20"/>
              </w:rPr>
              <w:t xml:space="preserve">1,000 × ₹1.50 = ₹1,500</w:t>
            </w:r>
          </w:p>
        </w:tc>
      </w:tr>
      <w:tr>
        <w:tc>
          <w:tcPr>
            <w:tcW w:type="dxa" w:w="28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b/>
                <w:bCs/>
                <w:color w:val="2D2D2D"/>
                <w:sz w:val="20"/>
                <w:szCs w:val="20"/>
              </w:rPr>
              <w:t xml:space="preserve">Platform earns on additional</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2D2D2D"/>
                <w:sz w:val="20"/>
                <w:szCs w:val="20"/>
              </w:rPr>
              <w:t xml:space="preserve">1,000 × ₹0.50 = ₹500 margin</w:t>
            </w:r>
          </w:p>
        </w:tc>
      </w:tr>
      <w:tr>
        <w:tc>
          <w:tcPr>
            <w:tcW w:type="dxa" w:w="28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b/>
                <w:bCs/>
                <w:color w:val="2D2D2D"/>
                <w:sz w:val="20"/>
                <w:szCs w:val="20"/>
              </w:rPr>
              <w:t xml:space="preserve">Platform cost on additional</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2D2D2D"/>
                <w:sz w:val="20"/>
                <w:szCs w:val="20"/>
              </w:rPr>
              <w:t xml:space="preserve">1,000 × ₹1.00 = ₹1,000 (to Meta)</w:t>
            </w:r>
          </w:p>
        </w:tc>
      </w:tr>
    </w:tbl>
    <w:p>
      <w:pPr>
        <w:spacing w:after="0" w:before="80"/>
      </w:pPr>
    </w:p>
    <w:p>
      <w:pPr>
        <w:spacing w:after="160" w:before="0"/>
        <w:jc w:val="left"/>
      </w:pPr>
      <w:r>
        <w:rPr>
          <w:rFonts w:ascii="Arial" w:cs="Arial" w:eastAsia="Arial" w:hAnsi="Arial"/>
          <w:b w:val="false"/>
          <w:bCs w:val="false"/>
          <w:i/>
          <w:iCs/>
          <w:color w:val="555555"/>
          <w:sz w:val="22"/>
          <w:szCs w:val="22"/>
        </w:rPr>
        <w:t xml:space="preserve">The credit system converts what was a guaranteed loss into a scalable revenue line. High-volume vendors pay for their actual usage. Low-volume vendors are covered by the 500-credit inclusion.</w:t>
      </w:r>
    </w:p>
    <w:p>
      <w:pPr>
        <w:spacing w:after="0" w:before="200"/>
      </w:pPr>
    </w:p>
    <w:p>
      <w:r>
        <w:br/>
      </w:r>
    </w:p>
    <w:p>
      <w:pPr>
        <w:pStyle w:val="Heading1"/>
        <w:spacing w:after="200" w:before="400"/>
      </w:pPr>
      <w:r>
        <w:rPr>
          <w:rFonts w:ascii="Arial" w:cs="Arial" w:eastAsia="Arial" w:hAnsi="Arial"/>
          <w:b/>
          <w:bCs/>
          <w:color w:val="1A1A1A"/>
          <w:sz w:val="36"/>
          <w:szCs w:val="36"/>
        </w:rPr>
        <w:t xml:space="preserve">Section 6 — OTP Cost Architecture</w:t>
      </w:r>
    </w:p>
    <w:p>
      <w:pPr>
        <w:spacing w:after="160" w:before="0"/>
        <w:jc w:val="left"/>
      </w:pPr>
      <w:r>
        <w:rPr>
          <w:rFonts w:ascii="Arial" w:cs="Arial" w:eastAsia="Arial" w:hAnsi="Arial"/>
          <w:b w:val="false"/>
          <w:bCs w:val="false"/>
          <w:i w:val="false"/>
          <w:iCs w:val="false"/>
          <w:color w:val="2D2D2D"/>
          <w:sz w:val="22"/>
          <w:szCs w:val="22"/>
        </w:rPr>
        <w:t xml:space="preserve">OTP (one-time password) costs are borne by the platform unconditionally on all plans. They cannot be passed to the vendor or the client. They are budgeted within the ₹11.80 platform convenience fee revenue.</w:t>
      </w:r>
    </w:p>
    <w:p>
      <w:pPr>
        <w:spacing w:after="0" w:before="140"/>
      </w:pPr>
    </w:p>
    <w:p>
      <w:pPr>
        <w:pStyle w:val="Heading2"/>
        <w:spacing w:after="160" w:before="320"/>
      </w:pPr>
      <w:r>
        <w:rPr>
          <w:rFonts w:ascii="Arial" w:cs="Arial" w:eastAsia="Arial" w:hAnsi="Arial"/>
          <w:b/>
          <w:bCs/>
          <w:color w:val="1A1A1A"/>
          <w:sz w:val="28"/>
          <w:szCs w:val="28"/>
        </w:rPr>
        <w:t xml:space="preserve">6.1  OTP Triggers in the Booking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000"/>
        <w:gridCol w:w="2160"/>
      </w:tblGrid>
      <w:tr>
        <w:trPr>
          <w:tblHeader/>
        </w:trPr>
        <w:tc>
          <w:tcPr>
            <w:tcW w:type="dxa" w:w="3200"/>
            <w:tcBorders>
              <w:top w:val="single" w:color="DDDDDD" w:sz="1"/>
              <w:left w:val="single" w:color="DDDDDD" w:sz="1"/>
              <w:bottom w:val="single" w:color="DDDDDD" w:sz="1"/>
              <w:right w:val="single" w:color="DDDDDD" w:sz="1"/>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OTP trigger</w:t>
            </w:r>
          </w:p>
        </w:tc>
        <w:tc>
          <w:tcPr>
            <w:tcW w:type="dxa" w:w="4000"/>
            <w:tcBorders>
              <w:top w:val="single" w:color="DDDDDD" w:sz="1"/>
              <w:left w:val="single" w:color="DDDDDD" w:sz="1"/>
              <w:bottom w:val="single" w:color="DDDDDD" w:sz="1"/>
              <w:right w:val="single" w:color="DDDDDD" w:sz="1"/>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When sent</w:t>
            </w:r>
          </w:p>
        </w:tc>
        <w:tc>
          <w:tcPr>
            <w:tcW w:type="dxa" w:w="2160"/>
            <w:tcBorders>
              <w:top w:val="single" w:color="DDDDDD" w:sz="1"/>
              <w:left w:val="single" w:color="DDDDDD" w:sz="1"/>
              <w:bottom w:val="single" w:color="DDDDDD" w:sz="1"/>
              <w:right w:val="single" w:color="DDDDDD" w:sz="1"/>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Cost (₹0.14 each)</w:t>
            </w:r>
          </w:p>
        </w:tc>
      </w:tr>
      <w:tr>
        <w:tc>
          <w:tcPr>
            <w:tcW w:type="dxa" w:w="3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Client login / registration</w:t>
            </w:r>
          </w:p>
        </w:tc>
        <w:tc>
          <w:tcPr>
            <w:tcW w:type="dxa" w:w="4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Client opens the booking page for the first time</w:t>
            </w:r>
          </w:p>
        </w:tc>
        <w:tc>
          <w:tcPr>
            <w:tcW w:type="dxa" w:w="2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₹0.14</w:t>
            </w:r>
          </w:p>
        </w:tc>
      </w:tr>
      <w:tr>
        <w:tc>
          <w:tcPr>
            <w:tcW w:type="dxa" w:w="32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Booking confirmation OTP</w:t>
            </w:r>
          </w:p>
        </w:tc>
        <w:tc>
          <w:tcPr>
            <w:tcW w:type="dxa" w:w="40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Client confirms the booking before payment</w:t>
            </w:r>
          </w:p>
        </w:tc>
        <w:tc>
          <w:tcPr>
            <w:tcW w:type="dxa" w:w="216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₹0.14</w:t>
            </w:r>
          </w:p>
        </w:tc>
      </w:tr>
      <w:tr>
        <w:tc>
          <w:tcPr>
            <w:tcW w:type="dxa" w:w="3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Payment confirmation OTP</w:t>
            </w:r>
          </w:p>
        </w:tc>
        <w:tc>
          <w:tcPr>
            <w:tcW w:type="dxa" w:w="4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High-value transactions (optional, configurable)</w:t>
            </w:r>
          </w:p>
        </w:tc>
        <w:tc>
          <w:tcPr>
            <w:tcW w:type="dxa" w:w="2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₹0.14</w:t>
            </w:r>
          </w:p>
        </w:tc>
      </w:tr>
      <w:tr>
        <w:tc>
          <w:tcPr>
            <w:tcW w:type="dxa" w:w="32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OTP retry (client missed it)</w:t>
            </w:r>
          </w:p>
        </w:tc>
        <w:tc>
          <w:tcPr>
            <w:tcW w:type="dxa" w:w="40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15–25% of sessions — automatic resend</w:t>
            </w:r>
          </w:p>
        </w:tc>
        <w:tc>
          <w:tcPr>
            <w:tcW w:type="dxa" w:w="216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₹0.14</w:t>
            </w:r>
          </w:p>
        </w:tc>
      </w:tr>
    </w:tbl>
    <w:p>
      <w:pPr>
        <w:spacing w:after="0" w:before="140"/>
      </w:pPr>
    </w:p>
    <w:p>
      <w:pPr>
        <w:pStyle w:val="Heading2"/>
        <w:spacing w:after="160" w:before="320"/>
      </w:pPr>
      <w:r>
        <w:rPr>
          <w:rFonts w:ascii="Arial" w:cs="Arial" w:eastAsia="Arial" w:hAnsi="Arial"/>
          <w:b/>
          <w:bCs/>
          <w:color w:val="1A1A1A"/>
          <w:sz w:val="28"/>
          <w:szCs w:val="28"/>
        </w:rPr>
        <w:t xml:space="preserve">6.2  Real-world OTP Cost per Booking</w:t>
      </w:r>
    </w:p>
    <w:p>
      <w:pPr>
        <w:spacing w:after="160" w:before="0"/>
        <w:jc w:val="left"/>
      </w:pPr>
      <w:r>
        <w:rPr>
          <w:rFonts w:ascii="Arial" w:cs="Arial" w:eastAsia="Arial" w:hAnsi="Arial"/>
          <w:b w:val="false"/>
          <w:bCs w:val="false"/>
          <w:i w:val="false"/>
          <w:iCs w:val="false"/>
          <w:color w:val="2D2D2D"/>
          <w:sz w:val="22"/>
          <w:szCs w:val="22"/>
        </w:rPr>
        <w:t xml:space="preserve">A typical booking journey involves 2 OTP sends (login + booking confirmation). With a 20% retry rate, the average is 2.4 OTP sends per booking.</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28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b/>
                <w:bCs/>
                <w:color w:val="2D2D2D"/>
                <w:sz w:val="20"/>
                <w:szCs w:val="20"/>
              </w:rPr>
              <w:t xml:space="preserve">Average OTPs per booking</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2D2D2D"/>
                <w:sz w:val="20"/>
                <w:szCs w:val="20"/>
              </w:rPr>
              <w:t xml:space="preserve">2.4 (including retries)</w:t>
            </w:r>
          </w:p>
        </w:tc>
      </w:tr>
      <w:tr>
        <w:tc>
          <w:tcPr>
            <w:tcW w:type="dxa" w:w="28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b/>
                <w:bCs/>
                <w:color w:val="2D2D2D"/>
                <w:sz w:val="20"/>
                <w:szCs w:val="20"/>
              </w:rPr>
              <w:t xml:space="preserve">Cost per OTP</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2D2D2D"/>
                <w:sz w:val="20"/>
                <w:szCs w:val="20"/>
              </w:rPr>
              <w:t xml:space="preserve">₹0.14</w:t>
            </w:r>
          </w:p>
        </w:tc>
      </w:tr>
      <w:tr>
        <w:tc>
          <w:tcPr>
            <w:tcW w:type="dxa" w:w="28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b/>
                <w:bCs/>
                <w:color w:val="2D2D2D"/>
                <w:sz w:val="20"/>
                <w:szCs w:val="20"/>
              </w:rPr>
              <w:t xml:space="preserve">Average OTP cost per booking</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2D2D2D"/>
                <w:sz w:val="20"/>
                <w:szCs w:val="20"/>
              </w:rPr>
              <w:t xml:space="preserve">₹0.34</w:t>
            </w:r>
          </w:p>
        </w:tc>
      </w:tr>
      <w:tr>
        <w:tc>
          <w:tcPr>
            <w:tcW w:type="dxa" w:w="28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b/>
                <w:bCs/>
                <w:color w:val="2D2D2D"/>
                <w:sz w:val="20"/>
                <w:szCs w:val="20"/>
              </w:rPr>
              <w:t xml:space="preserve">At 50,000 bookings/year</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2D2D2D"/>
                <w:sz w:val="20"/>
                <w:szCs w:val="20"/>
              </w:rPr>
              <w:t xml:space="preserve">₹17,000/year in OTP costs</w:t>
            </w:r>
          </w:p>
        </w:tc>
      </w:tr>
      <w:tr>
        <w:tc>
          <w:tcPr>
            <w:tcW w:type="dxa" w:w="28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b/>
                <w:bCs/>
                <w:color w:val="2D2D2D"/>
                <w:sz w:val="20"/>
                <w:szCs w:val="20"/>
              </w:rPr>
              <w:t xml:space="preserve">Platform fee revenue at 50,000 bookings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2D2D2D"/>
                <w:sz w:val="20"/>
                <w:szCs w:val="20"/>
              </w:rPr>
              <w:t xml:space="preserve">₹5,90,000/year (₹11.80 × 50,000)</w:t>
            </w:r>
          </w:p>
        </w:tc>
      </w:tr>
      <w:tr>
        <w:tc>
          <w:tcPr>
            <w:tcW w:type="dxa" w:w="28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b/>
                <w:bCs/>
                <w:color w:val="2D2D2D"/>
                <w:sz w:val="20"/>
                <w:szCs w:val="20"/>
              </w:rPr>
              <w:t xml:space="preserve">OTP as % of platform fee revenue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2D2D2D"/>
                <w:sz w:val="20"/>
                <w:szCs w:val="20"/>
              </w:rPr>
              <w:t xml:space="preserve">~2.9% — well within the fee budget</w:t>
            </w:r>
          </w:p>
        </w:tc>
      </w:tr>
    </w:tbl>
    <w:p>
      <w:pPr>
        <w:spacing w:after="0" w:before="140"/>
      </w:pPr>
    </w:p>
    <w:p>
      <w:pPr>
        <w:pStyle w:val="Heading2"/>
        <w:spacing w:after="160" w:before="320"/>
      </w:pPr>
      <w:r>
        <w:rPr>
          <w:rFonts w:ascii="Arial" w:cs="Arial" w:eastAsia="Arial" w:hAnsi="Arial"/>
          <w:b/>
          <w:bCs/>
          <w:color w:val="1A1A1A"/>
          <w:sz w:val="28"/>
          <w:szCs w:val="28"/>
        </w:rPr>
        <w:t xml:space="preserve">6.3  OTP Cost Controls</w:t>
      </w:r>
    </w:p>
    <w:p>
      <w:pPr>
        <w:spacing w:after="160" w:before="0"/>
        <w:jc w:val="left"/>
      </w:pPr>
      <w:r>
        <w:rPr>
          <w:rFonts w:ascii="Arial" w:cs="Arial" w:eastAsia="Arial" w:hAnsi="Arial"/>
          <w:b w:val="false"/>
          <w:bCs w:val="false"/>
          <w:i w:val="false"/>
          <w:iCs w:val="false"/>
          <w:color w:val="2D2D2D"/>
          <w:sz w:val="22"/>
          <w:szCs w:val="22"/>
        </w:rPr>
        <w:t xml:space="preserve">To prevent runaway OTP costs from abuse or poor UX:</w:t>
      </w:r>
    </w:p>
    <w:p>
      <w:pPr>
        <w:pStyle w:val="ListParagraph"/>
        <w:numPr>
          <w:ilvl w:val="0"/>
          <w:numId w:val="2"/>
        </w:numPr>
        <w:spacing w:after="80"/>
      </w:pPr>
      <w:r>
        <w:rPr>
          <w:rFonts w:ascii="Arial" w:cs="Arial" w:eastAsia="Arial" w:hAnsi="Arial"/>
          <w:b w:val="false"/>
          <w:bCs w:val="false"/>
          <w:color w:val="2D2D2D"/>
          <w:sz w:val="22"/>
          <w:szCs w:val="22"/>
        </w:rPr>
        <w:t xml:space="preserve">Maximum 3 OTP attempts per session. After 3 failures, the session is locked for 10 minutes.</w:t>
      </w:r>
    </w:p>
    <w:p>
      <w:pPr>
        <w:pStyle w:val="ListParagraph"/>
        <w:numPr>
          <w:ilvl w:val="0"/>
          <w:numId w:val="2"/>
        </w:numPr>
        <w:spacing w:after="80"/>
      </w:pPr>
      <w:r>
        <w:rPr>
          <w:rFonts w:ascii="Arial" w:cs="Arial" w:eastAsia="Arial" w:hAnsi="Arial"/>
          <w:b w:val="false"/>
          <w:bCs w:val="false"/>
          <w:color w:val="2D2D2D"/>
          <w:sz w:val="22"/>
          <w:szCs w:val="22"/>
        </w:rPr>
        <w:t xml:space="preserve">Minimum 30-second gap between resend requests — no instant resend button.</w:t>
      </w:r>
    </w:p>
    <w:p>
      <w:pPr>
        <w:pStyle w:val="ListParagraph"/>
        <w:numPr>
          <w:ilvl w:val="0"/>
          <w:numId w:val="2"/>
        </w:numPr>
        <w:spacing w:after="80"/>
      </w:pPr>
      <w:r>
        <w:rPr>
          <w:rFonts w:ascii="Arial" w:cs="Arial" w:eastAsia="Arial" w:hAnsi="Arial"/>
          <w:b w:val="false"/>
          <w:bCs w:val="false"/>
          <w:color w:val="2D2D2D"/>
          <w:sz w:val="22"/>
          <w:szCs w:val="22"/>
        </w:rPr>
        <w:t xml:space="preserve">OTP validity window: 5 minutes. Expired OTPs do not trigger a new send automatically.</w:t>
      </w:r>
    </w:p>
    <w:p>
      <w:pPr>
        <w:pStyle w:val="ListParagraph"/>
        <w:numPr>
          <w:ilvl w:val="0"/>
          <w:numId w:val="2"/>
        </w:numPr>
        <w:spacing w:after="80"/>
      </w:pPr>
      <w:r>
        <w:rPr>
          <w:rFonts w:ascii="Arial" w:cs="Arial" w:eastAsia="Arial" w:hAnsi="Arial"/>
          <w:b w:val="false"/>
          <w:bCs w:val="false"/>
          <w:color w:val="2D2D2D"/>
          <w:sz w:val="22"/>
          <w:szCs w:val="22"/>
        </w:rPr>
        <w:t xml:space="preserve">Suspicious patterns (same number requesting OTPs 10+ times in an hour) are rate-limited and flagged for admin review.</w:t>
      </w:r>
    </w:p>
    <w:p>
      <w:pPr>
        <w:spacing w:after="0" w:before="200"/>
      </w:pPr>
    </w:p>
    <w:p>
      <w:r>
        <w:br/>
      </w:r>
    </w:p>
    <w:p>
      <w:pPr>
        <w:pStyle w:val="Heading1"/>
        <w:spacing w:after="200" w:before="400"/>
      </w:pPr>
      <w:r>
        <w:rPr>
          <w:rFonts w:ascii="Arial" w:cs="Arial" w:eastAsia="Arial" w:hAnsi="Arial"/>
          <w:b/>
          <w:bCs/>
          <w:color w:val="1A1A1A"/>
          <w:sz w:val="36"/>
          <w:szCs w:val="36"/>
        </w:rPr>
        <w:t xml:space="preserve">Section 7 — Platform Convenience Fee</w:t>
      </w:r>
    </w:p>
    <w:p>
      <w:pPr>
        <w:pStyle w:val="Heading2"/>
        <w:spacing w:after="160" w:before="320"/>
      </w:pPr>
      <w:r>
        <w:rPr>
          <w:rFonts w:ascii="Arial" w:cs="Arial" w:eastAsia="Arial" w:hAnsi="Arial"/>
          <w:b/>
          <w:bCs/>
          <w:color w:val="1A1A1A"/>
          <w:sz w:val="28"/>
          <w:szCs w:val="28"/>
        </w:rPr>
        <w:t xml:space="preserve">7.1  Fee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b/>
                <w:bCs/>
                <w:color w:val="2D2D2D"/>
                <w:sz w:val="20"/>
                <w:szCs w:val="20"/>
              </w:rPr>
              <w:t xml:space="preserve">Fee name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2D2D2D"/>
                <w:sz w:val="20"/>
                <w:szCs w:val="20"/>
              </w:rPr>
              <w:t xml:space="preserve">Platform convenience fee</w:t>
            </w:r>
          </w:p>
        </w:tc>
      </w:tr>
      <w:tr>
        <w:tc>
          <w:tcPr>
            <w:tcW w:type="dxa" w:w="28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b/>
                <w:bCs/>
                <w:color w:val="2D2D2D"/>
                <w:sz w:val="20"/>
                <w:szCs w:val="20"/>
              </w:rPr>
              <w:t xml:space="preserve">Amount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2D2D2D"/>
                <w:sz w:val="20"/>
                <w:szCs w:val="20"/>
              </w:rPr>
              <w:t xml:space="preserve">₹11.80 flat, per online booking</w:t>
            </w:r>
          </w:p>
        </w:tc>
      </w:tr>
      <w:tr>
        <w:tc>
          <w:tcPr>
            <w:tcW w:type="dxa" w:w="28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b/>
                <w:bCs/>
                <w:color w:val="2D2D2D"/>
                <w:sz w:val="20"/>
                <w:szCs w:val="20"/>
              </w:rPr>
              <w:t xml:space="preserve">Applies to</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2D2D2D"/>
                <w:sz w:val="20"/>
                <w:szCs w:val="20"/>
              </w:rPr>
              <w:t xml:space="preserve">All online bookings, all plans</w:t>
            </w:r>
          </w:p>
        </w:tc>
      </w:tr>
      <w:tr>
        <w:tc>
          <w:tcPr>
            <w:tcW w:type="dxa" w:w="28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b/>
                <w:bCs/>
                <w:color w:val="2D2D2D"/>
                <w:sz w:val="20"/>
                <w:szCs w:val="20"/>
              </w:rPr>
              <w:t xml:space="preserve">Who pays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2D2D2D"/>
                <w:sz w:val="20"/>
                <w:szCs w:val="20"/>
              </w:rPr>
              <w:t xml:space="preserve">Client — added on top of listed price at checkout</w:t>
            </w:r>
          </w:p>
        </w:tc>
      </w:tr>
      <w:tr>
        <w:tc>
          <w:tcPr>
            <w:tcW w:type="dxa" w:w="28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b/>
                <w:bCs/>
                <w:color w:val="2D2D2D"/>
                <w:sz w:val="20"/>
                <w:szCs w:val="20"/>
              </w:rPr>
              <w:t xml:space="preserve">Who receives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2D2D2D"/>
                <w:sz w:val="20"/>
                <w:szCs w:val="20"/>
              </w:rPr>
              <w:t xml:space="preserve">Platform account, via Razorpay Route</w:t>
            </w:r>
          </w:p>
        </w:tc>
      </w:tr>
      <w:tr>
        <w:tc>
          <w:tcPr>
            <w:tcW w:type="dxa" w:w="28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b/>
                <w:bCs/>
                <w:color w:val="2D2D2D"/>
                <w:sz w:val="20"/>
                <w:szCs w:val="20"/>
              </w:rPr>
              <w:t xml:space="preserve">Purpose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2D2D2D"/>
                <w:sz w:val="20"/>
                <w:szCs w:val="20"/>
              </w:rPr>
              <w:t xml:space="preserve">Covers WhatsApp notification costs, OTP infrastructure, email delivery</w:t>
            </w:r>
          </w:p>
        </w:tc>
      </w:tr>
      <w:tr>
        <w:tc>
          <w:tcPr>
            <w:tcW w:type="dxa" w:w="28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b/>
                <w:bCs/>
                <w:color w:val="2D2D2D"/>
                <w:sz w:val="20"/>
                <w:szCs w:val="20"/>
              </w:rPr>
              <w:t xml:space="preserve">Minimum booking value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2D2D2D"/>
                <w:sz w:val="20"/>
                <w:szCs w:val="20"/>
              </w:rPr>
              <w:t xml:space="preserve">₹250 — bookings below this cannot be paid online</w:t>
            </w:r>
          </w:p>
        </w:tc>
      </w:tr>
    </w:tbl>
    <w:p>
      <w:pPr>
        <w:spacing w:after="0" w:before="140"/>
      </w:pPr>
    </w:p>
    <w:p>
      <w:pPr>
        <w:pStyle w:val="Heading2"/>
        <w:spacing w:after="160" w:before="320"/>
      </w:pPr>
      <w:r>
        <w:rPr>
          <w:rFonts w:ascii="Arial" w:cs="Arial" w:eastAsia="Arial" w:hAnsi="Arial"/>
          <w:b/>
          <w:bCs/>
          <w:color w:val="1A1A1A"/>
          <w:sz w:val="28"/>
          <w:szCs w:val="28"/>
        </w:rPr>
        <w:t xml:space="preserve">7.2  What This Fee Covers (Cost Budget Per Booking)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DDDDDD" w:sz="1"/>
              <w:left w:val="single" w:color="DDDDDD" w:sz="1"/>
              <w:bottom w:val="single" w:color="DDDDDD" w:sz="1"/>
              <w:right w:val="single" w:color="DDDDDD" w:sz="1"/>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Cost item</w:t>
            </w:r>
          </w:p>
        </w:tc>
        <w:tc>
          <w:tcPr>
            <w:tcW w:type="dxa" w:w="2800"/>
            <w:tcBorders>
              <w:top w:val="single" w:color="DDDDDD" w:sz="1"/>
              <w:left w:val="single" w:color="DDDDDD" w:sz="1"/>
              <w:bottom w:val="single" w:color="DDDDDD" w:sz="1"/>
              <w:right w:val="single" w:color="DDDDDD" w:sz="1"/>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Estimated cost per booking</w:t>
            </w:r>
          </w:p>
        </w:tc>
        <w:tc>
          <w:tcPr>
            <w:tcW w:type="dxa" w:w="3760"/>
            <w:tcBorders>
              <w:top w:val="single" w:color="DDDDDD" w:sz="1"/>
              <w:left w:val="single" w:color="DDDDDD" w:sz="1"/>
              <w:bottom w:val="single" w:color="DDDDDD" w:sz="1"/>
              <w:right w:val="single" w:color="DDDDDD" w:sz="1"/>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WhatsApp utility messages</w:t>
            </w:r>
          </w:p>
        </w:tc>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₹0.17 – ₹0.42</w:t>
            </w:r>
          </w:p>
        </w:tc>
        <w:tc>
          <w:tcPr>
            <w:tcW w:type="dxa" w:w="37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Varies by plan and free window adoption</w:t>
            </w:r>
          </w:p>
        </w:tc>
      </w:tr>
      <w:tr>
        <w:tc>
          <w:tcPr>
            <w:tcW w:type="dxa" w:w="28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OTP sends</w:t>
            </w:r>
          </w:p>
        </w:tc>
        <w:tc>
          <w:tcPr>
            <w:tcW w:type="dxa" w:w="28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₹0.34</w:t>
            </w:r>
          </w:p>
        </w:tc>
        <w:tc>
          <w:tcPr>
            <w:tcW w:type="dxa" w:w="376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Average 2.4 OTPs at ₹0.14 each</w:t>
            </w:r>
          </w:p>
        </w:tc>
      </w:tr>
      <w:tr>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Email delivery (SES/Postmark)</w:t>
            </w:r>
          </w:p>
        </w:tc>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₹0.05</w:t>
            </w:r>
          </w:p>
        </w:tc>
        <w:tc>
          <w:tcPr>
            <w:tcW w:type="dxa" w:w="37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Flat estimate</w:t>
            </w:r>
          </w:p>
        </w:tc>
      </w:tr>
      <w:tr>
        <w:tc>
          <w:tcPr>
            <w:tcW w:type="dxa" w:w="28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Total estimated cost</w:t>
            </w:r>
          </w:p>
        </w:tc>
        <w:tc>
          <w:tcPr>
            <w:tcW w:type="dxa" w:w="28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₹0.56 – ₹0.81</w:t>
            </w:r>
          </w:p>
        </w:tc>
        <w:tc>
          <w:tcPr>
            <w:tcW w:type="dxa" w:w="376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Well below ₹11.80 — remainder is platform margin</w:t>
            </w:r>
          </w:p>
        </w:tc>
      </w:tr>
      <w:tr>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Platform fee collected</w:t>
            </w:r>
          </w:p>
        </w:tc>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₹11.80</w:t>
            </w:r>
          </w:p>
        </w:tc>
        <w:tc>
          <w:tcPr>
            <w:tcW w:type="dxa" w:w="37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
            </w:r>
          </w:p>
        </w:tc>
      </w:tr>
      <w:tr>
        <w:tc>
          <w:tcPr>
            <w:tcW w:type="dxa" w:w="28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Estimated surplus per booking</w:t>
            </w:r>
          </w:p>
        </w:tc>
        <w:tc>
          <w:tcPr>
            <w:tcW w:type="dxa" w:w="28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₹11.00 – ₹11.24</w:t>
            </w:r>
          </w:p>
        </w:tc>
        <w:tc>
          <w:tcPr>
            <w:tcW w:type="dxa" w:w="376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Funds infrastructure, support, and profit</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2FF" w:val="clear"/>
            <w:tcMar>
              <w:top w:type="dxa" w:w="120"/>
              <w:left w:type="dxa" w:w="180"/>
              <w:bottom w:type="dxa" w:w="120"/>
              <w:right w:type="dxa" w:w="180"/>
            </w:tcMar>
          </w:tcPr>
          <w:p>
            <w:pPr>
              <w:spacing w:after="40"/>
            </w:pPr>
            <w:r>
              <w:rPr>
                <w:rFonts w:ascii="Arial" w:cs="Arial" w:eastAsia="Arial" w:hAnsi="Arial"/>
                <w:b/>
                <w:bCs/>
                <w:color w:val="1A56DB"/>
                <w:sz w:val="18"/>
                <w:szCs w:val="18"/>
              </w:rPr>
              <w:t xml:space="preserve">Why ₹11.80 specifically?</w:t>
            </w:r>
          </w:p>
          <w:p>
            <w:pPr>
              <w:spacing w:after="0"/>
            </w:pPr>
            <w:r>
              <w:rPr>
                <w:rFonts w:ascii="Arial" w:cs="Arial" w:eastAsia="Arial" w:hAnsi="Arial"/>
                <w:color w:val="1A56DB"/>
                <w:sz w:val="20"/>
                <w:szCs w:val="20"/>
              </w:rPr>
              <w:t xml:space="preserve">It mirrors the Razorpay fee exactly (₹11.80), making the checkout breakdown symmetrical and psychologically easy for clients to accept: "I pay ₹11.80 for the payment, and ₹11.80 for the platform." Two identical round line items read as fair. An arbitrary amount like ₹8 or ₹15 reads as a fee grab. The symmetry is intentional.</w:t>
            </w:r>
          </w:p>
        </w:tc>
      </w:tr>
    </w:tbl>
    <w:p>
      <w:pPr>
        <w:spacing w:after="0" w:before="200"/>
      </w:pPr>
    </w:p>
    <w:p>
      <w:pPr>
        <w:pStyle w:val="Heading2"/>
        <w:spacing w:after="160" w:before="320"/>
      </w:pPr>
      <w:r>
        <w:rPr>
          <w:rFonts w:ascii="Arial" w:cs="Arial" w:eastAsia="Arial" w:hAnsi="Arial"/>
          <w:b/>
          <w:bCs/>
          <w:color w:val="1A1A1A"/>
          <w:sz w:val="28"/>
          <w:szCs w:val="28"/>
        </w:rPr>
        <w:t xml:space="preserve">7.3  Checkout Display Requirement (Non-negotiable)</w:t>
      </w:r>
    </w:p>
    <w:p>
      <w:pPr>
        <w:spacing w:after="160" w:before="0"/>
        <w:jc w:val="left"/>
      </w:pPr>
      <w:r>
        <w:rPr>
          <w:rFonts w:ascii="Arial" w:cs="Arial" w:eastAsia="Arial" w:hAnsi="Arial"/>
          <w:b w:val="false"/>
          <w:bCs w:val="false"/>
          <w:i w:val="false"/>
          <w:iCs w:val="false"/>
          <w:color w:val="2D2D2D"/>
          <w:sz w:val="22"/>
          <w:szCs w:val="22"/>
        </w:rPr>
        <w:t xml:space="preserve">Both fee line items must appear on the checkout screen before the client taps Pay. They cannot be hidden, collapsed, or revealed only on the confirmation screen. Hiding fees at checkout is the primary driver of chargebacks and one-star reviews on booking platforms.</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120"/>
              <w:left w:type="dxa" w:w="180"/>
              <w:bottom w:type="dxa" w:w="120"/>
              <w:right w:type="dxa" w:w="180"/>
            </w:tcMar>
          </w:tcPr>
          <w:p>
            <w:pPr>
              <w:spacing w:after="40"/>
            </w:pPr>
            <w:r>
              <w:rPr>
                <w:rFonts w:ascii="Arial" w:cs="Arial" w:eastAsia="Arial" w:hAnsi="Arial"/>
                <w:b/>
                <w:bCs/>
                <w:color w:val="2D2D2D"/>
                <w:sz w:val="18"/>
                <w:szCs w:val="18"/>
              </w:rPr>
              <w:t xml:space="preserve">Required checkout layout</w:t>
            </w:r>
          </w:p>
          <w:p>
            <w:pPr>
              <w:spacing w:after="0"/>
            </w:pPr>
            <w:r>
              <w:rPr>
                <w:rFonts w:ascii="Arial" w:cs="Arial" w:eastAsia="Arial" w:hAnsi="Arial"/>
                <w:color w:val="2D2D2D"/>
                <w:sz w:val="20"/>
                <w:szCs w:val="20"/>
              </w:rPr>
              <w:t xml:space="preserve">Service price:              ₹1,000.00
Payment processing fee:         ₹11.80
Platform convenience fee:       ₹11.80
──────────────────────────────────────
Total you pay:              ₹1,023.60
Vendor receives:            ₹1,000.00 (Creator/Pro)
or after deductions:          ₹926.50 (Starter)</w:t>
            </w:r>
          </w:p>
        </w:tc>
      </w:tr>
    </w:tbl>
    <w:p>
      <w:pPr>
        <w:spacing w:after="0" w:before="200"/>
      </w:pPr>
    </w:p>
    <w:p>
      <w:r>
        <w:br/>
      </w:r>
    </w:p>
    <w:p>
      <w:pPr>
        <w:pStyle w:val="Heading1"/>
        <w:spacing w:after="200" w:before="400"/>
      </w:pPr>
      <w:r>
        <w:rPr>
          <w:rFonts w:ascii="Arial" w:cs="Arial" w:eastAsia="Arial" w:hAnsi="Arial"/>
          <w:b/>
          <w:bCs/>
          <w:color w:val="1A1A1A"/>
          <w:sz w:val="36"/>
          <w:szCs w:val="36"/>
        </w:rPr>
        <w:t xml:space="preserve">Section 8 — Database Schema</w:t>
      </w:r>
    </w:p>
    <w:p>
      <w:pPr>
        <w:spacing w:after="160" w:before="0"/>
        <w:jc w:val="left"/>
      </w:pPr>
      <w:r>
        <w:rPr>
          <w:rFonts w:ascii="Arial" w:cs="Arial" w:eastAsia="Arial" w:hAnsi="Arial"/>
          <w:b w:val="false"/>
          <w:bCs w:val="false"/>
          <w:i w:val="false"/>
          <w:iCs w:val="false"/>
          <w:color w:val="2D2D2D"/>
          <w:sz w:val="22"/>
          <w:szCs w:val="22"/>
        </w:rPr>
        <w:t xml:space="preserve">All plan limits and feature flags must be stored in the database. No plan logic lives in application code. This section defines the complete schema including additions required by this version.</w:t>
      </w:r>
    </w:p>
    <w:p>
      <w:pPr>
        <w:spacing w:after="0" w:before="140"/>
      </w:pPr>
    </w:p>
    <w:p>
      <w:pPr>
        <w:pStyle w:val="Heading2"/>
        <w:spacing w:after="160" w:before="320"/>
      </w:pPr>
      <w:r>
        <w:rPr>
          <w:rFonts w:ascii="Arial" w:cs="Arial" w:eastAsia="Arial" w:hAnsi="Arial"/>
          <w:b/>
          <w:bCs/>
          <w:color w:val="1A1A1A"/>
          <w:sz w:val="28"/>
          <w:szCs w:val="28"/>
        </w:rPr>
        <w:t xml:space="preserve">8.1  subscription_plans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DDDDDD" w:sz="1"/>
              <w:left w:val="single" w:color="DDDDDD" w:sz="1"/>
              <w:bottom w:val="single" w:color="DDDDDD" w:sz="1"/>
              <w:right w:val="single" w:color="DDDDDD" w:sz="1"/>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2000"/>
            <w:tcBorders>
              <w:top w:val="single" w:color="DDDDDD" w:sz="1"/>
              <w:left w:val="single" w:color="DDDDDD" w:sz="1"/>
              <w:bottom w:val="single" w:color="DDDDDD" w:sz="1"/>
              <w:right w:val="single" w:color="DDDDDD" w:sz="1"/>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4960"/>
            <w:tcBorders>
              <w:top w:val="single" w:color="DDDDDD" w:sz="1"/>
              <w:left w:val="single" w:color="DDDDDD" w:sz="1"/>
              <w:bottom w:val="single" w:color="DDDDDD" w:sz="1"/>
              <w:right w:val="single" w:color="DDDDDD" w:sz="1"/>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id</w:t>
            </w:r>
          </w:p>
        </w:tc>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UUID PK</w:t>
            </w:r>
          </w:p>
        </w:tc>
        <w:tc>
          <w:tcPr>
            <w:tcW w:type="dxa" w:w="49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
            </w:r>
          </w:p>
        </w:tc>
      </w:tr>
      <w:tr>
        <w:tc>
          <w:tcPr>
            <w:tcW w:type="dxa" w:w="24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name</w:t>
            </w:r>
          </w:p>
        </w:tc>
        <w:tc>
          <w:tcPr>
            <w:tcW w:type="dxa" w:w="20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VARCHAR(100)</w:t>
            </w:r>
          </w:p>
        </w:tc>
        <w:tc>
          <w:tcPr>
            <w:tcW w:type="dxa" w:w="496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e.g. "Starter", "Creator", "Professional"</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slug</w:t>
            </w:r>
          </w:p>
        </w:tc>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VARCHAR(50)</w:t>
            </w:r>
          </w:p>
        </w:tc>
        <w:tc>
          <w:tcPr>
            <w:tcW w:type="dxa" w:w="49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e.g. "starter", "creator", "pro" — used in code references</w:t>
            </w:r>
          </w:p>
        </w:tc>
      </w:tr>
      <w:tr>
        <w:tc>
          <w:tcPr>
            <w:tcW w:type="dxa" w:w="24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annual_price</w:t>
            </w:r>
          </w:p>
        </w:tc>
        <w:tc>
          <w:tcPr>
            <w:tcW w:type="dxa" w:w="20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DECIMAL(10,2)</w:t>
            </w:r>
          </w:p>
        </w:tc>
        <w:tc>
          <w:tcPr>
            <w:tcW w:type="dxa" w:w="496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0.00 for Starter</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sort_order</w:t>
            </w:r>
          </w:p>
        </w:tc>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INTEGER</w:t>
            </w:r>
          </w:p>
        </w:tc>
        <w:tc>
          <w:tcPr>
            <w:tcW w:type="dxa" w:w="49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Controls display order on pricing page</w:t>
            </w:r>
          </w:p>
        </w:tc>
      </w:tr>
      <w:tr>
        <w:tc>
          <w:tcPr>
            <w:tcW w:type="dxa" w:w="24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active</w:t>
            </w:r>
          </w:p>
        </w:tc>
        <w:tc>
          <w:tcPr>
            <w:tcW w:type="dxa" w:w="20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BOOLEAN</w:t>
            </w:r>
          </w:p>
        </w:tc>
        <w:tc>
          <w:tcPr>
            <w:tcW w:type="dxa" w:w="496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Archived plans set to false — no new signups but existing continue</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created_at</w:t>
            </w:r>
          </w:p>
        </w:tc>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TIMESTAMP</w:t>
            </w:r>
          </w:p>
        </w:tc>
        <w:tc>
          <w:tcPr>
            <w:tcW w:type="dxa" w:w="49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
            </w:r>
          </w:p>
        </w:tc>
      </w:tr>
      <w:tr>
        <w:tc>
          <w:tcPr>
            <w:tcW w:type="dxa" w:w="24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updated_at</w:t>
            </w:r>
          </w:p>
        </w:tc>
        <w:tc>
          <w:tcPr>
            <w:tcW w:type="dxa" w:w="20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TIMESTAMP</w:t>
            </w:r>
          </w:p>
        </w:tc>
        <w:tc>
          <w:tcPr>
            <w:tcW w:type="dxa" w:w="496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
            </w:r>
          </w:p>
        </w:tc>
      </w:tr>
    </w:tbl>
    <w:p>
      <w:pPr>
        <w:spacing w:after="0" w:before="140"/>
      </w:pPr>
    </w:p>
    <w:p>
      <w:pPr>
        <w:pStyle w:val="Heading2"/>
        <w:spacing w:after="160" w:before="320"/>
      </w:pPr>
      <w:r>
        <w:rPr>
          <w:rFonts w:ascii="Arial" w:cs="Arial" w:eastAsia="Arial" w:hAnsi="Arial"/>
          <w:b/>
          <w:bCs/>
          <w:color w:val="1A1A1A"/>
          <w:sz w:val="28"/>
          <w:szCs w:val="28"/>
        </w:rPr>
        <w:t xml:space="preserve">8.2  subscription_features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5060"/>
      </w:tblGrid>
      <w:tr>
        <w:trPr>
          <w:tblHeader/>
        </w:trPr>
        <w:tc>
          <w:tcPr>
            <w:tcW w:type="dxa" w:w="2600"/>
            <w:tcBorders>
              <w:top w:val="single" w:color="DDDDDD" w:sz="1"/>
              <w:left w:val="single" w:color="DDDDDD" w:sz="1"/>
              <w:bottom w:val="single" w:color="DDDDDD" w:sz="1"/>
              <w:right w:val="single" w:color="DDDDDD" w:sz="1"/>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1700"/>
            <w:tcBorders>
              <w:top w:val="single" w:color="DDDDDD" w:sz="1"/>
              <w:left w:val="single" w:color="DDDDDD" w:sz="1"/>
              <w:bottom w:val="single" w:color="DDDDDD" w:sz="1"/>
              <w:right w:val="single" w:color="DDDDDD" w:sz="1"/>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5060"/>
            <w:tcBorders>
              <w:top w:val="single" w:color="DDDDDD" w:sz="1"/>
              <w:left w:val="single" w:color="DDDDDD" w:sz="1"/>
              <w:bottom w:val="single" w:color="DDDDDD" w:sz="1"/>
              <w:right w:val="single" w:color="DDDDDD" w:sz="1"/>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id</w:t>
            </w:r>
          </w:p>
        </w:tc>
        <w:tc>
          <w:tcPr>
            <w:tcW w:type="dxa" w:w="17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UUID PK</w:t>
            </w:r>
          </w:p>
        </w:tc>
        <w:tc>
          <w:tcPr>
            <w:tcW w:type="dxa" w:w="50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
            </w:r>
          </w:p>
        </w:tc>
      </w:tr>
      <w:tr>
        <w:tc>
          <w:tcPr>
            <w:tcW w:type="dxa" w:w="26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plan_id</w:t>
            </w:r>
          </w:p>
        </w:tc>
        <w:tc>
          <w:tcPr>
            <w:tcW w:type="dxa" w:w="17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UUID FK</w:t>
            </w:r>
          </w:p>
        </w:tc>
        <w:tc>
          <w:tcPr>
            <w:tcW w:type="dxa" w:w="506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References subscription_plans</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services_limit</w:t>
            </w:r>
          </w:p>
        </w:tc>
        <w:tc>
          <w:tcPr>
            <w:tcW w:type="dxa" w:w="17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INTEGER</w:t>
            </w:r>
          </w:p>
        </w:tc>
        <w:tc>
          <w:tcPr>
            <w:tcW w:type="dxa" w:w="50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10 / 20 / 30</w:t>
            </w:r>
          </w:p>
        </w:tc>
      </w:tr>
      <w:tr>
        <w:tc>
          <w:tcPr>
            <w:tcW w:type="dxa" w:w="26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bookings_limit</w:t>
            </w:r>
          </w:p>
        </w:tc>
        <w:tc>
          <w:tcPr>
            <w:tcW w:type="dxa" w:w="17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INTEGER</w:t>
            </w:r>
          </w:p>
        </w:tc>
        <w:tc>
          <w:tcPr>
            <w:tcW w:type="dxa" w:w="506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1000 / 2000 / 3000</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digital_products_limit</w:t>
            </w:r>
          </w:p>
        </w:tc>
        <w:tc>
          <w:tcPr>
            <w:tcW w:type="dxa" w:w="17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INTEGER</w:t>
            </w:r>
          </w:p>
        </w:tc>
        <w:tc>
          <w:tcPr>
            <w:tcW w:type="dxa" w:w="50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3 / 10 / 20</w:t>
            </w:r>
          </w:p>
        </w:tc>
      </w:tr>
      <w:tr>
        <w:tc>
          <w:tcPr>
            <w:tcW w:type="dxa" w:w="26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calendar_integrations_limit</w:t>
            </w:r>
          </w:p>
        </w:tc>
        <w:tc>
          <w:tcPr>
            <w:tcW w:type="dxa" w:w="17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INTEGER</w:t>
            </w:r>
          </w:p>
        </w:tc>
        <w:tc>
          <w:tcPr>
            <w:tcW w:type="dxa" w:w="506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1 / 2 / 3</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reminder_flows_limit</w:t>
            </w:r>
          </w:p>
        </w:tc>
        <w:tc>
          <w:tcPr>
            <w:tcW w:type="dxa" w:w="17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INTEGER</w:t>
            </w:r>
          </w:p>
        </w:tc>
        <w:tc>
          <w:tcPr>
            <w:tcW w:type="dxa" w:w="50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0 / 1 / 2</w:t>
            </w:r>
          </w:p>
        </w:tc>
      </w:tr>
      <w:tr>
        <w:tc>
          <w:tcPr>
            <w:tcW w:type="dxa" w:w="26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followup_flows_limit</w:t>
            </w:r>
          </w:p>
        </w:tc>
        <w:tc>
          <w:tcPr>
            <w:tcW w:type="dxa" w:w="17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INTEGER</w:t>
            </w:r>
          </w:p>
        </w:tc>
        <w:tc>
          <w:tcPr>
            <w:tcW w:type="dxa" w:w="506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0 / 0 / 2 — Creator is 0 for WA, 1 for email</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whatsapp_enabled</w:t>
            </w:r>
          </w:p>
        </w:tc>
        <w:tc>
          <w:tcPr>
            <w:tcW w:type="dxa" w:w="17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BOOLEAN</w:t>
            </w:r>
          </w:p>
        </w:tc>
        <w:tc>
          <w:tcPr>
            <w:tcW w:type="dxa" w:w="50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false for Starter, true for Creator and Pro</w:t>
            </w:r>
          </w:p>
        </w:tc>
      </w:tr>
      <w:tr>
        <w:tc>
          <w:tcPr>
            <w:tcW w:type="dxa" w:w="26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whatsapp_followup_enabled</w:t>
            </w:r>
          </w:p>
        </w:tc>
        <w:tc>
          <w:tcPr>
            <w:tcW w:type="dxa" w:w="17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BOOLEAN</w:t>
            </w:r>
          </w:p>
        </w:tc>
        <w:tc>
          <w:tcPr>
            <w:tcW w:type="dxa" w:w="506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false for Starter and Creator, true for Pro</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whatsapp_credits_included</w:t>
            </w:r>
          </w:p>
        </w:tc>
        <w:tc>
          <w:tcPr>
            <w:tcW w:type="dxa" w:w="17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INTEGER</w:t>
            </w:r>
          </w:p>
        </w:tc>
        <w:tc>
          <w:tcPr>
            <w:tcW w:type="dxa" w:w="50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0 / 0 / 500</w:t>
            </w:r>
          </w:p>
        </w:tc>
      </w:tr>
      <w:tr>
        <w:tc>
          <w:tcPr>
            <w:tcW w:type="dxa" w:w="26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reports_type</w:t>
            </w:r>
          </w:p>
        </w:tc>
        <w:tc>
          <w:tcPr>
            <w:tcW w:type="dxa" w:w="17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ENUM</w:t>
            </w:r>
          </w:p>
        </w:tc>
        <w:tc>
          <w:tcPr>
            <w:tcW w:type="dxa" w:w="506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none / basic / advanced</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exports_enabled</w:t>
            </w:r>
          </w:p>
        </w:tc>
        <w:tc>
          <w:tcPr>
            <w:tcW w:type="dxa" w:w="17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BOOLEAN</w:t>
            </w:r>
          </w:p>
        </w:tc>
        <w:tc>
          <w:tcPr>
            <w:tcW w:type="dxa" w:w="50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false / false / true</w:t>
            </w:r>
          </w:p>
        </w:tc>
      </w:tr>
      <w:tr>
        <w:tc>
          <w:tcPr>
            <w:tcW w:type="dxa" w:w="26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invoices_enabled</w:t>
            </w:r>
          </w:p>
        </w:tc>
        <w:tc>
          <w:tcPr>
            <w:tcW w:type="dxa" w:w="17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BOOLEAN</w:t>
            </w:r>
          </w:p>
        </w:tc>
        <w:tc>
          <w:tcPr>
            <w:tcW w:type="dxa" w:w="506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false / true / true</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client_notes_enabled</w:t>
            </w:r>
          </w:p>
        </w:tc>
        <w:tc>
          <w:tcPr>
            <w:tcW w:type="dxa" w:w="17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BOOLEAN</w:t>
            </w:r>
          </w:p>
        </w:tc>
        <w:tc>
          <w:tcPr>
            <w:tcW w:type="dxa" w:w="50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false / false / true</w:t>
            </w:r>
          </w:p>
        </w:tc>
      </w:tr>
      <w:tr>
        <w:tc>
          <w:tcPr>
            <w:tcW w:type="dxa" w:w="26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commission_percentage</w:t>
            </w:r>
          </w:p>
        </w:tc>
        <w:tc>
          <w:tcPr>
            <w:tcW w:type="dxa" w:w="17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DECIMAL(5,2)</w:t>
            </w:r>
          </w:p>
        </w:tc>
        <w:tc>
          <w:tcPr>
            <w:tcW w:type="dxa" w:w="506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5.00 for Starter, 0.00 for others</w:t>
            </w:r>
          </w:p>
        </w:tc>
      </w:tr>
    </w:tbl>
    <w:p>
      <w:pPr>
        <w:spacing w:after="0" w:before="140"/>
      </w:pPr>
    </w:p>
    <w:p>
      <w:pPr>
        <w:pStyle w:val="Heading2"/>
        <w:spacing w:after="160" w:before="320"/>
      </w:pPr>
      <w:r>
        <w:rPr>
          <w:rFonts w:ascii="Arial" w:cs="Arial" w:eastAsia="Arial" w:hAnsi="Arial"/>
          <w:b/>
          <w:bCs/>
          <w:color w:val="1A1A1A"/>
          <w:sz w:val="28"/>
          <w:szCs w:val="28"/>
        </w:rPr>
        <w:t xml:space="preserve">8.3  vendor_subscriptions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5060"/>
      </w:tblGrid>
      <w:tr>
        <w:trPr>
          <w:tblHeader/>
        </w:trPr>
        <w:tc>
          <w:tcPr>
            <w:tcW w:type="dxa" w:w="2600"/>
            <w:tcBorders>
              <w:top w:val="single" w:color="DDDDDD" w:sz="1"/>
              <w:left w:val="single" w:color="DDDDDD" w:sz="1"/>
              <w:bottom w:val="single" w:color="DDDDDD" w:sz="1"/>
              <w:right w:val="single" w:color="DDDDDD" w:sz="1"/>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1700"/>
            <w:tcBorders>
              <w:top w:val="single" w:color="DDDDDD" w:sz="1"/>
              <w:left w:val="single" w:color="DDDDDD" w:sz="1"/>
              <w:bottom w:val="single" w:color="DDDDDD" w:sz="1"/>
              <w:right w:val="single" w:color="DDDDDD" w:sz="1"/>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5060"/>
            <w:tcBorders>
              <w:top w:val="single" w:color="DDDDDD" w:sz="1"/>
              <w:left w:val="single" w:color="DDDDDD" w:sz="1"/>
              <w:bottom w:val="single" w:color="DDDDDD" w:sz="1"/>
              <w:right w:val="single" w:color="DDDDDD" w:sz="1"/>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id</w:t>
            </w:r>
          </w:p>
        </w:tc>
        <w:tc>
          <w:tcPr>
            <w:tcW w:type="dxa" w:w="17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UUID PK</w:t>
            </w:r>
          </w:p>
        </w:tc>
        <w:tc>
          <w:tcPr>
            <w:tcW w:type="dxa" w:w="50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
            </w:r>
          </w:p>
        </w:tc>
      </w:tr>
      <w:tr>
        <w:tc>
          <w:tcPr>
            <w:tcW w:type="dxa" w:w="26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vendor_id</w:t>
            </w:r>
          </w:p>
        </w:tc>
        <w:tc>
          <w:tcPr>
            <w:tcW w:type="dxa" w:w="17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UUID FK</w:t>
            </w:r>
          </w:p>
        </w:tc>
        <w:tc>
          <w:tcPr>
            <w:tcW w:type="dxa" w:w="506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plan_id</w:t>
            </w:r>
          </w:p>
        </w:tc>
        <w:tc>
          <w:tcPr>
            <w:tcW w:type="dxa" w:w="17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UUID FK</w:t>
            </w:r>
          </w:p>
        </w:tc>
        <w:tc>
          <w:tcPr>
            <w:tcW w:type="dxa" w:w="50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
            </w:r>
          </w:p>
        </w:tc>
      </w:tr>
      <w:tr>
        <w:tc>
          <w:tcPr>
            <w:tcW w:type="dxa" w:w="26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starts_at</w:t>
            </w:r>
          </w:p>
        </w:tc>
        <w:tc>
          <w:tcPr>
            <w:tcW w:type="dxa" w:w="17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TIMESTAMP</w:t>
            </w:r>
          </w:p>
        </w:tc>
        <w:tc>
          <w:tcPr>
            <w:tcW w:type="dxa" w:w="506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expires_at</w:t>
            </w:r>
          </w:p>
        </w:tc>
        <w:tc>
          <w:tcPr>
            <w:tcW w:type="dxa" w:w="17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TIMESTAMP</w:t>
            </w:r>
          </w:p>
        </w:tc>
        <w:tc>
          <w:tcPr>
            <w:tcW w:type="dxa" w:w="50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
            </w:r>
          </w:p>
        </w:tc>
      </w:tr>
      <w:tr>
        <w:tc>
          <w:tcPr>
            <w:tcW w:type="dxa" w:w="26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status</w:t>
            </w:r>
          </w:p>
        </w:tc>
        <w:tc>
          <w:tcPr>
            <w:tcW w:type="dxa" w:w="17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ENUM</w:t>
            </w:r>
          </w:p>
        </w:tc>
        <w:tc>
          <w:tcPr>
            <w:tcW w:type="dxa" w:w="506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active / expired / cancelled / limit_exceeded</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payment_reference</w:t>
            </w:r>
          </w:p>
        </w:tc>
        <w:tc>
          <w:tcPr>
            <w:tcW w:type="dxa" w:w="17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VARCHAR(200)</w:t>
            </w:r>
          </w:p>
        </w:tc>
        <w:tc>
          <w:tcPr>
            <w:tcW w:type="dxa" w:w="50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Razorpay payment ID</w:t>
            </w:r>
          </w:p>
        </w:tc>
      </w:tr>
      <w:tr>
        <w:tc>
          <w:tcPr>
            <w:tcW w:type="dxa" w:w="26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cancelled_at</w:t>
            </w:r>
          </w:p>
        </w:tc>
        <w:tc>
          <w:tcPr>
            <w:tcW w:type="dxa" w:w="17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TIMESTAMP NULL</w:t>
            </w:r>
          </w:p>
        </w:tc>
        <w:tc>
          <w:tcPr>
            <w:tcW w:type="dxa" w:w="506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cancellation_reason</w:t>
            </w:r>
          </w:p>
        </w:tc>
        <w:tc>
          <w:tcPr>
            <w:tcW w:type="dxa" w:w="17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VARCHAR(500) NULL</w:t>
            </w:r>
          </w:p>
        </w:tc>
        <w:tc>
          <w:tcPr>
            <w:tcW w:type="dxa" w:w="50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
            </w:r>
          </w:p>
        </w:tc>
      </w:tr>
      <w:tr>
        <w:tc>
          <w:tcPr>
            <w:tcW w:type="dxa" w:w="26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queued_plan_id</w:t>
            </w:r>
          </w:p>
        </w:tc>
        <w:tc>
          <w:tcPr>
            <w:tcW w:type="dxa" w:w="17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UUID FK NULL</w:t>
            </w:r>
          </w:p>
        </w:tc>
        <w:tc>
          <w:tcPr>
            <w:tcW w:type="dxa" w:w="506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Plan to apply at next renewal (downgrade queue)</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previous_plan_id</w:t>
            </w:r>
          </w:p>
        </w:tc>
        <w:tc>
          <w:tcPr>
            <w:tcW w:type="dxa" w:w="17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UUID FK NULL</w:t>
            </w:r>
          </w:p>
        </w:tc>
        <w:tc>
          <w:tcPr>
            <w:tcW w:type="dxa" w:w="50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Tracks what plan they came from</w:t>
            </w:r>
          </w:p>
        </w:tc>
      </w:tr>
      <w:tr>
        <w:tc>
          <w:tcPr>
            <w:tcW w:type="dxa" w:w="26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created_at</w:t>
            </w:r>
          </w:p>
        </w:tc>
        <w:tc>
          <w:tcPr>
            <w:tcW w:type="dxa" w:w="17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TIMESTAMP</w:t>
            </w:r>
          </w:p>
        </w:tc>
        <w:tc>
          <w:tcPr>
            <w:tcW w:type="dxa" w:w="506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updated_at</w:t>
            </w:r>
          </w:p>
        </w:tc>
        <w:tc>
          <w:tcPr>
            <w:tcW w:type="dxa" w:w="17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TIMESTAMP</w:t>
            </w:r>
          </w:p>
        </w:tc>
        <w:tc>
          <w:tcPr>
            <w:tcW w:type="dxa" w:w="50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
            </w:r>
          </w:p>
        </w:tc>
      </w:tr>
    </w:tbl>
    <w:p>
      <w:pPr>
        <w:spacing w:after="0" w:before="140"/>
      </w:pPr>
    </w:p>
    <w:p>
      <w:pPr>
        <w:pStyle w:val="Heading2"/>
        <w:spacing w:after="160" w:before="320"/>
      </w:pPr>
      <w:r>
        <w:rPr>
          <w:rFonts w:ascii="Arial" w:cs="Arial" w:eastAsia="Arial" w:hAnsi="Arial"/>
          <w:b/>
          <w:bCs/>
          <w:color w:val="1A1A1A"/>
          <w:sz w:val="28"/>
          <w:szCs w:val="28"/>
        </w:rPr>
        <w:t xml:space="preserve">8.4  New Tables Required</w:t>
      </w:r>
    </w:p>
    <w:p>
      <w:pPr>
        <w:pStyle w:val="Heading3"/>
        <w:spacing w:after="120" w:before="240"/>
      </w:pPr>
      <w:r>
        <w:rPr>
          <w:rFonts w:ascii="Arial" w:cs="Arial" w:eastAsia="Arial" w:hAnsi="Arial"/>
          <w:b/>
          <w:bCs/>
          <w:color w:val="1A56DB"/>
          <w:sz w:val="24"/>
          <w:szCs w:val="24"/>
        </w:rPr>
        <w:t xml:space="preserve">subscription_invoices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5060"/>
      </w:tblGrid>
      <w:tr>
        <w:trPr>
          <w:tblHeader/>
        </w:trPr>
        <w:tc>
          <w:tcPr>
            <w:tcW w:type="dxa" w:w="2600"/>
            <w:tcBorders>
              <w:top w:val="single" w:color="DDDDDD" w:sz="1"/>
              <w:left w:val="single" w:color="DDDDDD" w:sz="1"/>
              <w:bottom w:val="single" w:color="DDDDDD" w:sz="1"/>
              <w:right w:val="single" w:color="DDDDDD" w:sz="1"/>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1700"/>
            <w:tcBorders>
              <w:top w:val="single" w:color="DDDDDD" w:sz="1"/>
              <w:left w:val="single" w:color="DDDDDD" w:sz="1"/>
              <w:bottom w:val="single" w:color="DDDDDD" w:sz="1"/>
              <w:right w:val="single" w:color="DDDDDD" w:sz="1"/>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5060"/>
            <w:tcBorders>
              <w:top w:val="single" w:color="DDDDDD" w:sz="1"/>
              <w:left w:val="single" w:color="DDDDDD" w:sz="1"/>
              <w:bottom w:val="single" w:color="DDDDDD" w:sz="1"/>
              <w:right w:val="single" w:color="DDDDDD" w:sz="1"/>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id</w:t>
            </w:r>
          </w:p>
        </w:tc>
        <w:tc>
          <w:tcPr>
            <w:tcW w:type="dxa" w:w="17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UUID PK</w:t>
            </w:r>
          </w:p>
        </w:tc>
        <w:tc>
          <w:tcPr>
            <w:tcW w:type="dxa" w:w="50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
            </w:r>
          </w:p>
        </w:tc>
      </w:tr>
      <w:tr>
        <w:tc>
          <w:tcPr>
            <w:tcW w:type="dxa" w:w="26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vendor_id</w:t>
            </w:r>
          </w:p>
        </w:tc>
        <w:tc>
          <w:tcPr>
            <w:tcW w:type="dxa" w:w="17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UUID FK</w:t>
            </w:r>
          </w:p>
        </w:tc>
        <w:tc>
          <w:tcPr>
            <w:tcW w:type="dxa" w:w="506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subscription_id</w:t>
            </w:r>
          </w:p>
        </w:tc>
        <w:tc>
          <w:tcPr>
            <w:tcW w:type="dxa" w:w="17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UUID FK</w:t>
            </w:r>
          </w:p>
        </w:tc>
        <w:tc>
          <w:tcPr>
            <w:tcW w:type="dxa" w:w="50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
            </w:r>
          </w:p>
        </w:tc>
      </w:tr>
      <w:tr>
        <w:tc>
          <w:tcPr>
            <w:tcW w:type="dxa" w:w="26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razorpay_payment_id</w:t>
            </w:r>
          </w:p>
        </w:tc>
        <w:tc>
          <w:tcPr>
            <w:tcW w:type="dxa" w:w="17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VARCHAR(200)</w:t>
            </w:r>
          </w:p>
        </w:tc>
        <w:tc>
          <w:tcPr>
            <w:tcW w:type="dxa" w:w="506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amount</w:t>
            </w:r>
          </w:p>
        </w:tc>
        <w:tc>
          <w:tcPr>
            <w:tcW w:type="dxa" w:w="17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DECIMAL(10,2)</w:t>
            </w:r>
          </w:p>
        </w:tc>
        <w:tc>
          <w:tcPr>
            <w:tcW w:type="dxa" w:w="50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Subscription amount paid</w:t>
            </w:r>
          </w:p>
        </w:tc>
      </w:tr>
      <w:tr>
        <w:tc>
          <w:tcPr>
            <w:tcW w:type="dxa" w:w="26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tax_amount</w:t>
            </w:r>
          </w:p>
        </w:tc>
        <w:tc>
          <w:tcPr>
            <w:tcW w:type="dxa" w:w="17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DECIMAL(10,2)</w:t>
            </w:r>
          </w:p>
        </w:tc>
        <w:tc>
          <w:tcPr>
            <w:tcW w:type="dxa" w:w="506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GST if applicable</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issued_at</w:t>
            </w:r>
          </w:p>
        </w:tc>
        <w:tc>
          <w:tcPr>
            <w:tcW w:type="dxa" w:w="17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TIMESTAMP</w:t>
            </w:r>
          </w:p>
        </w:tc>
        <w:tc>
          <w:tcPr>
            <w:tcW w:type="dxa" w:w="50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
            </w:r>
          </w:p>
        </w:tc>
      </w:tr>
      <w:tr>
        <w:tc>
          <w:tcPr>
            <w:tcW w:type="dxa" w:w="26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pdf_url</w:t>
            </w:r>
          </w:p>
        </w:tc>
        <w:tc>
          <w:tcPr>
            <w:tcW w:type="dxa" w:w="17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VARCHAR(500)</w:t>
            </w:r>
          </w:p>
        </w:tc>
        <w:tc>
          <w:tcPr>
            <w:tcW w:type="dxa" w:w="506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S3 or CDN path</w:t>
            </w:r>
          </w:p>
        </w:tc>
      </w:tr>
    </w:tbl>
    <w:p>
      <w:pPr>
        <w:spacing w:after="0" w:before="120"/>
      </w:pPr>
    </w:p>
    <w:p>
      <w:pPr>
        <w:pStyle w:val="Heading3"/>
        <w:spacing w:after="120" w:before="240"/>
      </w:pPr>
      <w:r>
        <w:rPr>
          <w:rFonts w:ascii="Arial" w:cs="Arial" w:eastAsia="Arial" w:hAnsi="Arial"/>
          <w:b/>
          <w:bCs/>
          <w:color w:val="1A56DB"/>
          <w:sz w:val="24"/>
          <w:szCs w:val="24"/>
        </w:rPr>
        <w:t xml:space="preserve">booking_settlements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5060"/>
      </w:tblGrid>
      <w:tr>
        <w:trPr>
          <w:tblHeader/>
        </w:trPr>
        <w:tc>
          <w:tcPr>
            <w:tcW w:type="dxa" w:w="2600"/>
            <w:tcBorders>
              <w:top w:val="single" w:color="DDDDDD" w:sz="1"/>
              <w:left w:val="single" w:color="DDDDDD" w:sz="1"/>
              <w:bottom w:val="single" w:color="DDDDDD" w:sz="1"/>
              <w:right w:val="single" w:color="DDDDDD" w:sz="1"/>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1700"/>
            <w:tcBorders>
              <w:top w:val="single" w:color="DDDDDD" w:sz="1"/>
              <w:left w:val="single" w:color="DDDDDD" w:sz="1"/>
              <w:bottom w:val="single" w:color="DDDDDD" w:sz="1"/>
              <w:right w:val="single" w:color="DDDDDD" w:sz="1"/>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5060"/>
            <w:tcBorders>
              <w:top w:val="single" w:color="DDDDDD" w:sz="1"/>
              <w:left w:val="single" w:color="DDDDDD" w:sz="1"/>
              <w:bottom w:val="single" w:color="DDDDDD" w:sz="1"/>
              <w:right w:val="single" w:color="DDDDDD" w:sz="1"/>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id</w:t>
            </w:r>
          </w:p>
        </w:tc>
        <w:tc>
          <w:tcPr>
            <w:tcW w:type="dxa" w:w="17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UUID PK</w:t>
            </w:r>
          </w:p>
        </w:tc>
        <w:tc>
          <w:tcPr>
            <w:tcW w:type="dxa" w:w="50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
            </w:r>
          </w:p>
        </w:tc>
      </w:tr>
      <w:tr>
        <w:tc>
          <w:tcPr>
            <w:tcW w:type="dxa" w:w="26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vendor_id</w:t>
            </w:r>
          </w:p>
        </w:tc>
        <w:tc>
          <w:tcPr>
            <w:tcW w:type="dxa" w:w="17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UUID FK</w:t>
            </w:r>
          </w:p>
        </w:tc>
        <w:tc>
          <w:tcPr>
            <w:tcW w:type="dxa" w:w="506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razorpay_settlement_id</w:t>
            </w:r>
          </w:p>
        </w:tc>
        <w:tc>
          <w:tcPr>
            <w:tcW w:type="dxa" w:w="17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VARCHAR(200)</w:t>
            </w:r>
          </w:p>
        </w:tc>
        <w:tc>
          <w:tcPr>
            <w:tcW w:type="dxa" w:w="50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
            </w:r>
          </w:p>
        </w:tc>
      </w:tr>
      <w:tr>
        <w:tc>
          <w:tcPr>
            <w:tcW w:type="dxa" w:w="26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gross_amount</w:t>
            </w:r>
          </w:p>
        </w:tc>
        <w:tc>
          <w:tcPr>
            <w:tcW w:type="dxa" w:w="17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DECIMAL(10,2)</w:t>
            </w:r>
          </w:p>
        </w:tc>
        <w:tc>
          <w:tcPr>
            <w:tcW w:type="dxa" w:w="506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Total collected from client</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razorpay_fee</w:t>
            </w:r>
          </w:p>
        </w:tc>
        <w:tc>
          <w:tcPr>
            <w:tcW w:type="dxa" w:w="17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DECIMAL(10,2)</w:t>
            </w:r>
          </w:p>
        </w:tc>
        <w:tc>
          <w:tcPr>
            <w:tcW w:type="dxa" w:w="50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2.35% on Starter, ₹11.80 flat on paid plans</w:t>
            </w:r>
          </w:p>
        </w:tc>
      </w:tr>
      <w:tr>
        <w:tc>
          <w:tcPr>
            <w:tcW w:type="dxa" w:w="26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platform_convenience_fee</w:t>
            </w:r>
          </w:p>
        </w:tc>
        <w:tc>
          <w:tcPr>
            <w:tcW w:type="dxa" w:w="17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DECIMAL(10,2)</w:t>
            </w:r>
          </w:p>
        </w:tc>
        <w:tc>
          <w:tcPr>
            <w:tcW w:type="dxa" w:w="506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₹11.80 — always</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commission_amount</w:t>
            </w:r>
          </w:p>
        </w:tc>
        <w:tc>
          <w:tcPr>
            <w:tcW w:type="dxa" w:w="17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DECIMAL(10,2)</w:t>
            </w:r>
          </w:p>
        </w:tc>
        <w:tc>
          <w:tcPr>
            <w:tcW w:type="dxa" w:w="50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5% on Starter completed bookings, else 0</w:t>
            </w:r>
          </w:p>
        </w:tc>
      </w:tr>
      <w:tr>
        <w:tc>
          <w:tcPr>
            <w:tcW w:type="dxa" w:w="26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net_vendor_amount</w:t>
            </w:r>
          </w:p>
        </w:tc>
        <w:tc>
          <w:tcPr>
            <w:tcW w:type="dxa" w:w="17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DECIMAL(10,2)</w:t>
            </w:r>
          </w:p>
        </w:tc>
        <w:tc>
          <w:tcPr>
            <w:tcW w:type="dxa" w:w="506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Amount transferred to vendor</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settled_at</w:t>
            </w:r>
          </w:p>
        </w:tc>
        <w:tc>
          <w:tcPr>
            <w:tcW w:type="dxa" w:w="17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TIMESTAMP</w:t>
            </w:r>
          </w:p>
        </w:tc>
        <w:tc>
          <w:tcPr>
            <w:tcW w:type="dxa" w:w="50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
            </w:r>
          </w:p>
        </w:tc>
      </w:tr>
      <w:tr>
        <w:tc>
          <w:tcPr>
            <w:tcW w:type="dxa" w:w="26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booking_ids</w:t>
            </w:r>
          </w:p>
        </w:tc>
        <w:tc>
          <w:tcPr>
            <w:tcW w:type="dxa" w:w="17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JSON</w:t>
            </w:r>
          </w:p>
        </w:tc>
        <w:tc>
          <w:tcPr>
            <w:tcW w:type="dxa" w:w="506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Array of booking IDs in this settlement batch</w:t>
            </w:r>
          </w:p>
        </w:tc>
      </w:tr>
    </w:tbl>
    <w:p>
      <w:pPr>
        <w:spacing w:after="0" w:before="120"/>
      </w:pPr>
    </w:p>
    <w:p>
      <w:pPr>
        <w:pStyle w:val="Heading3"/>
        <w:spacing w:after="120" w:before="240"/>
      </w:pPr>
      <w:r>
        <w:rPr>
          <w:rFonts w:ascii="Arial" w:cs="Arial" w:eastAsia="Arial" w:hAnsi="Arial"/>
          <w:b/>
          <w:bCs/>
          <w:color w:val="1A56DB"/>
          <w:sz w:val="24"/>
          <w:szCs w:val="24"/>
        </w:rPr>
        <w:t xml:space="preserve">whatsapp_credits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5060"/>
      </w:tblGrid>
      <w:tr>
        <w:trPr>
          <w:tblHeader/>
        </w:trPr>
        <w:tc>
          <w:tcPr>
            <w:tcW w:type="dxa" w:w="2600"/>
            <w:tcBorders>
              <w:top w:val="single" w:color="DDDDDD" w:sz="1"/>
              <w:left w:val="single" w:color="DDDDDD" w:sz="1"/>
              <w:bottom w:val="single" w:color="DDDDDD" w:sz="1"/>
              <w:right w:val="single" w:color="DDDDDD" w:sz="1"/>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1700"/>
            <w:tcBorders>
              <w:top w:val="single" w:color="DDDDDD" w:sz="1"/>
              <w:left w:val="single" w:color="DDDDDD" w:sz="1"/>
              <w:bottom w:val="single" w:color="DDDDDD" w:sz="1"/>
              <w:right w:val="single" w:color="DDDDDD" w:sz="1"/>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5060"/>
            <w:tcBorders>
              <w:top w:val="single" w:color="DDDDDD" w:sz="1"/>
              <w:left w:val="single" w:color="DDDDDD" w:sz="1"/>
              <w:bottom w:val="single" w:color="DDDDDD" w:sz="1"/>
              <w:right w:val="single" w:color="DDDDDD" w:sz="1"/>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id</w:t>
            </w:r>
          </w:p>
        </w:tc>
        <w:tc>
          <w:tcPr>
            <w:tcW w:type="dxa" w:w="17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UUID PK</w:t>
            </w:r>
          </w:p>
        </w:tc>
        <w:tc>
          <w:tcPr>
            <w:tcW w:type="dxa" w:w="50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
            </w:r>
          </w:p>
        </w:tc>
      </w:tr>
      <w:tr>
        <w:tc>
          <w:tcPr>
            <w:tcW w:type="dxa" w:w="26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vendor_id</w:t>
            </w:r>
          </w:p>
        </w:tc>
        <w:tc>
          <w:tcPr>
            <w:tcW w:type="dxa" w:w="17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UUID FK</w:t>
            </w:r>
          </w:p>
        </w:tc>
        <w:tc>
          <w:tcPr>
            <w:tcW w:type="dxa" w:w="506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plan_id</w:t>
            </w:r>
          </w:p>
        </w:tc>
        <w:tc>
          <w:tcPr>
            <w:tcW w:type="dxa" w:w="17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UUID FK</w:t>
            </w:r>
          </w:p>
        </w:tc>
        <w:tc>
          <w:tcPr>
            <w:tcW w:type="dxa" w:w="50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
            </w:r>
          </w:p>
        </w:tc>
      </w:tr>
      <w:tr>
        <w:tc>
          <w:tcPr>
            <w:tcW w:type="dxa" w:w="26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credits_included</w:t>
            </w:r>
          </w:p>
        </w:tc>
        <w:tc>
          <w:tcPr>
            <w:tcW w:type="dxa" w:w="17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INTEGER</w:t>
            </w:r>
          </w:p>
        </w:tc>
        <w:tc>
          <w:tcPr>
            <w:tcW w:type="dxa" w:w="506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500 for Pro, 0 otherwise</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credits_used</w:t>
            </w:r>
          </w:p>
        </w:tc>
        <w:tc>
          <w:tcPr>
            <w:tcW w:type="dxa" w:w="17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INTEGER</w:t>
            </w:r>
          </w:p>
        </w:tc>
        <w:tc>
          <w:tcPr>
            <w:tcW w:type="dxa" w:w="50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Increments on every marketing WA send</w:t>
            </w:r>
          </w:p>
        </w:tc>
      </w:tr>
      <w:tr>
        <w:tc>
          <w:tcPr>
            <w:tcW w:type="dxa" w:w="26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credits_purchased</w:t>
            </w:r>
          </w:p>
        </w:tc>
        <w:tc>
          <w:tcPr>
            <w:tcW w:type="dxa" w:w="17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INTEGER</w:t>
            </w:r>
          </w:p>
        </w:tc>
        <w:tc>
          <w:tcPr>
            <w:tcW w:type="dxa" w:w="506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Cumulative additional credits bought</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period_start</w:t>
            </w:r>
          </w:p>
        </w:tc>
        <w:tc>
          <w:tcPr>
            <w:tcW w:type="dxa" w:w="17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TIMESTAMP</w:t>
            </w:r>
          </w:p>
        </w:tc>
        <w:tc>
          <w:tcPr>
            <w:tcW w:type="dxa" w:w="50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Subscription year start</w:t>
            </w:r>
          </w:p>
        </w:tc>
      </w:tr>
      <w:tr>
        <w:tc>
          <w:tcPr>
            <w:tcW w:type="dxa" w:w="26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period_end</w:t>
            </w:r>
          </w:p>
        </w:tc>
        <w:tc>
          <w:tcPr>
            <w:tcW w:type="dxa" w:w="17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TIMESTAMP</w:t>
            </w:r>
          </w:p>
        </w:tc>
        <w:tc>
          <w:tcPr>
            <w:tcW w:type="dxa" w:w="506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Subscription year end — credits expire here</w:t>
            </w:r>
          </w:p>
        </w:tc>
      </w:tr>
    </w:tbl>
    <w:p>
      <w:pPr>
        <w:spacing w:after="0" w:before="120"/>
      </w:pPr>
    </w:p>
    <w:p>
      <w:pPr>
        <w:pStyle w:val="Heading3"/>
        <w:spacing w:after="120" w:before="240"/>
      </w:pPr>
      <w:r>
        <w:rPr>
          <w:rFonts w:ascii="Arial" w:cs="Arial" w:eastAsia="Arial" w:hAnsi="Arial"/>
          <w:b/>
          <w:bCs/>
          <w:color w:val="1A56DB"/>
          <w:sz w:val="24"/>
          <w:szCs w:val="24"/>
        </w:rPr>
        <w:t xml:space="preserve">notification_log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5060"/>
      </w:tblGrid>
      <w:tr>
        <w:trPr>
          <w:tblHeader/>
        </w:trPr>
        <w:tc>
          <w:tcPr>
            <w:tcW w:type="dxa" w:w="2600"/>
            <w:tcBorders>
              <w:top w:val="single" w:color="DDDDDD" w:sz="1"/>
              <w:left w:val="single" w:color="DDDDDD" w:sz="1"/>
              <w:bottom w:val="single" w:color="DDDDDD" w:sz="1"/>
              <w:right w:val="single" w:color="DDDDDD" w:sz="1"/>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1700"/>
            <w:tcBorders>
              <w:top w:val="single" w:color="DDDDDD" w:sz="1"/>
              <w:left w:val="single" w:color="DDDDDD" w:sz="1"/>
              <w:bottom w:val="single" w:color="DDDDDD" w:sz="1"/>
              <w:right w:val="single" w:color="DDDDDD" w:sz="1"/>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5060"/>
            <w:tcBorders>
              <w:top w:val="single" w:color="DDDDDD" w:sz="1"/>
              <w:left w:val="single" w:color="DDDDDD" w:sz="1"/>
              <w:bottom w:val="single" w:color="DDDDDD" w:sz="1"/>
              <w:right w:val="single" w:color="DDDDDD" w:sz="1"/>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id</w:t>
            </w:r>
          </w:p>
        </w:tc>
        <w:tc>
          <w:tcPr>
            <w:tcW w:type="dxa" w:w="17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UUID PK</w:t>
            </w:r>
          </w:p>
        </w:tc>
        <w:tc>
          <w:tcPr>
            <w:tcW w:type="dxa" w:w="50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
            </w:r>
          </w:p>
        </w:tc>
      </w:tr>
      <w:tr>
        <w:tc>
          <w:tcPr>
            <w:tcW w:type="dxa" w:w="26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booking_id</w:t>
            </w:r>
          </w:p>
        </w:tc>
        <w:tc>
          <w:tcPr>
            <w:tcW w:type="dxa" w:w="17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UUID FK</w:t>
            </w:r>
          </w:p>
        </w:tc>
        <w:tc>
          <w:tcPr>
            <w:tcW w:type="dxa" w:w="506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vendor_id</w:t>
            </w:r>
          </w:p>
        </w:tc>
        <w:tc>
          <w:tcPr>
            <w:tcW w:type="dxa" w:w="17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UUID FK</w:t>
            </w:r>
          </w:p>
        </w:tc>
        <w:tc>
          <w:tcPr>
            <w:tcW w:type="dxa" w:w="50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
            </w:r>
          </w:p>
        </w:tc>
      </w:tr>
      <w:tr>
        <w:tc>
          <w:tcPr>
            <w:tcW w:type="dxa" w:w="26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channel</w:t>
            </w:r>
          </w:p>
        </w:tc>
        <w:tc>
          <w:tcPr>
            <w:tcW w:type="dxa" w:w="17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ENUM</w:t>
            </w:r>
          </w:p>
        </w:tc>
        <w:tc>
          <w:tcPr>
            <w:tcW w:type="dxa" w:w="506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email / whatsapp</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message_type</w:t>
            </w:r>
          </w:p>
        </w:tc>
        <w:tc>
          <w:tcPr>
            <w:tcW w:type="dxa" w:w="17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ENUM</w:t>
            </w:r>
          </w:p>
        </w:tc>
        <w:tc>
          <w:tcPr>
            <w:tcW w:type="dxa" w:w="50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confirmation / cancellation / reminder / followup / otp</w:t>
            </w:r>
          </w:p>
        </w:tc>
      </w:tr>
      <w:tr>
        <w:tc>
          <w:tcPr>
            <w:tcW w:type="dxa" w:w="26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wa_category</w:t>
            </w:r>
          </w:p>
        </w:tc>
        <w:tc>
          <w:tcPr>
            <w:tcW w:type="dxa" w:w="17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ENUM NULL</w:t>
            </w:r>
          </w:p>
        </w:tc>
        <w:tc>
          <w:tcPr>
            <w:tcW w:type="dxa" w:w="506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service / utility / marketing / null (if email)</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wa_free_window</w:t>
            </w:r>
          </w:p>
        </w:tc>
        <w:tc>
          <w:tcPr>
            <w:tcW w:type="dxa" w:w="17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BOOLEAN</w:t>
            </w:r>
          </w:p>
        </w:tc>
        <w:tc>
          <w:tcPr>
            <w:tcW w:type="dxa" w:w="50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true if sent within a client-initiated free window</w:t>
            </w:r>
          </w:p>
        </w:tc>
      </w:tr>
      <w:tr>
        <w:tc>
          <w:tcPr>
            <w:tcW w:type="dxa" w:w="26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cost_incurred</w:t>
            </w:r>
          </w:p>
        </w:tc>
        <w:tc>
          <w:tcPr>
            <w:tcW w:type="dxa" w:w="17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DECIMAL(6,4)</w:t>
            </w:r>
          </w:p>
        </w:tc>
        <w:tc>
          <w:tcPr>
            <w:tcW w:type="dxa" w:w="506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0.0000 for free window / email, 0.1400 for utility, etc.</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sent_at</w:t>
            </w:r>
          </w:p>
        </w:tc>
        <w:tc>
          <w:tcPr>
            <w:tcW w:type="dxa" w:w="17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TIMESTAMP</w:t>
            </w:r>
          </w:p>
        </w:tc>
        <w:tc>
          <w:tcPr>
            <w:tcW w:type="dxa" w:w="50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
            </w:r>
          </w:p>
        </w:tc>
      </w:tr>
    </w:tbl>
    <w:p>
      <w:pPr>
        <w:spacing w:after="0" w:before="200"/>
      </w:pPr>
    </w:p>
    <w:p>
      <w:r>
        <w:br/>
      </w:r>
    </w:p>
    <w:p>
      <w:pPr>
        <w:pStyle w:val="Heading1"/>
        <w:spacing w:after="200" w:before="400"/>
      </w:pPr>
      <w:r>
        <w:rPr>
          <w:rFonts w:ascii="Arial" w:cs="Arial" w:eastAsia="Arial" w:hAnsi="Arial"/>
          <w:b/>
          <w:bCs/>
          <w:color w:val="1A1A1A"/>
          <w:sz w:val="36"/>
          <w:szCs w:val="36"/>
        </w:rPr>
        <w:t xml:space="preserve">Section 9 — Limit Enforcement Rules</w:t>
      </w:r>
    </w:p>
    <w:p>
      <w:pPr>
        <w:spacing w:after="160" w:before="0"/>
        <w:jc w:val="left"/>
      </w:pPr>
      <w:r>
        <w:rPr>
          <w:rFonts w:ascii="Arial" w:cs="Arial" w:eastAsia="Arial" w:hAnsi="Arial"/>
          <w:b w:val="false"/>
          <w:bCs w:val="false"/>
          <w:i w:val="false"/>
          <w:iCs w:val="false"/>
          <w:color w:val="2D2D2D"/>
          <w:sz w:val="22"/>
          <w:szCs w:val="22"/>
        </w:rPr>
        <w:t xml:space="preserve">The system must block access automatically when a vendor reaches a plan limit. Every enforcement action must show the vendor exactly what they hit and exactly how to resolve it.</w:t>
      </w:r>
    </w:p>
    <w:p>
      <w:pPr>
        <w:spacing w:after="0" w:before="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800"/>
        <w:gridCol w:w="2760"/>
      </w:tblGrid>
      <w:tr>
        <w:trPr>
          <w:tblHeader/>
        </w:trPr>
        <w:tc>
          <w:tcPr>
            <w:tcW w:type="dxa" w:w="1800"/>
            <w:tcBorders>
              <w:top w:val="single" w:color="DDDDDD" w:sz="1"/>
              <w:left w:val="single" w:color="DDDDDD" w:sz="1"/>
              <w:bottom w:val="single" w:color="DDDDDD" w:sz="1"/>
              <w:right w:val="single" w:color="DDDDDD" w:sz="1"/>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Limit type</w:t>
            </w:r>
          </w:p>
        </w:tc>
        <w:tc>
          <w:tcPr>
            <w:tcW w:type="dxa" w:w="2000"/>
            <w:tcBorders>
              <w:top w:val="single" w:color="DDDDDD" w:sz="1"/>
              <w:left w:val="single" w:color="DDDDDD" w:sz="1"/>
              <w:bottom w:val="single" w:color="DDDDDD" w:sz="1"/>
              <w:right w:val="single" w:color="DDDDDD" w:sz="1"/>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What triggers it</w:t>
            </w:r>
          </w:p>
        </w:tc>
        <w:tc>
          <w:tcPr>
            <w:tcW w:type="dxa" w:w="2800"/>
            <w:tcBorders>
              <w:top w:val="single" w:color="DDDDDD" w:sz="1"/>
              <w:left w:val="single" w:color="DDDDDD" w:sz="1"/>
              <w:bottom w:val="single" w:color="DDDDDD" w:sz="1"/>
              <w:right w:val="single" w:color="DDDDDD" w:sz="1"/>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What the vendor sees</w:t>
            </w:r>
          </w:p>
        </w:tc>
        <w:tc>
          <w:tcPr>
            <w:tcW w:type="dxa" w:w="2760"/>
            <w:tcBorders>
              <w:top w:val="single" w:color="DDDDDD" w:sz="1"/>
              <w:left w:val="single" w:color="DDDDDD" w:sz="1"/>
              <w:bottom w:val="single" w:color="DDDDDD" w:sz="1"/>
              <w:right w:val="single" w:color="DDDDDD" w:sz="1"/>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Resolution</w:t>
            </w:r>
          </w:p>
        </w:tc>
      </w:tr>
      <w:tr>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Service creation limit</w:t>
            </w:r>
          </w:p>
        </w:tc>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Vendor tries to create service N+1 beyond plan limit</w:t>
            </w:r>
          </w:p>
        </w:tc>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"You've reached your 10-service limit on Starter. Upgrade to Creator for up to 20 services."</w:t>
            </w:r>
          </w:p>
        </w:tc>
        <w:tc>
          <w:tcPr>
            <w:tcW w:type="dxa" w:w="27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Upgrade or archive an existing service</w:t>
            </w:r>
          </w:p>
        </w:tc>
      </w:tr>
      <w:tr>
        <w:tc>
          <w:tcPr>
            <w:tcW w:type="dxa" w:w="18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Booking limit</w:t>
            </w:r>
          </w:p>
        </w:tc>
        <w:tc>
          <w:tcPr>
            <w:tcW w:type="dxa" w:w="20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Booking count hits plan annual cap</w:t>
            </w:r>
          </w:p>
        </w:tc>
        <w:tc>
          <w:tcPr>
            <w:tcW w:type="dxa" w:w="28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"Your plan has reached 1,000 bookings this year. New bookings are paused until your plan renews or you upgrade."</w:t>
            </w:r>
          </w:p>
        </w:tc>
        <w:tc>
          <w:tcPr>
            <w:tcW w:type="dxa" w:w="276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Upgrade plan</w:t>
            </w:r>
          </w:p>
        </w:tc>
      </w:tr>
      <w:tr>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Digital product limit</w:t>
            </w:r>
          </w:p>
        </w:tc>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Vendor tries to create product beyond limit</w:t>
            </w:r>
          </w:p>
        </w:tc>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"You've used all 3 digital product slots. Upgrade to Creator for 10 slots."</w:t>
            </w:r>
          </w:p>
        </w:tc>
        <w:tc>
          <w:tcPr>
            <w:tcW w:type="dxa" w:w="27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Upgrade or remove a product</w:t>
            </w:r>
          </w:p>
        </w:tc>
      </w:tr>
      <w:tr>
        <w:tc>
          <w:tcPr>
            <w:tcW w:type="dxa" w:w="18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Reminder flow limit</w:t>
            </w:r>
          </w:p>
        </w:tc>
        <w:tc>
          <w:tcPr>
            <w:tcW w:type="dxa" w:w="20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Vendor tries to create flow N+1</w:t>
            </w:r>
          </w:p>
        </w:tc>
        <w:tc>
          <w:tcPr>
            <w:tcW w:type="dxa" w:w="28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"Creator plan includes 1 reminder flow. Upgrade to Professional for 2 flows."</w:t>
            </w:r>
          </w:p>
        </w:tc>
        <w:tc>
          <w:tcPr>
            <w:tcW w:type="dxa" w:w="276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Upgrade</w:t>
            </w:r>
          </w:p>
        </w:tc>
      </w:tr>
      <w:tr>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Follow-up flow limit</w:t>
            </w:r>
          </w:p>
        </w:tc>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Vendor tries to add WhatsApp follow-up on Creator</w:t>
            </w:r>
          </w:p>
        </w:tc>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"WhatsApp follow-ups are available on Professional plan."</w:t>
            </w:r>
          </w:p>
        </w:tc>
        <w:tc>
          <w:tcPr>
            <w:tcW w:type="dxa" w:w="27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Upgrade</w:t>
            </w:r>
          </w:p>
        </w:tc>
      </w:tr>
      <w:tr>
        <w:tc>
          <w:tcPr>
            <w:tcW w:type="dxa" w:w="18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WA credit exhaustion</w:t>
            </w:r>
          </w:p>
        </w:tc>
        <w:tc>
          <w:tcPr>
            <w:tcW w:type="dxa" w:w="20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credits_used reaches credits_included + credits_purchased</w:t>
            </w:r>
          </w:p>
        </w:tc>
        <w:tc>
          <w:tcPr>
            <w:tcW w:type="dxa" w:w="28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"Your WhatsApp marketing credits are used up. Purchase additional credits to resume follow-up sending."</w:t>
            </w:r>
          </w:p>
        </w:tc>
        <w:tc>
          <w:tcPr>
            <w:tcW w:type="dxa" w:w="276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Buy credits at ₹1.50 each</w:t>
            </w:r>
          </w:p>
        </w:tc>
      </w:tr>
    </w:tbl>
    <w:p>
      <w:pPr>
        <w:spacing w:after="0" w:before="200"/>
      </w:pPr>
    </w:p>
    <w:p>
      <w:r>
        <w:br/>
      </w:r>
    </w:p>
    <w:p>
      <w:pPr>
        <w:pStyle w:val="Heading1"/>
        <w:spacing w:after="200" w:before="400"/>
      </w:pPr>
      <w:r>
        <w:rPr>
          <w:rFonts w:ascii="Arial" w:cs="Arial" w:eastAsia="Arial" w:hAnsi="Arial"/>
          <w:b/>
          <w:bCs/>
          <w:color w:val="1A1A1A"/>
          <w:sz w:val="36"/>
          <w:szCs w:val="36"/>
        </w:rPr>
        <w:t xml:space="preserve">Section 10 — Admin Controls</w:t>
      </w:r>
    </w:p>
    <w:p>
      <w:pPr>
        <w:spacing w:after="160" w:before="0"/>
        <w:jc w:val="left"/>
      </w:pPr>
      <w:r>
        <w:rPr>
          <w:rFonts w:ascii="Arial" w:cs="Arial" w:eastAsia="Arial" w:hAnsi="Arial"/>
          <w:b w:val="false"/>
          <w:bCs w:val="false"/>
          <w:i w:val="false"/>
          <w:iCs w:val="false"/>
          <w:color w:val="2D2D2D"/>
          <w:sz w:val="22"/>
          <w:szCs w:val="22"/>
        </w:rPr>
        <w:t xml:space="preserve">Super Admins must be able to perform all plan management through the dashboard without touching code or the database directly.</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rPr>
          <w:tblHeader/>
        </w:trPr>
        <w:tc>
          <w:tcPr>
            <w:tcW w:type="dxa" w:w="2600"/>
            <w:tcBorders>
              <w:top w:val="single" w:color="DDDDDD" w:sz="1"/>
              <w:left w:val="single" w:color="DDDDDD" w:sz="1"/>
              <w:bottom w:val="single" w:color="DDDDDD" w:sz="1"/>
              <w:right w:val="single" w:color="DDDDDD" w:sz="1"/>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Admin action</w:t>
            </w:r>
          </w:p>
        </w:tc>
        <w:tc>
          <w:tcPr>
            <w:tcW w:type="dxa" w:w="2000"/>
            <w:tcBorders>
              <w:top w:val="single" w:color="DDDDDD" w:sz="1"/>
              <w:left w:val="single" w:color="DDDDDD" w:sz="1"/>
              <w:bottom w:val="single" w:color="DDDDDD" w:sz="1"/>
              <w:right w:val="single" w:color="DDDDDD" w:sz="1"/>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Where</w:t>
            </w:r>
          </w:p>
        </w:tc>
        <w:tc>
          <w:tcPr>
            <w:tcW w:type="dxa" w:w="4760"/>
            <w:tcBorders>
              <w:top w:val="single" w:color="DDDDDD" w:sz="1"/>
              <w:left w:val="single" w:color="DDDDDD" w:sz="1"/>
              <w:bottom w:val="single" w:color="DDDDDD" w:sz="1"/>
              <w:right w:val="single" w:color="DDDDDD" w:sz="1"/>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Create new plan</w:t>
            </w:r>
          </w:p>
        </w:tc>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Plans dashboard</w:t>
            </w:r>
          </w:p>
        </w:tc>
        <w:tc>
          <w:tcPr>
            <w:tcW w:type="dxa" w:w="47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All limits configurable at creation time</w:t>
            </w:r>
          </w:p>
        </w:tc>
      </w:tr>
      <w:tr>
        <w:tc>
          <w:tcPr>
            <w:tcW w:type="dxa" w:w="26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Edit plan limits</w:t>
            </w:r>
          </w:p>
        </w:tc>
        <w:tc>
          <w:tcPr>
            <w:tcW w:type="dxa" w:w="20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Plan detail page</w:t>
            </w:r>
          </w:p>
        </w:tc>
        <w:tc>
          <w:tcPr>
            <w:tcW w:type="dxa" w:w="476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Changes apply to new subscribers only, not existing</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Archive plan</w:t>
            </w:r>
          </w:p>
        </w:tc>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Plan detail page</w:t>
            </w:r>
          </w:p>
        </w:tc>
        <w:tc>
          <w:tcPr>
            <w:tcW w:type="dxa" w:w="47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Sets active = false, existing subscribers unaffected</w:t>
            </w:r>
          </w:p>
        </w:tc>
      </w:tr>
      <w:tr>
        <w:tc>
          <w:tcPr>
            <w:tcW w:type="dxa" w:w="26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Change pricing</w:t>
            </w:r>
          </w:p>
        </w:tc>
        <w:tc>
          <w:tcPr>
            <w:tcW w:type="dxa" w:w="20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Plan detail page</w:t>
            </w:r>
          </w:p>
        </w:tc>
        <w:tc>
          <w:tcPr>
            <w:tcW w:type="dxa" w:w="476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New price applies from next renewal for existing subscribers</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Change commission %</w:t>
            </w:r>
          </w:p>
        </w:tc>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Plan detail page</w:t>
            </w:r>
          </w:p>
        </w:tc>
        <w:tc>
          <w:tcPr>
            <w:tcW w:type="dxa" w:w="47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Applies to new completed bookings immediately</w:t>
            </w:r>
          </w:p>
        </w:tc>
      </w:tr>
      <w:tr>
        <w:tc>
          <w:tcPr>
            <w:tcW w:type="dxa" w:w="26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Assign plan to vendor</w:t>
            </w:r>
          </w:p>
        </w:tc>
        <w:tc>
          <w:tcPr>
            <w:tcW w:type="dxa" w:w="20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Vendor profile</w:t>
            </w:r>
          </w:p>
        </w:tc>
        <w:tc>
          <w:tcPr>
            <w:tcW w:type="dxa" w:w="476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Manual override — creates subscription record</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Upgrade vendor</w:t>
            </w:r>
          </w:p>
        </w:tc>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Vendor profile</w:t>
            </w:r>
          </w:p>
        </w:tc>
        <w:tc>
          <w:tcPr>
            <w:tcW w:type="dxa" w:w="47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Admin can upgrade without payment (comp plans, support resolution)</w:t>
            </w:r>
          </w:p>
        </w:tc>
      </w:tr>
      <w:tr>
        <w:tc>
          <w:tcPr>
            <w:tcW w:type="dxa" w:w="26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Downgrade vendor</w:t>
            </w:r>
          </w:p>
        </w:tc>
        <w:tc>
          <w:tcPr>
            <w:tcW w:type="dxa" w:w="20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Vendor profile</w:t>
            </w:r>
          </w:p>
        </w:tc>
        <w:tc>
          <w:tcPr>
            <w:tcW w:type="dxa" w:w="476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Applied immediately with limit_exceeded handling if applicable</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View active subscribers</w:t>
            </w:r>
          </w:p>
        </w:tc>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Subscribers report</w:t>
            </w:r>
          </w:p>
        </w:tc>
        <w:tc>
          <w:tcPr>
            <w:tcW w:type="dxa" w:w="47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Filter by plan, date range, status</w:t>
            </w:r>
          </w:p>
        </w:tc>
      </w:tr>
      <w:tr>
        <w:tc>
          <w:tcPr>
            <w:tcW w:type="dxa" w:w="26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View subscription revenue</w:t>
            </w:r>
          </w:p>
        </w:tc>
        <w:tc>
          <w:tcPr>
            <w:tcW w:type="dxa" w:w="20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Revenue report</w:t>
            </w:r>
          </w:p>
        </w:tc>
        <w:tc>
          <w:tcPr>
            <w:tcW w:type="dxa" w:w="476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Breakdown by plan, MRR equivalent, churn</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Refund subscription</w:t>
            </w:r>
          </w:p>
        </w:tc>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Vendor profile</w:t>
            </w:r>
          </w:p>
        </w:tc>
        <w:tc>
          <w:tcPr>
            <w:tcW w:type="dxa" w:w="47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Manual Razorpay refund trigger — exceptional cases only, requires reason</w:t>
            </w:r>
          </w:p>
        </w:tc>
      </w:tr>
      <w:tr>
        <w:tc>
          <w:tcPr>
            <w:tcW w:type="dxa" w:w="26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View WA credit usage</w:t>
            </w:r>
          </w:p>
        </w:tc>
        <w:tc>
          <w:tcPr>
            <w:tcW w:type="dxa" w:w="20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Vendor profile</w:t>
            </w:r>
          </w:p>
        </w:tc>
        <w:tc>
          <w:tcPr>
            <w:tcW w:type="dxa" w:w="476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Credits included, used, purchased, remaining</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Add WA credits manually</w:t>
            </w:r>
          </w:p>
        </w:tc>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Vendor profile</w:t>
            </w:r>
          </w:p>
        </w:tc>
        <w:tc>
          <w:tcPr>
            <w:tcW w:type="dxa" w:w="47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Comp credits for support resolution</w:t>
            </w:r>
          </w:p>
        </w:tc>
      </w:tr>
    </w:tbl>
    <w:p>
      <w:pPr>
        <w:spacing w:after="0" w:before="200"/>
      </w:pPr>
    </w:p>
    <w:p>
      <w:r>
        <w:br/>
      </w:r>
    </w:p>
    <w:p>
      <w:pPr>
        <w:pStyle w:val="Heading1"/>
        <w:spacing w:after="200" w:before="400"/>
      </w:pPr>
      <w:r>
        <w:rPr>
          <w:rFonts w:ascii="Arial" w:cs="Arial" w:eastAsia="Arial" w:hAnsi="Arial"/>
          <w:b/>
          <w:bCs/>
          <w:color w:val="1A1A1A"/>
          <w:sz w:val="36"/>
          <w:szCs w:val="36"/>
        </w:rPr>
        <w:t xml:space="preserve">Section 11 — Future Compatibility</w:t>
      </w:r>
    </w:p>
    <w:p>
      <w:pPr>
        <w:spacing w:after="160" w:before="0"/>
        <w:jc w:val="left"/>
      </w:pPr>
      <w:r>
        <w:rPr>
          <w:rFonts w:ascii="Arial" w:cs="Arial" w:eastAsia="Arial" w:hAnsi="Arial"/>
          <w:b w:val="false"/>
          <w:bCs w:val="false"/>
          <w:i w:val="false"/>
          <w:iCs w:val="false"/>
          <w:color w:val="2D2D2D"/>
          <w:sz w:val="22"/>
          <w:szCs w:val="22"/>
        </w:rPr>
        <w:t xml:space="preserve">The schema and architecture are designed to support the following additions without requiring a database redesign. None of these are in scope for v1 but the system must not preclude them.</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DDDDD" w:sz="1"/>
              <w:left w:val="single" w:color="DDDDDD" w:sz="1"/>
              <w:bottom w:val="single" w:color="DDDDDD" w:sz="1"/>
              <w:right w:val="single" w:color="DDDDDD" w:sz="1"/>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Future feature</w:t>
            </w:r>
          </w:p>
        </w:tc>
        <w:tc>
          <w:tcPr>
            <w:tcW w:type="dxa" w:w="6560"/>
            <w:tcBorders>
              <w:top w:val="single" w:color="DDDDDD" w:sz="1"/>
              <w:left w:val="single" w:color="DDDDDD" w:sz="1"/>
              <w:bottom w:val="single" w:color="DDDDDD" w:sz="1"/>
              <w:right w:val="single" w:color="DDDDDD" w:sz="1"/>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How current schema supports it</w:t>
            </w:r>
          </w:p>
        </w:tc>
      </w:tr>
      <w:tr>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Monthly billing</w:t>
            </w:r>
          </w:p>
        </w:tc>
        <w:tc>
          <w:tcPr>
            <w:tcW w:type="dxa" w:w="6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subscription_plans has annual_price — add monthly_price column. vendor_subscriptions billing_cycle field.</w:t>
            </w:r>
          </w:p>
        </w:tc>
      </w:tr>
      <w:tr>
        <w:tc>
          <w:tcPr>
            <w:tcW w:type="dxa" w:w="28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Coupons / promo codes</w:t>
            </w:r>
          </w:p>
        </w:tc>
        <w:tc>
          <w:tcPr>
            <w:tcW w:type="dxa" w:w="656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New coupons table linked to plan_id with discount_type (flat/percent) and expiry.</w:t>
            </w:r>
          </w:p>
        </w:tc>
      </w:tr>
      <w:tr>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Lifetime plans</w:t>
            </w:r>
          </w:p>
        </w:tc>
        <w:tc>
          <w:tcPr>
            <w:tcW w:type="dxa" w:w="6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expires_at = NULL in vendor_subscriptions. Status logic already handles null expiry.</w:t>
            </w:r>
          </w:p>
        </w:tc>
      </w:tr>
      <w:tr>
        <w:tc>
          <w:tcPr>
            <w:tcW w:type="dxa" w:w="28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Add-on purchases (extra WA credits)</w:t>
            </w:r>
          </w:p>
        </w:tc>
        <w:tc>
          <w:tcPr>
            <w:tcW w:type="dxa" w:w="656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whatsapp_credits table already has credits_purchased field.</w:t>
            </w:r>
          </w:p>
        </w:tc>
      </w:tr>
      <w:tr>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Enterprise plans</w:t>
            </w:r>
          </w:p>
        </w:tc>
        <w:tc>
          <w:tcPr>
            <w:tcW w:type="dxa" w:w="6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New plan row in subscription_plans. No code change required.</w:t>
            </w:r>
          </w:p>
        </w:tc>
      </w:tr>
      <w:tr>
        <w:tc>
          <w:tcPr>
            <w:tcW w:type="dxa" w:w="28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Additional calendar integrations</w:t>
            </w:r>
          </w:p>
        </w:tc>
        <w:tc>
          <w:tcPr>
            <w:tcW w:type="dxa" w:w="656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calendar_integrations_limit is a number — just increase it per plan.</w:t>
            </w:r>
          </w:p>
        </w:tc>
      </w:tr>
      <w:tr>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Additional notification channels (SMS)</w:t>
            </w:r>
          </w:p>
        </w:tc>
        <w:tc>
          <w:tcPr>
            <w:tcW w:type="dxa" w:w="6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notification_log channel ENUM — add sms. notification cost tracked there.</w:t>
            </w:r>
          </w:p>
        </w:tc>
      </w:tr>
      <w:tr>
        <w:tc>
          <w:tcPr>
            <w:tcW w:type="dxa" w:w="28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Promotional plans (limited time)</w:t>
            </w:r>
          </w:p>
        </w:tc>
        <w:tc>
          <w:tcPr>
            <w:tcW w:type="dxa" w:w="656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subscription_plans add valid_from / valid_until fields.</w:t>
            </w:r>
          </w:p>
        </w:tc>
      </w:tr>
    </w:tbl>
    <w:p>
      <w:pPr>
        <w:spacing w:after="0" w:before="200"/>
      </w:pPr>
    </w:p>
    <w:p>
      <w:r>
        <w:br/>
      </w:r>
    </w:p>
    <w:p>
      <w:pPr>
        <w:pStyle w:val="Heading1"/>
        <w:spacing w:after="200" w:before="400"/>
      </w:pPr>
      <w:r>
        <w:rPr>
          <w:rFonts w:ascii="Arial" w:cs="Arial" w:eastAsia="Arial" w:hAnsi="Arial"/>
          <w:b/>
          <w:bCs/>
          <w:color w:val="1A1A1A"/>
          <w:sz w:val="36"/>
          <w:szCs w:val="36"/>
        </w:rPr>
        <w:t xml:space="preserve">Section 12 — Open Questions Before Engineering Kickoff</w:t>
      </w:r>
    </w:p>
    <w:p>
      <w:pPr>
        <w:spacing w:after="160" w:before="0"/>
        <w:jc w:val="left"/>
      </w:pPr>
      <w:r>
        <w:rPr>
          <w:rFonts w:ascii="Arial" w:cs="Arial" w:eastAsia="Arial" w:hAnsi="Arial"/>
          <w:b w:val="false"/>
          <w:bCs w:val="false"/>
          <w:i w:val="false"/>
          <w:iCs w:val="false"/>
          <w:color w:val="2D2D2D"/>
          <w:sz w:val="22"/>
          <w:szCs w:val="22"/>
        </w:rPr>
        <w:t xml:space="preserve">These must be answered before the first line of billing code is written.</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800"/>
        <w:gridCol w:w="1600"/>
        <w:gridCol w:w="3560"/>
      </w:tblGrid>
      <w:tr>
        <w:trPr>
          <w:tblHeader/>
        </w:trPr>
        <w:tc>
          <w:tcPr>
            <w:tcW w:type="dxa" w:w="400"/>
            <w:tcBorders>
              <w:top w:val="single" w:color="DDDDDD" w:sz="1"/>
              <w:left w:val="single" w:color="DDDDDD" w:sz="1"/>
              <w:bottom w:val="single" w:color="DDDDDD" w:sz="1"/>
              <w:right w:val="single" w:color="DDDDDD" w:sz="1"/>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3800"/>
            <w:tcBorders>
              <w:top w:val="single" w:color="DDDDDD" w:sz="1"/>
              <w:left w:val="single" w:color="DDDDDD" w:sz="1"/>
              <w:bottom w:val="single" w:color="DDDDDD" w:sz="1"/>
              <w:right w:val="single" w:color="DDDDDD" w:sz="1"/>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Question</w:t>
            </w:r>
          </w:p>
        </w:tc>
        <w:tc>
          <w:tcPr>
            <w:tcW w:type="dxa" w:w="1600"/>
            <w:tcBorders>
              <w:top w:val="single" w:color="DDDDDD" w:sz="1"/>
              <w:left w:val="single" w:color="DDDDDD" w:sz="1"/>
              <w:bottom w:val="single" w:color="DDDDDD" w:sz="1"/>
              <w:right w:val="single" w:color="DDDDDD" w:sz="1"/>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Owner</w:t>
            </w:r>
          </w:p>
        </w:tc>
        <w:tc>
          <w:tcPr>
            <w:tcW w:type="dxa" w:w="3560"/>
            <w:tcBorders>
              <w:top w:val="single" w:color="DDDDDD" w:sz="1"/>
              <w:left w:val="single" w:color="DDDDDD" w:sz="1"/>
              <w:bottom w:val="single" w:color="DDDDDD" w:sz="1"/>
              <w:right w:val="single" w:color="DDDDDD" w:sz="1"/>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Impact</w:t>
            </w:r>
          </w:p>
        </w:tc>
      </w:tr>
      <w:tr>
        <w:tc>
          <w:tcPr>
            <w:tcW w:type="dxa" w:w="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1</w:t>
            </w:r>
          </w:p>
        </w:tc>
        <w:tc>
          <w:tcPr>
            <w:tcW w:type="dxa" w:w="3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Which Razorpay product handles Route (split payments between vendor and platform)? Is the Route feature active on the current Razorpay account?</w:t>
            </w:r>
          </w:p>
        </w:tc>
        <w:tc>
          <w:tcPr>
            <w:tcW w:type="dxa" w:w="1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Engineering</w:t>
            </w:r>
          </w:p>
        </w:tc>
        <w:tc>
          <w:tcPr>
            <w:tcW w:type="dxa" w:w="3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Entire settlement flow</w:t>
            </w:r>
          </w:p>
        </w:tc>
      </w:tr>
      <w:tr>
        <w:tc>
          <w:tcPr>
            <w:tcW w:type="dxa" w:w="4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2</w:t>
            </w:r>
          </w:p>
        </w:tc>
        <w:tc>
          <w:tcPr>
            <w:tcW w:type="dxa" w:w="38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Is GST applicable on the ₹11.80 platform convenience fee? If yes, does it display as ₹11.80 + GST or is GST included?</w:t>
            </w:r>
          </w:p>
        </w:tc>
        <w:tc>
          <w:tcPr>
            <w:tcW w:type="dxa" w:w="16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Finance / Legal</w:t>
            </w:r>
          </w:p>
        </w:tc>
        <w:tc>
          <w:tcPr>
            <w:tcW w:type="dxa" w:w="356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Checkout display and pricing</w:t>
            </w:r>
          </w:p>
        </w:tc>
      </w:tr>
      <w:tr>
        <w:tc>
          <w:tcPr>
            <w:tcW w:type="dxa" w:w="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3</w:t>
            </w:r>
          </w:p>
        </w:tc>
        <w:tc>
          <w:tcPr>
            <w:tcW w:type="dxa" w:w="3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Which WhatsApp BSP (Business Solution Provider) are we using? BSP choice affects per-message markup and the dashboard for managing templates.</w:t>
            </w:r>
          </w:p>
        </w:tc>
        <w:tc>
          <w:tcPr>
            <w:tcW w:type="dxa" w:w="1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Engineering</w:t>
            </w:r>
          </w:p>
        </w:tc>
        <w:tc>
          <w:tcPr>
            <w:tcW w:type="dxa" w:w="3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WhatsApp integration cost and timeline</w:t>
            </w:r>
          </w:p>
        </w:tc>
      </w:tr>
      <w:tr>
        <w:tc>
          <w:tcPr>
            <w:tcW w:type="dxa" w:w="4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4</w:t>
            </w:r>
          </w:p>
        </w:tc>
        <w:tc>
          <w:tcPr>
            <w:tcW w:type="dxa" w:w="38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Are vendor payouts on Starter done per booking or batched daily/weekly? Batching reduces Razorpay Route transaction fees significantly.</w:t>
            </w:r>
          </w:p>
        </w:tc>
        <w:tc>
          <w:tcPr>
            <w:tcW w:type="dxa" w:w="16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Product</w:t>
            </w:r>
          </w:p>
        </w:tc>
        <w:tc>
          <w:tcPr>
            <w:tcW w:type="dxa" w:w="356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Settlement cost and vendor experience</w:t>
            </w:r>
          </w:p>
        </w:tc>
      </w:tr>
      <w:tr>
        <w:tc>
          <w:tcPr>
            <w:tcW w:type="dxa" w:w="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5</w:t>
            </w:r>
          </w:p>
        </w:tc>
        <w:tc>
          <w:tcPr>
            <w:tcW w:type="dxa" w:w="3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What is the vendor's no-show policy — does the platform enforce a default or does each vendor set their own? This affects how cancelled bookings are classified for commission.</w:t>
            </w:r>
          </w:p>
        </w:tc>
        <w:tc>
          <w:tcPr>
            <w:tcW w:type="dxa" w:w="1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Product</w:t>
            </w:r>
          </w:p>
        </w:tc>
        <w:tc>
          <w:tcPr>
            <w:tcW w:type="dxa" w:w="3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Commission revenue accuracy</w:t>
            </w:r>
          </w:p>
        </w:tc>
      </w:tr>
      <w:tr>
        <w:tc>
          <w:tcPr>
            <w:tcW w:type="dxa" w:w="4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6</w:t>
            </w:r>
          </w:p>
        </w:tc>
        <w:tc>
          <w:tcPr>
            <w:tcW w:type="dxa" w:w="38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Do we issue GST invoices to vendors for their subscription payments? If yes, we need vendor GSTIN collection at signup.</w:t>
            </w:r>
          </w:p>
        </w:tc>
        <w:tc>
          <w:tcPr>
            <w:tcW w:type="dxa" w:w="16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Finance / Legal</w:t>
            </w:r>
          </w:p>
        </w:tc>
        <w:tc>
          <w:tcPr>
            <w:tcW w:type="dxa" w:w="356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Arial" w:cs="Arial" w:eastAsia="Arial" w:hAnsi="Arial"/>
                <w:b w:val="function bold() { [native code] }"/>
                <w:bCs w:val="function bold() { [native code] }"/>
                <w:color w:val="2D2D2D"/>
                <w:sz w:val="19"/>
                <w:szCs w:val="19"/>
              </w:rPr>
              <w:t xml:space="preserve">Invoicing system complexity</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pBdr>
      <w:tabs>
        <w:tab w:val="right" w:pos="9026"/>
      </w:tabs>
      <w:spacing w:after="0" w:before="0"/>
    </w:pPr>
    <w:r>
      <w:rPr>
        <w:rFonts w:ascii="Arial" w:cs="Arial" w:eastAsia="Arial" w:hAnsi="Arial"/>
        <w:color w:val="555555"/>
        <w:sz w:val="16"/>
        <w:szCs w:val="16"/>
      </w:rPr>
      <w:t xml:space="preserve">Internal use only  —  Do not distribute</w:t>
    </w:r>
    <w:r>
      <w:rPr>
        <w:rFonts w:ascii="Arial" w:cs="Arial" w:eastAsia="Arial" w:hAnsi="Arial"/>
        <w:color w:val="555555"/>
        <w:sz w:val="16"/>
        <w:szCs w:val="16"/>
      </w:rPr>
      <w:t xml:space="preserve">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pBdr>
      <w:spacing w:after="0"/>
    </w:pPr>
    <w:r>
      <w:rPr>
        <w:rFonts w:ascii="Arial" w:cs="Arial" w:eastAsia="Arial" w:hAnsi="Arial"/>
        <w:color w:val="555555"/>
        <w:sz w:val="18"/>
        <w:szCs w:val="18"/>
      </w:rPr>
      <w:t xml:space="preserve">Book A Sloth  ·  Vendor Subscription PRD v2.0</w:t>
    </w:r>
    <w:r>
      <w:rPr>
        <w:rFonts w:ascii="Arial" w:cs="Arial" w:eastAsia="Arial" w:hAnsi="Arial"/>
        <w:b/>
        <w:bCs/>
        <w:color w:val="555555"/>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lvl w:ilvl="1" w15:tentative="1">
      <w:start w:val="1"/>
      <w:numFmt w:val="bullet"/>
      <w:lvlText w:val="◦"/>
      <w:lvlJc w:val="left"/>
      <w:pPr>
        <w:ind w:left="1080" w:hanging="360"/>
      </w:pPr>
      <w:rPr>
        <w:rFonts w:ascii="Arial" w:cs="Arial" w:eastAsia="Arial" w:hAnsi="Arial"/>
        <w:sz w:val="22"/>
        <w:szCs w:val="22"/>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1A1A"/>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1A1A1A"/>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A56D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2026-06-10T10:23:23.343Z</dcterms:created>
  <dcterms:modified xsi:type="dcterms:W3CDTF">2026-06-10T10:23:23.344Z</dcterms:modified>
</cp:coreProperties>
</file>

<file path=docProps/custom.xml><?xml version="1.0" encoding="utf-8"?>
<Properties xmlns="http://schemas.openxmlformats.org/officeDocument/2006/custom-properties" xmlns:vt="http://schemas.openxmlformats.org/officeDocument/2006/docPropsVTypes"/>
</file>