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Hospital Quality and Insurance Base Rate Analysis</w:t>
      </w:r>
    </w:p>
    <w:p>
      <w:r>
        <w:t>Objective: Determine whether hospitals with higher quality recognition receive higher insurance base rates for inpatient spine surgery DRGs.</w:t>
      </w:r>
    </w:p>
    <w:p>
      <w:pPr>
        <w:pStyle w:val="Heading1"/>
      </w:pPr>
      <w:r>
        <w:t>Data integration</w:t>
      </w:r>
    </w:p>
    <w:p>
      <w:r>
        <w:t>Hospitals in base-rate dataset: 346</w:t>
      </w:r>
    </w:p>
    <w:p>
      <w:r>
        <w:t>CMS source hospitals: 5424</w:t>
      </w:r>
    </w:p>
    <w:p>
      <w:r>
        <w:t>CMS matches by CCN: 136</w:t>
      </w:r>
    </w:p>
    <w:p>
      <w:r>
        <w:t>CMS fallback name matches: 90</w:t>
      </w:r>
    </w:p>
    <w:p>
      <w:r>
        <w:t>CMS ratings available: 156</w:t>
      </w:r>
    </w:p>
    <w:p>
      <w:r>
        <w:t>Blue Distinction accepted: 30</w:t>
      </w:r>
    </w:p>
    <w:p>
      <w:r>
        <w:t>Blue Distinction manual review: 35</w:t>
      </w:r>
    </w:p>
    <w:p>
      <w:pPr>
        <w:pStyle w:val="Heading1"/>
      </w:pPr>
      <w:r>
        <w:t>Statistical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Analysis</w:t>
            </w:r>
          </w:p>
        </w:tc>
        <w:tc>
          <w:tcPr>
            <w:tcW w:type="dxa" w:w="1728"/>
          </w:tcPr>
          <w:p>
            <w:r>
              <w:t>Estimate</w:t>
            </w:r>
          </w:p>
        </w:tc>
        <w:tc>
          <w:tcPr>
            <w:tcW w:type="dxa" w:w="1728"/>
          </w:tcPr>
          <w:p>
            <w:r>
              <w:t>P value</w:t>
            </w:r>
          </w:p>
        </w:tc>
        <w:tc>
          <w:tcPr>
            <w:tcW w:type="dxa" w:w="1728"/>
          </w:tcPr>
          <w:p>
            <w:r>
              <w:t>N</w:t>
            </w:r>
          </w:p>
        </w:tc>
        <w:tc>
          <w:tcPr>
            <w:tcW w:type="dxa" w:w="1728"/>
          </w:tcPr>
          <w:p>
            <w:r>
              <w:t>Interpretation</w:t>
            </w:r>
          </w:p>
        </w:tc>
      </w:tr>
      <w:tr>
        <w:tc>
          <w:tcPr>
            <w:tcW w:type="dxa" w:w="1728"/>
          </w:tcPr>
          <w:p>
            <w:r>
              <w:t>Hospital-level Welch t-test</w:t>
            </w:r>
          </w:p>
        </w:tc>
        <w:tc>
          <w:tcPr>
            <w:tcW w:type="dxa" w:w="1728"/>
          </w:tcPr>
          <w:p>
            <w:r>
              <w:t>2805</w:t>
            </w:r>
          </w:p>
        </w:tc>
        <w:tc>
          <w:tcPr>
            <w:tcW w:type="dxa" w:w="1728"/>
          </w:tcPr>
          <w:p>
            <w:r>
              <w:t>0.05113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Mean difference: Blue Distinction minus non-Blue Distinction</w:t>
            </w:r>
          </w:p>
        </w:tc>
      </w:tr>
      <w:tr>
        <w:tc>
          <w:tcPr>
            <w:tcW w:type="dxa" w:w="1728"/>
          </w:tcPr>
          <w:p>
            <w:r>
              <w:t>Mann-Whitney U test</w:t>
            </w:r>
          </w:p>
        </w:tc>
        <w:tc>
          <w:tcPr>
            <w:tcW w:type="dxa" w:w="1728"/>
          </w:tcPr>
          <w:p>
            <w:r>
              <w:t>2862</w:t>
            </w:r>
          </w:p>
        </w:tc>
        <w:tc>
          <w:tcPr>
            <w:tcW w:type="dxa" w:w="1728"/>
          </w:tcPr>
          <w:p>
            <w:r>
              <w:t>0.02896</w:t>
            </w:r>
          </w:p>
        </w:tc>
        <w:tc>
          <w:tcPr>
            <w:tcW w:type="dxa" w:w="1728"/>
          </w:tcPr>
          <w:p>
            <w:r>
              <w:t>195</w:t>
            </w:r>
          </w:p>
        </w:tc>
        <w:tc>
          <w:tcPr>
            <w:tcW w:type="dxa" w:w="1728"/>
          </w:tcPr>
          <w:p>
            <w:r>
              <w:t>Nonparametric comparison of hospital average base rates</w:t>
            </w:r>
          </w:p>
        </w:tc>
      </w:tr>
      <w:tr>
        <w:tc>
          <w:tcPr>
            <w:tcW w:type="dxa" w:w="1728"/>
          </w:tcPr>
          <w:p>
            <w:r>
              <w:t>DRG-adjusted log-linear regression</w:t>
            </w:r>
          </w:p>
        </w:tc>
        <w:tc>
          <w:tcPr>
            <w:tcW w:type="dxa" w:w="1728"/>
          </w:tcPr>
          <w:p>
            <w:r>
              <w:t>21.16</w:t>
            </w:r>
          </w:p>
        </w:tc>
        <w:tc>
          <w:tcPr>
            <w:tcW w:type="dxa" w:w="1728"/>
          </w:tcPr>
          <w:p>
            <w:r>
              <w:t>0.03541</w:t>
            </w:r>
          </w:p>
        </w:tc>
        <w:tc>
          <w:tcPr>
            <w:tcW w:type="dxa" w:w="1728"/>
          </w:tcPr>
          <w:p>
            <w:r>
              <w:t>2133</w:t>
            </w:r>
          </w:p>
        </w:tc>
        <w:tc>
          <w:tcPr>
            <w:tcW w:type="dxa" w:w="1728"/>
          </w:tcPr>
          <w:p>
            <w:r>
              <w:t>Percent difference associated with Blue Distinction</w:t>
            </w:r>
          </w:p>
        </w:tc>
      </w:tr>
      <w:tr>
        <w:tc>
          <w:tcPr>
            <w:tcW w:type="dxa" w:w="1728"/>
          </w:tcPr>
          <w:p>
            <w:r>
              <w:t>CMS Spearman correlation</w:t>
            </w:r>
          </w:p>
        </w:tc>
        <w:tc>
          <w:tcPr>
            <w:tcW w:type="dxa" w:w="1728"/>
          </w:tcPr>
          <w:p>
            <w:r>
              <w:t>0.2398</w:t>
            </w:r>
          </w:p>
        </w:tc>
        <w:tc>
          <w:tcPr>
            <w:tcW w:type="dxa" w:w="1728"/>
          </w:tcPr>
          <w:p>
            <w:r>
              <w:t>0.003923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Association between CMS stars and average base rate</w:t>
            </w:r>
          </w:p>
        </w:tc>
      </w:tr>
      <w:tr>
        <w:tc>
          <w:tcPr>
            <w:tcW w:type="dxa" w:w="1728"/>
          </w:tcPr>
          <w:p>
            <w:r>
              <w:t>CMS log-linear regression</w:t>
            </w:r>
          </w:p>
        </w:tc>
        <w:tc>
          <w:tcPr>
            <w:tcW w:type="dxa" w:w="1728"/>
          </w:tcPr>
          <w:p>
            <w:r>
              <w:t>15.85</w:t>
            </w:r>
          </w:p>
        </w:tc>
        <w:tc>
          <w:tcPr>
            <w:tcW w:type="dxa" w:w="1728"/>
          </w:tcPr>
          <w:p>
            <w:r>
              <w:t>0.0001074</w:t>
            </w:r>
          </w:p>
        </w:tc>
        <w:tc>
          <w:tcPr>
            <w:tcW w:type="dxa" w:w="1728"/>
          </w:tcPr>
          <w:p>
            <w:r>
              <w:t>143</w:t>
            </w:r>
          </w:p>
        </w:tc>
        <w:tc>
          <w:tcPr>
            <w:tcW w:type="dxa" w:w="1728"/>
          </w:tcPr>
          <w:p>
            <w:r>
              <w:t>Percent difference per additional CMS star</w:t>
            </w:r>
          </w:p>
        </w:tc>
      </w:tr>
    </w:tbl>
    <w:p>
      <w:pPr>
        <w:pStyle w:val="Heading2"/>
      </w:pPr>
      <w:r>
        <w:t>Average Base Rate Histogram</w:t>
      </w:r>
    </w:p>
    <w:p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erage_base_rate_histo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Blue Distinction Boxplot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_distinction_box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Cms Rating Scatterplot</w:t>
      </w:r>
    </w:p>
    <w:p>
      <w:r>
        <w:drawing>
          <wp:inline xmlns:a="http://schemas.openxmlformats.org/drawingml/2006/main" xmlns:pic="http://schemas.openxmlformats.org/drawingml/2006/picture">
            <wp:extent cx="5669280" cy="4049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ms_rating_scatte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