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Meeting notes, 2026-09-08</w:t>
      </w:r>
    </w:p>
    <w:p>
      <w:r>
        <w:t xml:space="preserve">Agreed to move the office-format work into the launch. The spike runs first and decides scope; the read tool carries PDF and spreadsheets.</w:t>
      </w:r>
    </w:p>
    <w:p>
      <w:r>
        <w:t xml:space="preserve">Open questions: chart rendering in Excel, and the binary size delta.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Qty</w:t>
            </w:r>
          </w:p>
        </w:tc>
        <w:tc>
          <w:p>
            <w:r>
              <w:t xml:space="preserve">Unit price</w:t>
            </w:r>
          </w:p>
        </w:tc>
      </w:tr>
      <w:tr>
        <w:tc>
          <w:p>
            <w:r>
              <w:t xml:space="preserve">Widget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12.50</w:t>
            </w:r>
          </w:p>
        </w:tc>
      </w:tr>
      <w:tr>
        <w:tc>
          <w:p>
            <w:r>
              <w:t xml:space="preserve">Gadget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99.00</w:t>
            </w:r>
          </w:p>
        </w:tc>
      </w:tr>
    </w:tbl>
    <w:p>
      <w:r>
        <w:t xml:space="preserve">End of notes.</w:t>
      </w:r>
    </w:p>
    <w:sectPr/>
  </w:body>
</w:document>
</file>