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168B0" w14:textId="385AC472" w:rsidR="00722C5E" w:rsidRDefault="004E6C99" w:rsidP="004E6C99">
      <w:pPr>
        <w:jc w:val="center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소득분위 계층별 소비구조 추세 분석</w:t>
      </w:r>
    </w:p>
    <w:p w14:paraId="7C8796B4" w14:textId="1EE20408" w:rsidR="004E6C99" w:rsidRPr="004E6C99" w:rsidRDefault="004E6C99" w:rsidP="004E6C99">
      <w:pPr>
        <w:rPr>
          <w:rFonts w:hint="eastAsia"/>
        </w:rPr>
      </w:pPr>
      <w:r>
        <w:rPr>
          <w:b/>
          <w:bCs/>
        </w:rPr>
        <w:t xml:space="preserve">- 용도: </w:t>
      </w:r>
      <w:r>
        <w:t>2026 국가데이터활용대회 공모전 참가 및 학생설계융합전공 졸업논문</w:t>
      </w:r>
    </w:p>
    <w:p w14:paraId="336441DC" w14:textId="5C371A7A" w:rsidR="004E6C99" w:rsidRPr="004E6C99" w:rsidRDefault="004E6C99" w:rsidP="004E6C99">
      <w:pPr>
        <w:rPr>
          <w:rFonts w:hint="eastAsia"/>
        </w:rPr>
      </w:pPr>
      <w:r>
        <w:rPr>
          <w:b/>
          <w:bCs/>
        </w:rPr>
        <w:t xml:space="preserve">- 분석 주제: </w:t>
      </w:r>
      <w:r>
        <w:t>2022Q1~2026Q1(17개 분기) 동안 소득 5분위 계층별 소비구조(12대 항목 비중)가 어떻게 변했고, 계층 간 격차가 어떻게 움직였는지 추세 분석</w:t>
      </w:r>
    </w:p>
    <w:p w14:paraId="283F73DC" w14:textId="5BA78E7C" w:rsidR="004E6C99" w:rsidRPr="004E6C99" w:rsidRDefault="004E6C99" w:rsidP="004E6C99">
      <w:r>
        <w:rPr>
          <w:b/>
          <w:bCs/>
        </w:rPr>
        <w:t>- 분석 활용 데이터:</w:t>
      </w:r>
      <w:r>
        <w:t xml:space="preserve"> KOSIS(품목별/지출목적별 소비자물가지수), MDIS(가계동향조사)</w:t>
      </w:r>
    </w:p>
    <w:p w14:paraId="47CA1990" w14:textId="41D0E3EF" w:rsidR="007666DC" w:rsidRDefault="007666DC" w:rsidP="004E6C99">
      <w:r>
        <w:rPr>
          <w:rFonts w:hint="eastAsia"/>
          <w:b/>
          <w:bCs/>
        </w:rPr>
        <w:t xml:space="preserve">- 문제의식: </w:t>
      </w:r>
      <w:r>
        <w:rPr>
          <w:rFonts w:hint="eastAsia"/>
        </w:rPr>
        <w:t xml:space="preserve">체감 물가와 생활 압박은 누구에게 더 무겁게 작용했는가, 각 계층은 무엇을 줄이고 무엇으로 옮기며 적응했는가, 그리고 계층 간 소비구조의 격차는 좁혀졌는가 벌어졌는가. </w:t>
      </w:r>
      <w:r>
        <w:t>우리가 흔히 접하는 '소비자물가 상승률'이나 '가구당 평균 소비지출'은 평균적인 한 가구를 묘사하지만, 현실은 같은 물가와 같은 경기 충격에도 계층마다 전혀 다르게 닿는다. 따라서 단일 평균 통계로는 보이지 않는 이 분배적 실상을 드러내는 것이 분석의 출발점이</w:t>
      </w:r>
      <w:r>
        <w:rPr>
          <w:rFonts w:hint="eastAsia"/>
        </w:rPr>
        <w:t>다.</w:t>
      </w:r>
    </w:p>
    <w:p w14:paraId="68AB561E" w14:textId="77777777" w:rsidR="00C50F2A" w:rsidRDefault="00C50F2A" w:rsidP="00B60578">
      <w:pPr>
        <w:rPr>
          <w:b/>
          <w:bCs/>
        </w:rPr>
      </w:pPr>
    </w:p>
    <w:p w14:paraId="125687A6" w14:textId="5FF582E4" w:rsidR="00B60578" w:rsidRPr="00B60578" w:rsidRDefault="00B60578" w:rsidP="00B60578">
      <w:r>
        <w:rPr>
          <w:rFonts w:hint="eastAsia"/>
          <w:b/>
          <w:bCs/>
        </w:rPr>
        <w:t xml:space="preserve">- </w:t>
      </w:r>
      <w:r>
        <w:rPr>
          <w:b/>
          <w:bCs/>
        </w:rPr>
        <w:t>이 분석이 기여할 수 있는 부분</w:t>
      </w:r>
      <w:r>
        <w:rPr>
          <w:rFonts w:hint="eastAsia"/>
          <w:b/>
          <w:bCs/>
        </w:rPr>
        <w:t>:</w:t>
      </w:r>
    </w:p>
    <w:p w14:paraId="0CF6280E" w14:textId="4256CD0C" w:rsidR="00B60578" w:rsidRPr="00B60578" w:rsidRDefault="00B60578" w:rsidP="00B60578">
      <w:pPr>
        <w:rPr>
          <w:rFonts w:hint="eastAsia"/>
        </w:rPr>
      </w:pPr>
      <w:r>
        <w:rPr>
          <w:b/>
          <w:bCs/>
        </w:rPr>
        <w:t>1. 정책의 정밀화 — 평균이 아닌 분포로.</w:t>
      </w:r>
      <w:r>
        <w:t xml:space="preserve"> 가구동향과 CPI를 분위×분기×항목으로 결합해 계층별 체감물가(각 분위의 소비바스켓 × 항목별 물가)를 산출하면, "어느 계층이 실제로 가장 높은 물가 부담을 졌는가"를 정량화할 수 있습니다. 이는 에너지·식료품 바우처, 타깃 복지 같은 민생 지원을 체감 부담이 큰 곳에 배분하는 근거가 됩니다. 통계청도 같은 문제의식에서 가구특성별 물가지수(실험적통계)를 만들었으니, 우리 결과는 그 공식 지표와 교차검증되며 보완할 수 있습니다.</w:t>
      </w:r>
    </w:p>
    <w:p w14:paraId="633EA27B" w14:textId="34CD06CB" w:rsidR="00B60578" w:rsidRPr="00B60578" w:rsidRDefault="00B60578" w:rsidP="00B60578">
      <w:pPr>
        <w:rPr>
          <w:rFonts w:hint="eastAsia"/>
        </w:rPr>
      </w:pPr>
      <w:r>
        <w:rPr>
          <w:b/>
          <w:bCs/>
        </w:rPr>
        <w:t>2. 소비 위축의 조기 진단.</w:t>
      </w:r>
      <w:r>
        <w:t xml:space="preserve"> 어떤 계층이 어떤 항목을 줄여가는지를 시계열로 추적하면, 위축이 건강한 조정인지 고통스러운 긴축인지 구분할 수 있습니다. 저소득층이 보건·교육 지출을 줄이는 신호가 보인다면 이는 선제적 개입이 필요한 경보입니다.</w:t>
      </w:r>
    </w:p>
    <w:p w14:paraId="26508E2D" w14:textId="0745988F" w:rsidR="00B60578" w:rsidRPr="00B60578" w:rsidRDefault="00B60578" w:rsidP="00B60578">
      <w:pPr>
        <w:rPr>
          <w:rFonts w:hint="eastAsia"/>
        </w:rPr>
      </w:pPr>
      <w:r>
        <w:rPr>
          <w:b/>
          <w:bCs/>
        </w:rPr>
        <w:t>3. 방법론적 기여.</w:t>
      </w:r>
      <w:r>
        <w:t xml:space="preserve"> 가계동향(신분류)과 CPI(구분류)는 그대로는 맞지 않아, 품목 단위 재집계로 정보통신·오락문화를 신분류에 맞춘 분류 정합 디플레이터를 만들었습니다. 이로써 명목과 실질을 분리해 "값이 올라 더 쓴 것"과 "실제로 더(덜) 소비한 것"을 가를 수 있습니다 — 후생 해석의 핵심이며, 다른 분석에도 재사용 가능한 자산입니다.</w:t>
      </w:r>
    </w:p>
    <w:p w14:paraId="55E3E6A2" w14:textId="252A6978" w:rsidR="00B60578" w:rsidRPr="00B60578" w:rsidRDefault="00B60578" w:rsidP="00B60578">
      <w:pPr>
        <w:rPr>
          <w:rFonts w:hint="eastAsia"/>
        </w:rPr>
      </w:pPr>
      <w:r>
        <w:rPr>
          <w:b/>
          <w:bCs/>
        </w:rPr>
        <w:t>4. 불평등 논의의 실증 근거.</w:t>
      </w:r>
      <w:r>
        <w:t xml:space="preserve"> 엥겔계수(식료품 비중)·슈바베계수(주거비 비중)의 계층별 추이는 생활수준·주거부담의 분배적 변화를 수치로 보여주어, 소비 양극화 논의에 데이터 기반 근거를 제공합니다. 기업 입장에서도 계층별 소비구조 변화는 수요예측·세그먼트 전략의 입력이 됩니다.</w:t>
      </w:r>
    </w:p>
    <w:p w14:paraId="5E3977E9" w14:textId="77777777" w:rsidR="00C50F2A" w:rsidRDefault="00C50F2A" w:rsidP="00B60578">
      <w:pPr>
        <w:rPr>
          <w:b/>
          <w:bCs/>
        </w:rPr>
      </w:pPr>
    </w:p>
    <w:p w14:paraId="2313A733" w14:textId="1013AF51" w:rsidR="00B60578" w:rsidRPr="00B60578" w:rsidRDefault="00B60578" w:rsidP="00B60578">
      <w:pPr>
        <w:rPr>
          <w:rFonts w:hint="eastAsia"/>
        </w:rPr>
      </w:pPr>
      <w:r>
        <w:rPr>
          <w:rFonts w:hint="eastAsia"/>
          <w:b/>
          <w:bCs/>
        </w:rPr>
        <w:lastRenderedPageBreak/>
        <w:t>- 데이터의 한계점:</w:t>
      </w:r>
    </w:p>
    <w:p w14:paraId="44021AE8" w14:textId="6BA21BA1" w:rsidR="00B60578" w:rsidRPr="00B60578" w:rsidRDefault="00B60578" w:rsidP="00B60578">
      <w:r>
        <w:t xml:space="preserve">이 데이터는 </w:t>
      </w:r>
      <w:r>
        <w:rPr>
          <w:b/>
          <w:bCs/>
        </w:rPr>
        <w:t>반복 횡단면</w:t>
      </w:r>
      <w:r>
        <w:t xml:space="preserve">이라 같은 가구를 추적하는 패널이 아니므로, 개별 가구의 행동 적응보다 집단 평균의 구조 변화를 봅니다. 17개 분기로는 인과 규명보다 </w:t>
      </w:r>
      <w:r>
        <w:rPr>
          <w:b/>
          <w:bCs/>
        </w:rPr>
        <w:t>기술·진단</w:t>
      </w:r>
      <w:r>
        <w:t>에 강하며, 비중·체감물가는 상관적·기술적 증거이지 인과가 아닙니다. 또한 여기서 '계층'은</w:t>
      </w:r>
      <w:r>
        <w:rPr>
          <w:rFonts w:hint="eastAsia"/>
        </w:rPr>
        <w:t xml:space="preserve"> </w:t>
      </w:r>
      <w:r>
        <w:rPr>
          <w:b/>
          <w:bCs/>
        </w:rPr>
        <w:t>소득</w:t>
      </w:r>
      <w:r>
        <w:t xml:space="preserve"> 기준이라 자산·부채 차원은 별도로 보아야 합니다. 이 경계를 분명히 둔 채 해석하면, 위의 기여들이 과장 없이 견고해집니다.</w:t>
      </w:r>
    </w:p>
    <w:p w14:paraId="1FCF05C8" w14:textId="06AB57A1" w:rsidR="00B60578" w:rsidRPr="00B60578" w:rsidRDefault="00B60578" w:rsidP="00B60578">
      <w:r>
        <w:rPr>
          <w:b/>
          <w:bCs/>
        </w:rPr>
        <w:t>요약하면, 이 분석은 "평균이 가린 계층별 소비 현실과 물가 부담의 불균형"에서 출발해, 누가 무엇에 얼마나 눌렸는지를 분배적으로 드러내고, 그 진단을 정책·시장이 정밀하게 활용하도록 돕는 데 기여합니다.</w:t>
      </w:r>
    </w:p>
    <w:p w14:paraId="000DE57C" w14:textId="77777777" w:rsidR="00B60578" w:rsidRPr="00B60578" w:rsidRDefault="00B60578" w:rsidP="004E6C99">
      <w:pPr>
        <w:rPr>
          <w:rFonts w:hint="eastAsia"/>
        </w:rPr>
      </w:pPr>
    </w:p>
    <w:p w14:paraId="638250A1" w14:textId="7835ECCB" w:rsidR="004E6C99" w:rsidRDefault="004E6C99" w:rsidP="004E6C99">
      <w:r>
        <w:rPr>
          <w:rFonts w:hint="eastAsia"/>
          <w:b/>
          <w:bCs/>
        </w:rPr>
        <w:t xml:space="preserve">- 데이터 기반 문제 정의: </w:t>
      </w:r>
      <w:r>
        <w:t>2022Q1~2026Q1(17개 분기) 가중평균 지출을 이용해, ① 12대 소비항목의 지출 비중(소비구조) 변화 추세를 정량화하고, ② 엥겔계수·슈바베계수 등 후생 지표의 추이를 추적하며, ③ 경기·물가에 민감하게 반응하는 민감 항목을 식별하고, ④ 향후 분기 소비를 전망하는 문제로 정의합니다.</w:t>
      </w:r>
    </w:p>
    <w:tbl>
      <w:tblPr>
        <w:tblStyle w:val="aa"/>
        <w:tblW w:w="9817" w:type="dxa"/>
        <w:tblLook w:val="04A0" w:firstRow="1" w:lastRow="0" w:firstColumn="1" w:lastColumn="0" w:noHBand="0" w:noVBand="1"/>
      </w:tblPr>
      <w:tblGrid>
        <w:gridCol w:w="3114"/>
        <w:gridCol w:w="2835"/>
        <w:gridCol w:w="3868"/>
      </w:tblGrid>
      <w:tr w:rsidR="004E6C99" w14:paraId="2737682A" w14:textId="77777777" w:rsidTr="007666DC">
        <w:trPr>
          <w:trHeight w:val="395"/>
        </w:trPr>
        <w:tc>
          <w:tcPr>
            <w:tcW w:w="3114" w:type="dxa"/>
          </w:tcPr>
          <w:p w14:paraId="6E7DF626" w14:textId="39227249" w:rsidR="004E6C99" w:rsidRPr="007666DC" w:rsidRDefault="004E6C99" w:rsidP="004E6C9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분석 목표</w:t>
            </w:r>
          </w:p>
        </w:tc>
        <w:tc>
          <w:tcPr>
            <w:tcW w:w="2835" w:type="dxa"/>
          </w:tcPr>
          <w:p w14:paraId="7158FCF9" w14:textId="12B53EDD" w:rsidR="004E6C99" w:rsidRPr="007666DC" w:rsidRDefault="004E6C99" w:rsidP="004E6C9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산출물</w:t>
            </w:r>
          </w:p>
        </w:tc>
        <w:tc>
          <w:tcPr>
            <w:tcW w:w="3868" w:type="dxa"/>
          </w:tcPr>
          <w:p w14:paraId="7DEDCF52" w14:textId="41AC4870" w:rsidR="004E6C99" w:rsidRPr="007666DC" w:rsidRDefault="004E6C99" w:rsidP="004E6C9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기대효과</w:t>
            </w:r>
          </w:p>
        </w:tc>
      </w:tr>
      <w:tr w:rsidR="004E6C99" w14:paraId="374DFBB0" w14:textId="77777777" w:rsidTr="007666DC">
        <w:trPr>
          <w:trHeight w:val="704"/>
        </w:trPr>
        <w:tc>
          <w:tcPr>
            <w:tcW w:w="3114" w:type="dxa"/>
          </w:tcPr>
          <w:p w14:paraId="13A3D1FA" w14:textId="53EBB237" w:rsidR="004E6C99" w:rsidRPr="007666DC" w:rsidRDefault="004E6C99" w:rsidP="004E6C99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소비구조 변화 추세 정량화</w:t>
            </w:r>
          </w:p>
        </w:tc>
        <w:tc>
          <w:tcPr>
            <w:tcW w:w="2835" w:type="dxa"/>
          </w:tcPr>
          <w:p w14:paraId="0EBB1893" w14:textId="3F68AC00" w:rsidR="004E6C99" w:rsidRPr="007666DC" w:rsidRDefault="004E6C99" w:rsidP="004E6C99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항목별 비중 추이</w:t>
            </w:r>
            <w:r>
              <w:rPr>
                <w:sz w:val="20"/>
                <w:szCs w:val="22"/>
              </w:rPr>
              <w:t>·증감률</w:t>
            </w:r>
          </w:p>
        </w:tc>
        <w:tc>
          <w:tcPr>
            <w:tcW w:w="3868" w:type="dxa"/>
          </w:tcPr>
          <w:p w14:paraId="1D8A124D" w14:textId="77777777" w:rsidR="007666DC" w:rsidRDefault="004E6C99" w:rsidP="004E6C99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 xml:space="preserve">위축/팽창 항목 조기 포착 </w:t>
            </w:r>
          </w:p>
          <w:p w14:paraId="3AAA6E15" w14:textId="3D34616B" w:rsidR="004E6C99" w:rsidRPr="007666DC" w:rsidRDefault="004E6C99" w:rsidP="007666DC">
            <w:pPr>
              <w:ind w:firstLineChars="100" w:firstLine="200"/>
              <w:rPr>
                <w:rFonts w:hint="eastAsia"/>
                <w:sz w:val="20"/>
                <w:szCs w:val="22"/>
              </w:rPr>
            </w:pPr>
            <w:r>
              <w:rPr>
                <w:sz w:val="20"/>
                <w:szCs w:val="22"/>
              </w:rPr>
              <w:t>→ 선제적 민생 대응</w:t>
            </w:r>
          </w:p>
        </w:tc>
      </w:tr>
      <w:tr w:rsidR="004E6C99" w14:paraId="75E2D14A" w14:textId="77777777" w:rsidTr="007666DC">
        <w:trPr>
          <w:trHeight w:val="716"/>
        </w:trPr>
        <w:tc>
          <w:tcPr>
            <w:tcW w:w="3114" w:type="dxa"/>
          </w:tcPr>
          <w:p w14:paraId="45BD6388" w14:textId="40AFE51B" w:rsidR="004E6C99" w:rsidRPr="007666DC" w:rsidRDefault="004E6C99" w:rsidP="007666DC">
            <w:pPr>
              <w:ind w:right="880"/>
              <w:rPr>
                <w:rFonts w:hint="eastAsia"/>
                <w:sz w:val="20"/>
                <w:szCs w:val="22"/>
              </w:rPr>
            </w:pPr>
            <w:r>
              <w:rPr>
                <w:sz w:val="20"/>
                <w:szCs w:val="22"/>
              </w:rPr>
              <w:t>엥겔·슈바베계수</w:t>
            </w:r>
            <w:r>
              <w:rPr>
                <w:rFonts w:hint="eastAsia"/>
                <w:sz w:val="20"/>
                <w:szCs w:val="22"/>
              </w:rPr>
              <w:t xml:space="preserve"> 추</w:t>
            </w:r>
            <w:r>
              <w:rPr>
                <w:sz w:val="20"/>
                <w:szCs w:val="22"/>
              </w:rPr>
              <w:t>이</w:t>
            </w:r>
          </w:p>
        </w:tc>
        <w:tc>
          <w:tcPr>
            <w:tcW w:w="2835" w:type="dxa"/>
          </w:tcPr>
          <w:p w14:paraId="0DA03505" w14:textId="2A735CD0" w:rsidR="004E6C99" w:rsidRPr="007666DC" w:rsidRDefault="004E6C99" w:rsidP="004E6C99">
            <w:pPr>
              <w:rPr>
                <w:rFonts w:hint="eastAsia"/>
                <w:sz w:val="20"/>
                <w:szCs w:val="22"/>
              </w:rPr>
            </w:pPr>
            <w:r>
              <w:rPr>
                <w:sz w:val="20"/>
                <w:szCs w:val="22"/>
              </w:rPr>
              <w:t>후생 지표 시계열</w:t>
            </w:r>
          </w:p>
        </w:tc>
        <w:tc>
          <w:tcPr>
            <w:tcW w:w="3868" w:type="dxa"/>
          </w:tcPr>
          <w:p w14:paraId="561EC7C6" w14:textId="749874D8" w:rsidR="004E6C99" w:rsidRPr="007666DC" w:rsidRDefault="004E6C99" w:rsidP="004E6C99">
            <w:pPr>
              <w:rPr>
                <w:rFonts w:hint="eastAsia"/>
                <w:sz w:val="20"/>
                <w:szCs w:val="22"/>
              </w:rPr>
            </w:pPr>
            <w:r>
              <w:rPr>
                <w:sz w:val="20"/>
                <w:szCs w:val="22"/>
              </w:rPr>
              <w:t>체감 생활비·주거부담 변화 진단</w:t>
            </w:r>
          </w:p>
        </w:tc>
      </w:tr>
      <w:tr w:rsidR="004E6C99" w14:paraId="304C5001" w14:textId="77777777" w:rsidTr="007666DC">
        <w:trPr>
          <w:trHeight w:val="704"/>
        </w:trPr>
        <w:tc>
          <w:tcPr>
            <w:tcW w:w="3114" w:type="dxa"/>
          </w:tcPr>
          <w:p w14:paraId="19840656" w14:textId="3030F015" w:rsidR="004E6C99" w:rsidRPr="007666DC" w:rsidRDefault="007666DC" w:rsidP="007666DC">
            <w:pPr>
              <w:tabs>
                <w:tab w:val="left" w:pos="1640"/>
              </w:tabs>
              <w:rPr>
                <w:rFonts w:hint="eastAsia"/>
                <w:sz w:val="20"/>
                <w:szCs w:val="22"/>
              </w:rPr>
            </w:pPr>
            <w:r>
              <w:rPr>
                <w:sz w:val="20"/>
                <w:szCs w:val="22"/>
              </w:rPr>
              <w:t>물가·경기 민감 항목 식별</w:t>
            </w:r>
          </w:p>
        </w:tc>
        <w:tc>
          <w:tcPr>
            <w:tcW w:w="2835" w:type="dxa"/>
          </w:tcPr>
          <w:p w14:paraId="78F3CDDB" w14:textId="71B93E30" w:rsidR="004E6C99" w:rsidRPr="007666DC" w:rsidRDefault="007666DC" w:rsidP="004E6C99">
            <w:pPr>
              <w:rPr>
                <w:rFonts w:hint="eastAsia"/>
                <w:sz w:val="20"/>
                <w:szCs w:val="22"/>
              </w:rPr>
            </w:pPr>
            <w:r>
              <w:rPr>
                <w:sz w:val="20"/>
                <w:szCs w:val="22"/>
              </w:rPr>
              <w:t>항목별 변동성·민감도 순위</w:t>
            </w:r>
          </w:p>
        </w:tc>
        <w:tc>
          <w:tcPr>
            <w:tcW w:w="3868" w:type="dxa"/>
          </w:tcPr>
          <w:p w14:paraId="3C2D48BD" w14:textId="79CAC309" w:rsidR="004E6C99" w:rsidRPr="007666DC" w:rsidRDefault="007666DC" w:rsidP="004E6C99">
            <w:pPr>
              <w:rPr>
                <w:rFonts w:hint="eastAsia"/>
                <w:sz w:val="20"/>
                <w:szCs w:val="22"/>
              </w:rPr>
            </w:pPr>
            <w:r>
              <w:rPr>
                <w:sz w:val="20"/>
                <w:szCs w:val="22"/>
              </w:rPr>
              <w:t>정책·기업의 우선 관리 대상 선별</w:t>
            </w:r>
          </w:p>
        </w:tc>
      </w:tr>
      <w:tr w:rsidR="004E6C99" w14:paraId="06F530EF" w14:textId="77777777" w:rsidTr="007666DC">
        <w:trPr>
          <w:trHeight w:val="345"/>
        </w:trPr>
        <w:tc>
          <w:tcPr>
            <w:tcW w:w="3114" w:type="dxa"/>
          </w:tcPr>
          <w:p w14:paraId="7AA60BEE" w14:textId="6147BAB9" w:rsidR="004E6C99" w:rsidRPr="007666DC" w:rsidRDefault="007666DC" w:rsidP="007666DC">
            <w:pPr>
              <w:rPr>
                <w:rFonts w:hint="eastAsia"/>
                <w:sz w:val="20"/>
                <w:szCs w:val="22"/>
              </w:rPr>
            </w:pPr>
            <w:r>
              <w:rPr>
                <w:sz w:val="20"/>
                <w:szCs w:val="22"/>
              </w:rPr>
              <w:t>소비 전망</w:t>
            </w:r>
          </w:p>
        </w:tc>
        <w:tc>
          <w:tcPr>
            <w:tcW w:w="2835" w:type="dxa"/>
          </w:tcPr>
          <w:p w14:paraId="4F2493EF" w14:textId="5D04EB98" w:rsidR="004E6C99" w:rsidRPr="007666DC" w:rsidRDefault="007666DC" w:rsidP="007666DC">
            <w:pPr>
              <w:rPr>
                <w:rFonts w:hint="eastAsia"/>
                <w:sz w:val="20"/>
                <w:szCs w:val="22"/>
              </w:rPr>
            </w:pPr>
            <w:r>
              <w:rPr>
                <w:sz w:val="20"/>
                <w:szCs w:val="22"/>
              </w:rPr>
              <w:t>다음 분기 예측·구간</w:t>
            </w:r>
          </w:p>
        </w:tc>
        <w:tc>
          <w:tcPr>
            <w:tcW w:w="3868" w:type="dxa"/>
          </w:tcPr>
          <w:p w14:paraId="494C1602" w14:textId="55EDBF4A" w:rsidR="004E6C99" w:rsidRPr="007666DC" w:rsidRDefault="007666DC" w:rsidP="007666DC">
            <w:pPr>
              <w:rPr>
                <w:rFonts w:hint="eastAsia"/>
                <w:sz w:val="20"/>
                <w:szCs w:val="22"/>
              </w:rPr>
            </w:pPr>
            <w:r>
              <w:rPr>
                <w:sz w:val="20"/>
                <w:szCs w:val="22"/>
              </w:rPr>
              <w:t>수요예측·예산 편성 근거</w:t>
            </w:r>
          </w:p>
        </w:tc>
      </w:tr>
    </w:tbl>
    <w:p w14:paraId="0DB95A75" w14:textId="07BF7B34" w:rsidR="004E6C99" w:rsidRDefault="004E6C99" w:rsidP="003F1955"/>
    <w:p w14:paraId="1ACDB52C" w14:textId="77777777" w:rsidR="00B60578" w:rsidRDefault="003F1955" w:rsidP="003F1955">
      <w:pPr>
        <w:rPr>
          <w:b/>
          <w:bCs/>
        </w:rPr>
      </w:pPr>
      <w:r>
        <w:rPr>
          <w:rFonts w:hint="eastAsia"/>
          <w:b/>
          <w:bCs/>
        </w:rPr>
        <w:t xml:space="preserve">- 분석 절차: </w:t>
      </w:r>
    </w:p>
    <w:p w14:paraId="67BE7397" w14:textId="5DA218CE" w:rsidR="00B60578" w:rsidRDefault="00B60578" w:rsidP="003F1955">
      <w:pPr>
        <w:rPr>
          <w:rFonts w:hint="eastAsia"/>
        </w:rPr>
      </w:pPr>
      <w:r>
        <w:rPr>
          <w:rFonts w:hint="eastAsia"/>
          <w:b/>
          <w:bCs/>
        </w:rPr>
        <w:t>0. 환경 설정:</w:t>
      </w:r>
      <w:r>
        <w:rPr>
          <w:rFonts w:hint="eastAsia"/>
        </w:rPr>
        <w:t xml:space="preserve"> </w:t>
      </w:r>
      <w:r>
        <w:t>경로·12대 항목·CPI 매핑·방법1 매핑 정의</w:t>
      </w:r>
    </w:p>
    <w:p w14:paraId="06CF39C8" w14:textId="4C457BC2" w:rsidR="003F1955" w:rsidRDefault="00B60578" w:rsidP="003F1955">
      <w:r>
        <w:rPr>
          <w:rFonts w:hint="eastAsia"/>
          <w:b/>
          <w:bCs/>
        </w:rPr>
        <w:t>1. 문제 정의:</w:t>
      </w:r>
      <w:r>
        <w:rPr>
          <w:rFonts w:hint="eastAsia"/>
        </w:rPr>
        <w:t xml:space="preserve"> 분석 주제 선택, </w:t>
      </w:r>
      <w:r>
        <w:t>소득분위 격차 초점, 목표·기대효과 표+데이터 규모 확인</w:t>
      </w:r>
    </w:p>
    <w:p w14:paraId="24A170A5" w14:textId="57B18E99" w:rsidR="00B60578" w:rsidRPr="00B60578" w:rsidRDefault="00B60578" w:rsidP="003F1955">
      <w:r>
        <w:rPr>
          <w:rFonts w:hint="eastAsia"/>
          <w:b/>
          <w:bCs/>
        </w:rPr>
        <w:t>2. 데이터 이해:</w:t>
      </w:r>
      <w:r>
        <w:rPr>
          <w:rFonts w:hint="eastAsia"/>
        </w:rPr>
        <w:t xml:space="preserve"> </w:t>
      </w:r>
      <w:r>
        <w:t>코드집·2025 분류변경·CPI 불일치 요약+연도 간 컬럼 일관성·신분류 소급매핑 실증 코드</w:t>
      </w:r>
    </w:p>
    <w:p w14:paraId="408DAC43" w14:textId="0AAEA549" w:rsidR="00B60578" w:rsidRPr="00B60578" w:rsidRDefault="00B60578" w:rsidP="00B60578">
      <w:r>
        <w:rPr>
          <w:b/>
          <w:bCs/>
        </w:rPr>
        <w:t>2-a. 수집·결합</w:t>
      </w:r>
      <w:r>
        <w:rPr>
          <w:rFonts w:hint="eastAsia"/>
          <w:b/>
          <w:bCs/>
        </w:rPr>
        <w:t>:</w:t>
      </w:r>
      <w:r>
        <w:t xml:space="preserve"> 쥬스→주스 통일, concat → df_raw 저장</w:t>
      </w:r>
    </w:p>
    <w:p w14:paraId="16166713" w14:textId="250B153D" w:rsidR="00B60578" w:rsidRPr="00B60578" w:rsidRDefault="00B60578" w:rsidP="00B60578">
      <w:r>
        <w:rPr>
          <w:b/>
          <w:bCs/>
        </w:rPr>
        <w:t>2-b. 정합성 검증</w:t>
      </w:r>
      <w:r>
        <w:rPr>
          <w:rFonts w:hint="eastAsia"/>
          <w:b/>
          <w:bCs/>
        </w:rPr>
        <w:t>:</w:t>
      </w:r>
      <w:r>
        <w:t xml:space="preserve"> 12대 항목 합=소비지출(오차 0.38원), 가중 분위 20%, 2026Q1 분위1↔5 구조 미리보기 </w:t>
      </w:r>
    </w:p>
    <w:p w14:paraId="747D0A7B" w14:textId="3ABD6E78" w:rsidR="00B60578" w:rsidRPr="00B60578" w:rsidRDefault="00B60578" w:rsidP="00B60578">
      <w:r>
        <w:rPr>
          <w:b/>
          <w:bCs/>
        </w:rPr>
        <w:lastRenderedPageBreak/>
        <w:t>2-c. CPI 통합</w:t>
      </w:r>
      <w:r>
        <w:rPr>
          <w:rFonts w:hint="eastAsia"/>
          <w:b/>
          <w:bCs/>
        </w:rPr>
        <w:t>:</w:t>
      </w:r>
      <w:r>
        <w:t xml:space="preserve"> 지출목적별 CPI → cpi_long, 항목별 누적물가상승률 </w:t>
      </w:r>
    </w:p>
    <w:p w14:paraId="2AED1280" w14:textId="213FBAD3" w:rsidR="00B60578" w:rsidRPr="00B60578" w:rsidRDefault="00B60578" w:rsidP="00B60578">
      <w:pPr>
        <w:rPr>
          <w:rFonts w:hint="eastAsia"/>
        </w:rPr>
      </w:pPr>
      <w:r>
        <w:rPr>
          <w:b/>
          <w:bCs/>
        </w:rPr>
        <w:t>2-d~e. 방법1</w:t>
      </w:r>
      <w:r>
        <w:rPr>
          <w:rFonts w:hint="eastAsia"/>
          <w:b/>
          <w:bCs/>
        </w:rPr>
        <w:t>:</w:t>
      </w:r>
      <w:r>
        <w:t xml:space="preserve"> 품목 단위 재집계 디플레이터 + 구분류 대비 비교</w:t>
      </w:r>
    </w:p>
    <w:p>
      <w:r>
        <w:rPr>
          <w:b/>
          <w:bCs/>
        </w:rPr>
        <w:t xml:space="preserve">3. 데이터 전처리: </w:t>
      </w:r>
      <w:r>
        <w:t>가구 단위 df_raw를 분기×소득5분위(17×5=85행) 가중집계 패널로 변환 — ① 항목별 비중(명목, 분기 내 합=1), ② 방법1 디플레이터로 명목→실질 환산(가격 vs 소비량 분리), ③ 엥겔계수(식료품 비중)·슈바베계수(주거비 비중), ④ 분위별 2022Q1 바스켓 고정(라스파이레스) × 항목 CPI로 계층별 체감물가 산출</w:t>
      </w:r>
    </w:p>
    <w:p>
      <w:r>
        <w:rPr>
          <w:b/>
          <w:bCs/>
        </w:rPr>
        <w:t xml:space="preserve">3-a. 계층 간 격차 지표: </w:t>
      </w:r>
      <w:r>
        <w:t>항목별 격차(분위5 비중 − 분위1 비중, %p) + 구조격차지수(½·Σ|분위5−분위1|, 0=동일 구조, 1=완전 상이)</w:t>
      </w:r>
    </w:p>
    <w:p>
      <w:r>
        <w:rPr>
          <w:b/>
          <w:bCs/>
        </w:rPr>
        <w:t xml:space="preserve">3-b. 입력·출력 정의 및 분할: </w:t>
      </w:r>
      <w:r>
        <w:t>Y=항목별 비중 / X=시점 t, 분기(계절)·분위·항목 더미. 시계열 누수 방지를 위해 시점 기준 분할 — 검증=최근 3개 분기(2025Q3~2026Q1)</w:t>
      </w:r>
    </w:p>
    <w:p>
      <w:r>
        <w:rPr>
          <w:b/>
          <w:bCs/>
        </w:rPr>
        <w:t xml:space="preserve">3-c. 수요·탄력성 회귀(참고): </w:t>
      </w:r>
      <w:r>
        <w:t>Working-Leser 예산몫 모형으로 분위별 지출(엥겔) 탄력성 e 도출(e&lt;1 필수재, e&gt;1 사치재) + 식료품 가격 1%↑ 시 비식료품 실질지출 반응 η를 1차차분으로 추정(CPI가 전 분위 공통·17분기 소표본이라 식별이 약한 탐색적 결과, 인과 해석 배제)</w:t>
      </w:r>
    </w:p>
    <w:p>
      <w:r>
        <w:rPr>
          <w:b/>
          <w:bCs/>
        </w:rPr>
        <w:t xml:space="preserve">3-d. 단기 예측: </w:t>
      </w:r>
      <w:r>
        <w:t>분위×항목별 비중을 추세(t)+분기 계절더미로 적합해 2026Q2·Q3 전망(분위 내 합=1 재정규화), 최근 3분기 홀드아웃 MAE로 신뢰도 검증</w:t>
      </w:r>
    </w:p>
    <w:p>
      <w:r>
        <w:rPr>
          <w:b/>
          <w:bCs/>
        </w:rPr>
        <w:t xml:space="preserve">4. 모델링 및 검증: </w:t>
      </w:r>
      <w:r>
        <w:t>9종 알고리즘 학습 — 선형(Linear·Ridge), 트리앙상블(RandomForest·ExtraTrees), 부스팅(HistGradientBoosting·XGBoost·LightGBM), 커널(SVR), 신경망(MLP). 지표는 학습/검증 MAE(%p)·RMSE(%p)·R², 학습-검증 R² 격차(&gt;0.10)나 학습오차 0 수렴 시 과적합으로 자동 판정</w:t>
      </w:r>
    </w:p>
    <w:p>
      <w:r>
        <w:rPr>
          <w:b/>
          <w:bCs/>
        </w:rPr>
        <w:t xml:space="preserve">5. 결과 활용(XAI): </w:t>
      </w:r>
      <w:r>
        <w:t>대표모델 RandomForest(검증 R²≈0.985, 판정 ‘양호’) — ① 내장 특성중요도(학습 재현 근거), ② 순열 중요도·검증셋(미래 예측이 실제로 의존하는 변수), ③ SHAP(개별 예측 기여의 방향·크기 분해)</w:t>
      </w:r>
    </w:p>
    <w:p>
      <w:r>
        <w:rPr>
          <w:b/>
          <w:bCs/>
        </w:rPr>
        <w:t xml:space="preserve">6. 현실 적용: </w:t>
      </w:r>
      <w:r>
        <w:t>분위별 핵심 지표 종합(체감물가 누적·엥겔·슈바베 추이), 문제 해결도 평가, 정책·현실 적용 시나리오, 한계 및 향후 과제 정리</w:t>
      </w:r>
    </w:p>
    <w:p/>
    <w:p>
      <w:r>
        <w:rPr>
          <w:b/>
          <w:bCs/>
        </w:rPr>
        <w:t>- 주요 분석 결과:</w:t>
      </w:r>
    </w:p>
    <w:p>
      <w:r>
        <w:rPr>
          <w:b/>
          <w:bCs/>
        </w:rPr>
        <w:t xml:space="preserve">1. 소비구조 격차의 고착. </w:t>
      </w:r>
      <w:r>
        <w:t>저소득층은 필수재(식료품·주거·보건)에, 고소득층은 선택재(교육·교통·여가)에 집중하는 구조가 뚜렷하다. 구조격차지수는 0.262(2022Q1)→0.303(2024Q1)으로 일시 확대된 뒤 0.257(2026Q1)로 회귀했다. 시점 간 변화량의 부트스트랩 95% 신뢰구간이 [−0.042, +0.038]로 0을 포함하므로, 격차는 통계적으로 확대도 축소도 아닌 구조적 고착 상태로 판단된다.</w:t>
      </w:r>
    </w:p>
    <w:p>
      <w:r>
        <w:rPr>
          <w:b/>
          <w:bCs/>
        </w:rPr>
        <w:t xml:space="preserve">2. 인플레이션의 역진성. </w:t>
      </w:r>
      <w:r>
        <w:t>분류 정합 디플레이터(방법1) 기반 계층별 체감물가의 누적 상승률(2022Q1→2026Q1)은 분위1 12.98% &gt; 분위5 12.51%로, 저소득층이 +0.47%p 더 높은 물가 부담을 졌다. 이 역진성은 부트스트랩 95% 신뢰구간 [+0.14, +0.78]이 0을 배제해 통계적으로 지지되며, 파셰(+0.82%p)·피셔(+0.64%p)·분위별 하위 가중치 디플레이터(+0.40%p)에서도 부호가 일관되게 유지되어 지수 공식과 표본 변동에 강건하다. 다만 12대 항목 수준에서만 바스켓을 차별화했으므로 항목 내부 품목 구성의 계층차는 반영되지 않아, 측정된 역진성은 실제 값의 하한일 수 있다.</w:t>
      </w:r>
    </w:p>
    <w:p>
      <w:r>
        <w:rPr>
          <w:b/>
          <w:bCs/>
        </w:rPr>
        <w:t xml:space="preserve">3. 후생 지표의 계층 격차. </w:t>
      </w:r>
      <w:r>
        <w:t>엥겔계수는 분위1 22.9→20.8% vs 분위5 14.4→11.6%, 슈바베계수는 분위1 22.7→21.7% vs 분위5 10.8→10.4%로, 저소득층의 식료품·주거 부담이 고소득층의 약 2배다. 엥겔계수는 전 분위에서 하향(소득 회복)하나 계층 간 격차는 지속된다.</w:t>
      </w:r>
    </w:p>
    <w:p>
      <w:r>
        <w:rPr>
          <w:b/>
          <w:bCs/>
        </w:rPr>
        <w:t xml:space="preserve">4. 계층별 소비 행태(탐색적). </w:t>
      </w:r>
      <w:r>
        <w:t>식료품 지출(엥겔) 탄력성은 대체로 e&lt;1로 필수재 성격이 지지된다(분위2만 신뢰구간이 1을 포함). 오락·문화는 분위4·5에서 신뢰구간 하한이 1을 넘어 사치재 성격이 통계적으로 지지되나, 교육은 점추정 e&gt;1이어도 모든 분위에서 신뢰구간이 1을 포함해 단정할 수 없다. 식료품 가격 1%↑ 시 비식료품 실질지출 반응 η는 분위1에서 음(−0.17%)이지만 신뢰구간이 0을 포함해 긴축 방향을 단정할 수 없고, 유일하게 유의한 분위5(+2.48%, [+1.15, +3.81])는 고소득층의 물가 충격 흡수 여력을 시사한다. CPI가 전 분위 공통이고 17분기 소표본이라 식별이 약한 탐색적 결과로, 인과 해석은 배제한다.</w:t>
      </w:r>
    </w:p>
    <w:p>
      <w:r>
        <w:rPr>
          <w:b/>
          <w:bCs/>
        </w:rPr>
        <w:t xml:space="preserve">5. 분류 정합 디플레이터의 효과. </w:t>
      </w:r>
      <w:r>
        <w:t>품목 단위 재집계 결과 정보통신 누적 물가상승률은 통신요금만 본 구분류 값(+2.3%)의 약 2배인 +4.7%로 상향(OTT·방송 등 가격 반영), 오락·문화는 +10.0%→+10.3%로 품목 기반으로 정교해졌다. 명목과 실질을 분리해 “값이 올라 더 쓴 것”과 “실제로 더(덜) 소비한 것”을 가르는 후생 해석의 토대가 된다.</w:t>
      </w:r>
    </w:p>
    <w:p>
      <w:r>
        <w:rPr>
          <w:b/>
          <w:bCs/>
        </w:rPr>
        <w:t xml:space="preserve">6. 모델 성능과 예측 가능성. </w:t>
      </w:r>
      <w:r>
        <w:t>비중 분산의 대부분은 항목×분위의 평균 수준으로 설명된다 — naive 베이스라인(항목×분위 학습기간 평균)의 검증 MAE가 0.611%p에 불과하다. 확장 윈도우 교차검증(7개 분기, 1분기 선행)에서 이 베이스라인을 능가한 모델은 RandomForest(0.480%p)뿐이며, HistGradientBoosting(0.780)·Persistence(0.813)·Linear(1.496)는 오히려 더 나빴다. 따라서 높은 검증 R²(≈0.94~0.99)는 상당 부분 항목 더미가 비중의 수준 차이를 설명한 결과이며, 모델의 실질 기여는 평균 위에서의 추세·계절 미세조정(naive 대비 약 0.16%p 개선)으로 해석해야 한다. ExtraTrees는 학습 MAE≈0의 과적합 주의 대상이고, SVR·MLP는 소표본·더미 설계에 부적합(검증 R²&lt;0.5)했다. XAI 결과 예측은 항목→소득분위 순의 안정적 구조에 의존함(허위 신호 아님)을 확인했다 — “무엇을 사느냐(항목)”가 골격을 정하고 “누가 사느냐(소득분위)”가 형태를 바꾸며, 시간은 완만한 추세·계절로 작동한다.</w:t>
      </w:r>
    </w:p>
    <w:p/>
    <w:p>
      <w:r>
        <w:rPr>
          <w:b/>
          <w:bCs/>
        </w:rPr>
        <w:t>- 결과의 통계적 신뢰성 검증:</w:t>
      </w:r>
    </w:p>
    <w:p>
      <w:r>
        <w:t>핵심 결론에 점추정뿐 아니라 불확실성·강건성 근거를 부여해 심사·논문 심의에서의 반론 여지를 줄였다. 구체적으로 ① 분기×분위 층화 가구 부트스트랩(B=500)으로 체감물가 역진성과 구조격차지수 변화에 95% 신뢰구간을 부여했고(역진성은 0 배제 → 지지, 격차 변화는 0 포함 → 고착), ② 체감물가를 라스파이레스·파셰·피셔 세 지수와 분위별 하위 가중치 디플레이터로 교차 계산해 역진성의 강건성을 확인했으며, ③ 탄력성 회귀는 HAC(Newey-West) 표준오차로 자기상관을 보정해 95% 신뢰구간과 함께 보고했고, ④ 모델은 naive 베이스라인 2종과 확장 윈도우 교차검증으로 비교해 성능의 실질 기여를 분리했다. 또한 트리 계열 모델은 학습 범위 밖의 시점을 외삽하지 못하므로, 미래 분기 전망은 구조 재현용 모델이 아닌 추세+계절 회귀가 담당하도록 역할을 명확히 분리했다.</w:t>
      </w:r>
    </w:p>
    <w:p/>
    <w:p>
      <w:r>
        <w:rPr>
          <w:b/>
          <w:bCs/>
        </w:rPr>
        <w:t>- 정책·현실 적용 시나리오:</w:t>
      </w:r>
    </w:p>
    <w:p>
      <w:r>
        <w:rPr>
          <w:b/>
          <w:bCs/>
        </w:rPr>
        <w:t xml:space="preserve">1. 타깃형 물가 대응: </w:t>
      </w:r>
      <w:r>
        <w:t>체감물가 부담이 뚜렷이 높은 분위1에 식료품·에너지 바우처를 우선 배분한다(분위2~4의 누적 체감물가는 12.62~12.70%로 격차가 0.1%p 이내라 분위1 집중이 효율적). 분위별 체감물가를 분기 모니터링 지표로 상시 산출해 지원 규모·시점을 조정한다.</w:t>
      </w:r>
    </w:p>
    <w:p>
      <w:r>
        <w:rPr>
          <w:b/>
          <w:bCs/>
        </w:rPr>
        <w:t xml:space="preserve">2. 주거비(슈바베) 안정: </w:t>
      </w:r>
      <w:r>
        <w:t>저소득층 주거비 부담이 약 22%로 고착 → 전·월세 지원, 공공임대 확대, 에너지 바우처로 슈바베계수 상승을 억제한다.</w:t>
      </w:r>
    </w:p>
    <w:p>
      <w:r>
        <w:rPr>
          <w:b/>
          <w:bCs/>
        </w:rPr>
        <w:t xml:space="preserve">3. 소비 위축 조기경보 대시보드: </w:t>
      </w:r>
      <w:r>
        <w:t>분기×분위×항목의 비중·실질지출·격차지수를 분기 갱신해 저소득층의 보건·교육 지출 감소 같은 고통스러운 긴축 신호를 선제 포착한다.</w:t>
      </w:r>
    </w:p>
    <w:p>
      <w:r>
        <w:rPr>
          <w:b/>
          <w:bCs/>
        </w:rPr>
        <w:t xml:space="preserve">4. 단기 전망 활용: </w:t>
      </w:r>
      <w:r>
        <w:t>2026Q2·Q3 소비구조 전망(예측구간 포함)으로 복지 예산·농축수산 수급을 선제 편성하고, 기업은 계층별 전망을 세그먼트 마케팅·수요예측 입력으로 활용한다.</w:t>
      </w:r>
    </w:p>
    <w:p>
      <w:r>
        <w:rPr>
          <w:b/>
          <w:bCs/>
        </w:rPr>
        <w:t xml:space="preserve">5. 공식 통계 보완·연계: </w:t>
      </w:r>
      <w:r>
        <w:t>통계청 가구특성별 물가지수(실험적통계)와 교차검증하고, 방법1 분류정합 디플레이터로 2025 분류개편 전후 시계열의 연속성·비교가능성을 확보한다.</w:t>
      </w:r>
    </w:p>
    <w:p/>
    <w:p>
      <w:r>
        <w:rPr>
          <w:b/>
          <w:bCs/>
        </w:rPr>
        <w:t>- 한계 및 향후 과제:</w:t>
      </w:r>
    </w:p>
    <w:p>
      <w:r>
        <w:t>반복 횡단면이라 동일 가구 추적이 불가하며(집단 평균의 구조 변화만 관찰), 17개 분기로는 인과·장기추세보다 기술적 진단에 적합하다. 비중·체감물가·탄력성은 상관적·기술적 증거이고, 특히 가격탄력성은 CPI가 전 분위 공통이라 식별이 약해 향후 AIDS(준이상수요체계)로의 확장이 권장된다. 계층 정의가 소득 기준 5분위이므로 자산·부채 차원은 별도 분석이 필요하며, 가구원수(균등화) 통제 민감도 분석도 보완 과제다. 또 2025 분류개편의 과거연도 소급값은 통계청 추정에 의존하므로 그 방법·품질의 한계를 공유한다. 확장 방향으로는 가구특성(연령·가구원수·맞벌이) 세분, 지역·금리·고용 등 외생변수 결합, 2025 기준 CPI 개편 반영, 예측 모델의 정식 시계열(SARIMA·Prophet) 비교가 있다.</w:t>
      </w:r>
    </w:p>
    <w:sectPr w:rsidR="00B60578" w:rsidRPr="00B6057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930CB"/>
    <w:multiLevelType w:val="hybridMultilevel"/>
    <w:tmpl w:val="349CCFD8"/>
    <w:lvl w:ilvl="0" w:tplc="78943B66"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73107FB"/>
    <w:multiLevelType w:val="hybridMultilevel"/>
    <w:tmpl w:val="A4BEA0D0"/>
    <w:lvl w:ilvl="0" w:tplc="DE9470E0">
      <w:start w:val="1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FC33BFE"/>
    <w:multiLevelType w:val="hybridMultilevel"/>
    <w:tmpl w:val="69F0721C"/>
    <w:lvl w:ilvl="0" w:tplc="06A2D16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60A16F4"/>
    <w:multiLevelType w:val="hybridMultilevel"/>
    <w:tmpl w:val="2FD68468"/>
    <w:lvl w:ilvl="0" w:tplc="F3189F42"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71D423C2"/>
    <w:multiLevelType w:val="hybridMultilevel"/>
    <w:tmpl w:val="4F02859E"/>
    <w:lvl w:ilvl="0" w:tplc="FD5A1C2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86415517">
    <w:abstractNumId w:val="4"/>
  </w:num>
  <w:num w:numId="2" w16cid:durableId="1545562802">
    <w:abstractNumId w:val="2"/>
  </w:num>
  <w:num w:numId="3" w16cid:durableId="642471102">
    <w:abstractNumId w:val="0"/>
  </w:num>
  <w:num w:numId="4" w16cid:durableId="1078751679">
    <w:abstractNumId w:val="3"/>
  </w:num>
  <w:num w:numId="5" w16cid:durableId="568274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FCC"/>
    <w:rsid w:val="000D5DF5"/>
    <w:rsid w:val="00290FCC"/>
    <w:rsid w:val="003F1955"/>
    <w:rsid w:val="004E6C99"/>
    <w:rsid w:val="00722C5E"/>
    <w:rsid w:val="007666DC"/>
    <w:rsid w:val="00860F9C"/>
    <w:rsid w:val="00B60578"/>
    <w:rsid w:val="00C25C72"/>
    <w:rsid w:val="00C50F2A"/>
    <w:rsid w:val="00D45E69"/>
    <w:rsid w:val="00EC5C27"/>
    <w:rsid w:val="00F7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71FD0"/>
  <w15:chartTrackingRefBased/>
  <w15:docId w15:val="{D0C89B64-5A60-4E2F-8F04-F9BFA433B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90FC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90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90F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90FC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90FC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90FC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90FC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90FC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90FC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90FC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90FC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90FC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90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90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90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90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90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90FC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90F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90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90F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90F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90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90FC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90FC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90FC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90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90FC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90FC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4E6C9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정민 서</dc:creator>
  <cp:keywords/>
  <dc:description/>
  <cp:lastModifiedBy>정민 서</cp:lastModifiedBy>
  <cp:revision>5</cp:revision>
  <dcterms:created xsi:type="dcterms:W3CDTF">2026-06-09T04:56:00Z</dcterms:created>
  <dcterms:modified xsi:type="dcterms:W3CDTF">2026-06-09T06:19:00Z</dcterms:modified>
</cp:coreProperties>
</file>