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0"/>
        <w:tblW w:w="0" w:type="auto"/>
        <w:tblLayout w:type="fixed"/>
        <w:tblLook w:val="04A0" w:firstRow="1" w:lastRow="0" w:firstColumn="1" w:lastColumn="0" w:noHBand="0" w:noVBand="1"/>
      </w:tblPr>
      <w:tblGrid>
        <w:gridCol w:w="1134"/>
        <w:gridCol w:w="2694"/>
        <w:gridCol w:w="5198"/>
      </w:tblGrid>
      <w:tr w:rsidR="00A00F05" w:rsidRPr="00A00F05" w14:paraId="2885E9C1" w14:textId="77777777" w:rsidTr="007F2F23">
        <w:trPr>
          <w:cnfStyle w:val="100000000000" w:firstRow="1" w:lastRow="0" w:firstColumn="0" w:lastColumn="0" w:oddVBand="0" w:evenVBand="0" w:oddHBand="0" w:evenHBand="0" w:firstRowFirstColumn="0" w:firstRowLastColumn="0" w:lastRowFirstColumn="0" w:lastRowLastColumn="0"/>
          <w:trHeight w:val="142"/>
        </w:trPr>
        <w:tc>
          <w:tcPr>
            <w:cnfStyle w:val="001000000100" w:firstRow="0" w:lastRow="0" w:firstColumn="1" w:lastColumn="0" w:oddVBand="0" w:evenVBand="0" w:oddHBand="0" w:evenHBand="0" w:firstRowFirstColumn="1" w:firstRowLastColumn="0" w:lastRowFirstColumn="0" w:lastRowLastColumn="0"/>
            <w:tcW w:w="1134" w:type="dxa"/>
            <w:vAlign w:val="center"/>
            <w:hideMark/>
          </w:tcPr>
          <w:p w14:paraId="011E8979" w14:textId="77777777" w:rsidR="00A00F05" w:rsidRPr="00A00F05" w:rsidRDefault="00A00F05" w:rsidP="007F2F23">
            <w:pPr>
              <w:spacing w:after="160"/>
              <w:jc w:val="both"/>
              <w:rPr>
                <w:rFonts w:eastAsiaTheme="majorHAnsi"/>
                <w:b/>
                <w:bCs/>
                <w:sz w:val="18"/>
                <w:szCs w:val="20"/>
              </w:rPr>
            </w:pPr>
            <w:r w:rsidRPr="00A00F05">
              <w:rPr>
                <w:rFonts w:eastAsiaTheme="majorHAnsi"/>
                <w:b/>
                <w:bCs/>
                <w:sz w:val="18"/>
                <w:szCs w:val="20"/>
              </w:rPr>
              <w:t>연구</w:t>
            </w:r>
          </w:p>
        </w:tc>
        <w:tc>
          <w:tcPr>
            <w:tcW w:w="2694" w:type="dxa"/>
            <w:vAlign w:val="center"/>
            <w:hideMark/>
          </w:tcPr>
          <w:p w14:paraId="0B8C9245" w14:textId="77777777" w:rsidR="00A00F05" w:rsidRPr="00A00F05" w:rsidRDefault="00A00F05" w:rsidP="007F2F23">
            <w:pPr>
              <w:spacing w:after="160"/>
              <w:jc w:val="both"/>
              <w:cnfStyle w:val="100000000000" w:firstRow="1" w:lastRow="0" w:firstColumn="0" w:lastColumn="0" w:oddVBand="0" w:evenVBand="0" w:oddHBand="0" w:evenHBand="0" w:firstRowFirstColumn="0" w:firstRowLastColumn="0" w:lastRowFirstColumn="0" w:lastRowLastColumn="0"/>
              <w:rPr>
                <w:rFonts w:eastAsiaTheme="majorHAnsi"/>
                <w:b/>
                <w:bCs/>
                <w:sz w:val="18"/>
                <w:szCs w:val="20"/>
              </w:rPr>
            </w:pPr>
            <w:r w:rsidRPr="00A00F05">
              <w:rPr>
                <w:rFonts w:eastAsiaTheme="majorHAnsi"/>
                <w:b/>
                <w:bCs/>
                <w:sz w:val="18"/>
                <w:szCs w:val="20"/>
              </w:rPr>
              <w:t>핵심 연구 관점</w:t>
            </w:r>
          </w:p>
        </w:tc>
        <w:tc>
          <w:tcPr>
            <w:tcW w:w="5198" w:type="dxa"/>
            <w:vAlign w:val="center"/>
            <w:hideMark/>
          </w:tcPr>
          <w:p w14:paraId="2AD42B17" w14:textId="77777777" w:rsidR="00A00F05" w:rsidRPr="00A00F05" w:rsidRDefault="00A00F05" w:rsidP="007F2F23">
            <w:pPr>
              <w:spacing w:after="160"/>
              <w:jc w:val="both"/>
              <w:cnfStyle w:val="100000000000" w:firstRow="1" w:lastRow="0" w:firstColumn="0" w:lastColumn="0" w:oddVBand="0" w:evenVBand="0" w:oddHBand="0" w:evenHBand="0" w:firstRowFirstColumn="0" w:firstRowLastColumn="0" w:lastRowFirstColumn="0" w:lastRowLastColumn="0"/>
              <w:rPr>
                <w:rFonts w:eastAsiaTheme="majorHAnsi"/>
                <w:b/>
                <w:bCs/>
                <w:sz w:val="18"/>
                <w:szCs w:val="20"/>
              </w:rPr>
            </w:pPr>
            <w:r w:rsidRPr="00A00F05">
              <w:rPr>
                <w:rFonts w:eastAsiaTheme="majorHAnsi"/>
                <w:b/>
                <w:bCs/>
                <w:sz w:val="18"/>
                <w:szCs w:val="20"/>
              </w:rPr>
              <w:t>주요 실험 및 검증 내용</w:t>
            </w:r>
          </w:p>
        </w:tc>
      </w:tr>
      <w:tr w:rsidR="00A00F05" w:rsidRPr="00A00F05" w14:paraId="27C552B8" w14:textId="77777777" w:rsidTr="007F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34655958" w14:textId="77777777" w:rsidR="00A00F05" w:rsidRPr="00A00F05" w:rsidRDefault="00A00F05" w:rsidP="007F2F23">
            <w:pPr>
              <w:spacing w:after="160"/>
              <w:jc w:val="both"/>
              <w:rPr>
                <w:rFonts w:eastAsiaTheme="majorHAnsi"/>
                <w:sz w:val="18"/>
                <w:szCs w:val="20"/>
              </w:rPr>
            </w:pPr>
            <w:r w:rsidRPr="00A00F05">
              <w:rPr>
                <w:rFonts w:eastAsiaTheme="majorHAnsi"/>
                <w:sz w:val="18"/>
                <w:szCs w:val="20"/>
              </w:rPr>
              <w:t>Jones et al. (2023)</w:t>
            </w:r>
          </w:p>
        </w:tc>
        <w:tc>
          <w:tcPr>
            <w:tcW w:w="2694" w:type="dxa"/>
            <w:vAlign w:val="center"/>
            <w:hideMark/>
          </w:tcPr>
          <w:p w14:paraId="2F2162B5" w14:textId="77777777" w:rsidR="00A00F05" w:rsidRPr="00A00F05" w:rsidRDefault="00A00F05" w:rsidP="007F2F23">
            <w:pPr>
              <w:spacing w:after="160"/>
              <w:jc w:val="both"/>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18"/>
                <w:szCs w:val="20"/>
              </w:rPr>
            </w:pPr>
            <w:proofErr w:type="spellStart"/>
            <w:r w:rsidRPr="00A00F05">
              <w:rPr>
                <w:rFonts w:asciiTheme="majorHAnsi" w:eastAsiaTheme="majorHAnsi" w:hAnsiTheme="majorHAnsi"/>
                <w:sz w:val="18"/>
                <w:szCs w:val="20"/>
              </w:rPr>
              <w:t>머신러닝의</w:t>
            </w:r>
            <w:proofErr w:type="spellEnd"/>
            <w:r w:rsidRPr="00A00F05">
              <w:rPr>
                <w:rFonts w:asciiTheme="majorHAnsi" w:eastAsiaTheme="majorHAnsi" w:hAnsiTheme="majorHAnsi"/>
                <w:sz w:val="18"/>
                <w:szCs w:val="20"/>
              </w:rPr>
              <w:t xml:space="preserve"> 미래 수익성 변화량 예측력과 비선형 관계의 설명 가능성</w:t>
            </w:r>
          </w:p>
        </w:tc>
        <w:tc>
          <w:tcPr>
            <w:tcW w:w="5198" w:type="dxa"/>
            <w:vAlign w:val="center"/>
            <w:hideMark/>
          </w:tcPr>
          <w:p w14:paraId="2ED47626" w14:textId="62483955" w:rsidR="00A00F05" w:rsidRPr="00A00F05" w:rsidRDefault="00A00F05" w:rsidP="007F2F23">
            <w:pPr>
              <w:spacing w:after="160"/>
              <w:jc w:val="both"/>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① </w:t>
            </w:r>
            <w:proofErr w:type="spellStart"/>
            <w:r w:rsidRPr="00A00F05">
              <w:rPr>
                <w:rFonts w:asciiTheme="majorHAnsi" w:eastAsiaTheme="majorHAnsi" w:hAnsiTheme="majorHAnsi"/>
                <w:sz w:val="18"/>
                <w:szCs w:val="20"/>
              </w:rPr>
              <w:t>머신러닝</w:t>
            </w:r>
            <w:proofErr w:type="spellEnd"/>
            <w:r w:rsidRPr="00A00F05">
              <w:rPr>
                <w:rFonts w:asciiTheme="majorHAnsi" w:eastAsiaTheme="majorHAnsi" w:hAnsiTheme="majorHAnsi"/>
                <w:sz w:val="18"/>
                <w:szCs w:val="20"/>
              </w:rPr>
              <w:t xml:space="preserve">·OLS·단순 기준모형 간 OOS 성능 비교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② 변수 중요도 및 PDP를 통한 비선형 관계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③ 재무변수 간 상호작용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④ 핵심 변수 6개와 확장 변수 70개의 예측력 비교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⑤ 예측 타깃·알고리즘 변경을 통한 강건성 검증 </w:t>
            </w:r>
            <w:r>
              <w:rPr>
                <w:rFonts w:asciiTheme="majorHAnsi" w:eastAsiaTheme="majorHAnsi" w:hAnsiTheme="majorHAnsi"/>
                <w:sz w:val="18"/>
                <w:szCs w:val="20"/>
              </w:rPr>
              <w:br/>
            </w:r>
            <w:r w:rsidRPr="00A00F05">
              <w:rPr>
                <w:rFonts w:asciiTheme="majorHAnsi" w:eastAsiaTheme="majorHAnsi" w:hAnsiTheme="majorHAnsi"/>
                <w:sz w:val="18"/>
                <w:szCs w:val="20"/>
              </w:rPr>
              <w:t>⑥ 예측 기반 투자 포트폴리오의 경제적 유의성 검증</w:t>
            </w:r>
          </w:p>
        </w:tc>
      </w:tr>
      <w:tr w:rsidR="00A00F05" w:rsidRPr="00A00F05" w14:paraId="18DF827F" w14:textId="77777777" w:rsidTr="007F2F2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8031830" w14:textId="77777777" w:rsidR="00A00F05" w:rsidRPr="00A00F05" w:rsidRDefault="00A00F05" w:rsidP="007F2F23">
            <w:pPr>
              <w:spacing w:after="160"/>
              <w:jc w:val="both"/>
              <w:rPr>
                <w:rFonts w:eastAsiaTheme="majorHAnsi"/>
                <w:sz w:val="18"/>
                <w:szCs w:val="20"/>
              </w:rPr>
            </w:pPr>
            <w:r w:rsidRPr="00A00F05">
              <w:rPr>
                <w:rFonts w:eastAsiaTheme="majorHAnsi"/>
                <w:sz w:val="18"/>
                <w:szCs w:val="20"/>
              </w:rPr>
              <w:t>Chen et al. (2022)</w:t>
            </w:r>
          </w:p>
        </w:tc>
        <w:tc>
          <w:tcPr>
            <w:tcW w:w="2694" w:type="dxa"/>
            <w:vAlign w:val="center"/>
            <w:hideMark/>
          </w:tcPr>
          <w:p w14:paraId="09C3BDE3" w14:textId="77777777" w:rsidR="00A00F05" w:rsidRPr="00A00F05" w:rsidRDefault="00A00F05" w:rsidP="007F2F23">
            <w:pPr>
              <w:spacing w:after="160"/>
              <w:jc w:val="both"/>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고차원 재무정보와 </w:t>
            </w:r>
            <w:proofErr w:type="spellStart"/>
            <w:r w:rsidRPr="00A00F05">
              <w:rPr>
                <w:rFonts w:asciiTheme="majorHAnsi" w:eastAsiaTheme="majorHAnsi" w:hAnsiTheme="majorHAnsi"/>
                <w:sz w:val="18"/>
                <w:szCs w:val="20"/>
              </w:rPr>
              <w:t>머신러닝의</w:t>
            </w:r>
            <w:proofErr w:type="spellEnd"/>
            <w:r w:rsidRPr="00A00F05">
              <w:rPr>
                <w:rFonts w:asciiTheme="majorHAnsi" w:eastAsiaTheme="majorHAnsi" w:hAnsiTheme="majorHAnsi"/>
                <w:sz w:val="18"/>
                <w:szCs w:val="20"/>
              </w:rPr>
              <w:t xml:space="preserve"> 추가 예측력 및 경제적 활용 가치</w:t>
            </w:r>
          </w:p>
        </w:tc>
        <w:tc>
          <w:tcPr>
            <w:tcW w:w="5198" w:type="dxa"/>
            <w:vAlign w:val="center"/>
            <w:hideMark/>
          </w:tcPr>
          <w:p w14:paraId="355855C7" w14:textId="2F23D02D" w:rsidR="00A00F05" w:rsidRPr="00A00F05" w:rsidRDefault="00A00F05" w:rsidP="007F2F23">
            <w:pPr>
              <w:spacing w:after="160"/>
              <w:jc w:val="both"/>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① </w:t>
            </w:r>
            <w:proofErr w:type="spellStart"/>
            <w:r w:rsidRPr="00A00F05">
              <w:rPr>
                <w:rFonts w:asciiTheme="majorHAnsi" w:eastAsiaTheme="majorHAnsi" w:hAnsiTheme="majorHAnsi"/>
                <w:sz w:val="18"/>
                <w:szCs w:val="20"/>
              </w:rPr>
              <w:t>머신러닝</w:t>
            </w:r>
            <w:proofErr w:type="spellEnd"/>
            <w:r w:rsidRPr="00A00F05">
              <w:rPr>
                <w:rFonts w:asciiTheme="majorHAnsi" w:eastAsiaTheme="majorHAnsi" w:hAnsiTheme="majorHAnsi"/>
                <w:sz w:val="18"/>
                <w:szCs w:val="20"/>
              </w:rPr>
              <w:t xml:space="preserve"> 기반 미래 이익 증감 방향 예측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② 알고리즘과 변수집합의 기여 구분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③ 기존 회계모형·애널리스트 예측과 성능 비교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④ 예측 확률 기반 투자 포트폴리오 평가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⑤ 데이터 품질에 따른 예측력 차이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⑥ 이익 수준·변화량·방향별 예측 성능 비교 </w:t>
            </w:r>
            <w:r>
              <w:rPr>
                <w:rFonts w:asciiTheme="majorHAnsi" w:eastAsiaTheme="majorHAnsi" w:hAnsiTheme="majorHAnsi"/>
                <w:sz w:val="18"/>
                <w:szCs w:val="20"/>
              </w:rPr>
              <w:br/>
            </w:r>
            <w:r w:rsidRPr="00A00F05">
              <w:rPr>
                <w:rFonts w:asciiTheme="majorHAnsi" w:eastAsiaTheme="majorHAnsi" w:hAnsiTheme="majorHAnsi"/>
                <w:sz w:val="18"/>
                <w:szCs w:val="20"/>
              </w:rPr>
              <w:t>⑦ 변수 중요도 및 정보군별 기여 분석</w:t>
            </w:r>
          </w:p>
        </w:tc>
      </w:tr>
      <w:tr w:rsidR="00A00F05" w:rsidRPr="00A00F05" w14:paraId="18A7BF10" w14:textId="77777777" w:rsidTr="007F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519DF563" w14:textId="77777777" w:rsidR="00A00F05" w:rsidRPr="00A00F05" w:rsidRDefault="00A00F05" w:rsidP="007F2F23">
            <w:pPr>
              <w:spacing w:after="160"/>
              <w:jc w:val="both"/>
              <w:rPr>
                <w:rFonts w:eastAsiaTheme="majorHAnsi"/>
                <w:sz w:val="18"/>
                <w:szCs w:val="20"/>
              </w:rPr>
            </w:pPr>
            <w:proofErr w:type="spellStart"/>
            <w:r w:rsidRPr="00A00F05">
              <w:rPr>
                <w:rFonts w:eastAsiaTheme="majorHAnsi"/>
                <w:sz w:val="18"/>
                <w:szCs w:val="20"/>
              </w:rPr>
              <w:t>Eslahi</w:t>
            </w:r>
            <w:proofErr w:type="spellEnd"/>
            <w:r w:rsidRPr="00A00F05">
              <w:rPr>
                <w:rFonts w:eastAsiaTheme="majorHAnsi"/>
                <w:sz w:val="18"/>
                <w:szCs w:val="20"/>
              </w:rPr>
              <w:t xml:space="preserve"> et al. (2025)</w:t>
            </w:r>
          </w:p>
        </w:tc>
        <w:tc>
          <w:tcPr>
            <w:tcW w:w="2694" w:type="dxa"/>
            <w:vAlign w:val="center"/>
            <w:hideMark/>
          </w:tcPr>
          <w:p w14:paraId="33DBBA19" w14:textId="77777777" w:rsidR="00A00F05" w:rsidRPr="00A00F05" w:rsidRDefault="00A00F05" w:rsidP="007F2F23">
            <w:pPr>
              <w:spacing w:after="160"/>
              <w:jc w:val="both"/>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재무·환경성과의 상대적 중요도에 따른 탄소가격의 비선형적 예측관계</w:t>
            </w:r>
          </w:p>
        </w:tc>
        <w:tc>
          <w:tcPr>
            <w:tcW w:w="5198" w:type="dxa"/>
            <w:vAlign w:val="center"/>
            <w:hideMark/>
          </w:tcPr>
          <w:p w14:paraId="0F7F107A" w14:textId="3ED037E2" w:rsidR="00A00F05" w:rsidRPr="00A00F05" w:rsidRDefault="00A00F05" w:rsidP="007F2F23">
            <w:pPr>
              <w:spacing w:after="160"/>
              <w:jc w:val="both"/>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① EBITDA Margin과 탄소배출량의 가중합으로 11개 복합 성과지수 구성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② 지수별 </w:t>
            </w:r>
            <w:proofErr w:type="spellStart"/>
            <w:r w:rsidRPr="00A00F05">
              <w:rPr>
                <w:rFonts w:asciiTheme="majorHAnsi" w:eastAsiaTheme="majorHAnsi" w:hAnsiTheme="majorHAnsi"/>
                <w:sz w:val="18"/>
                <w:szCs w:val="20"/>
              </w:rPr>
              <w:t>XGBoost</w:t>
            </w:r>
            <w:proofErr w:type="spellEnd"/>
            <w:r w:rsidRPr="00A00F05">
              <w:rPr>
                <w:rFonts w:asciiTheme="majorHAnsi" w:eastAsiaTheme="majorHAnsi" w:hAnsiTheme="majorHAnsi"/>
                <w:sz w:val="18"/>
                <w:szCs w:val="20"/>
              </w:rPr>
              <w:t xml:space="preserve"> 모델 학습 및 기업 단위 교차검증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③ ALE를 활용한 탄소가격의 비선형 예측관계 분석 </w:t>
            </w:r>
            <w:r>
              <w:rPr>
                <w:rFonts w:asciiTheme="majorHAnsi" w:eastAsiaTheme="majorHAnsi" w:hAnsiTheme="majorHAnsi"/>
                <w:sz w:val="18"/>
                <w:szCs w:val="20"/>
              </w:rPr>
              <w:br/>
            </w:r>
            <w:r w:rsidRPr="00A00F05">
              <w:rPr>
                <w:rFonts w:asciiTheme="majorHAnsi" w:eastAsiaTheme="majorHAnsi" w:hAnsiTheme="majorHAnsi"/>
                <w:sz w:val="18"/>
                <w:szCs w:val="20"/>
              </w:rPr>
              <w:t>④ 성과지수 가중치에 따른 탄소가격 반응 곡선 비교</w:t>
            </w:r>
          </w:p>
        </w:tc>
      </w:tr>
      <w:tr w:rsidR="00A00F05" w:rsidRPr="00A00F05" w14:paraId="5D049F62" w14:textId="77777777" w:rsidTr="007F2F2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765978C3" w14:textId="77777777" w:rsidR="00A00F05" w:rsidRPr="00A00F05" w:rsidRDefault="00A00F05" w:rsidP="007F2F23">
            <w:pPr>
              <w:spacing w:after="160"/>
              <w:jc w:val="both"/>
              <w:rPr>
                <w:rFonts w:eastAsiaTheme="majorHAnsi"/>
                <w:sz w:val="18"/>
                <w:szCs w:val="20"/>
              </w:rPr>
            </w:pPr>
            <w:r w:rsidRPr="00A00F05">
              <w:rPr>
                <w:rFonts w:eastAsiaTheme="majorHAnsi"/>
                <w:sz w:val="18"/>
                <w:szCs w:val="20"/>
              </w:rPr>
              <w:t>Kalantzis et al. (2025)</w:t>
            </w:r>
          </w:p>
        </w:tc>
        <w:tc>
          <w:tcPr>
            <w:tcW w:w="2694" w:type="dxa"/>
            <w:vAlign w:val="center"/>
            <w:hideMark/>
          </w:tcPr>
          <w:p w14:paraId="617ADAA2" w14:textId="77777777" w:rsidR="00A00F05" w:rsidRPr="00A00F05" w:rsidRDefault="00A00F05" w:rsidP="007F2F23">
            <w:pPr>
              <w:spacing w:after="160"/>
              <w:jc w:val="both"/>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탄소규제의 실제 비용 부담과 기업별 대응 방식의 이질성</w:t>
            </w:r>
          </w:p>
        </w:tc>
        <w:tc>
          <w:tcPr>
            <w:tcW w:w="5198" w:type="dxa"/>
            <w:vAlign w:val="center"/>
            <w:hideMark/>
          </w:tcPr>
          <w:p w14:paraId="41225430" w14:textId="34EFB6F2" w:rsidR="00A00F05" w:rsidRPr="00A00F05" w:rsidRDefault="00A00F05" w:rsidP="007F2F23">
            <w:pPr>
              <w:spacing w:after="160"/>
              <w:jc w:val="both"/>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① 환경규제 강화와 매출·비용·이익·투자의 관계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② ETS 참여 여부 및 </w:t>
            </w:r>
            <w:proofErr w:type="spellStart"/>
            <w:r w:rsidRPr="00A00F05">
              <w:rPr>
                <w:rFonts w:asciiTheme="majorHAnsi" w:eastAsiaTheme="majorHAnsi" w:hAnsiTheme="majorHAnsi"/>
                <w:sz w:val="18"/>
                <w:szCs w:val="20"/>
              </w:rPr>
              <w:t>배출권</w:t>
            </w:r>
            <w:proofErr w:type="spellEnd"/>
            <w:r w:rsidRPr="00A00F05">
              <w:rPr>
                <w:rFonts w:asciiTheme="majorHAnsi" w:eastAsiaTheme="majorHAnsi" w:hAnsiTheme="majorHAnsi"/>
                <w:sz w:val="18"/>
                <w:szCs w:val="20"/>
              </w:rPr>
              <w:t xml:space="preserve"> 구매부담에 따른 집단별 비교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③ 규제 강화에 따른 고정자산 투자 반응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④ 유형·무형자산 투자 구성 비교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⑤ 탄소가격 수준과 변동성의 영향 구분 </w:t>
            </w:r>
            <w:r>
              <w:rPr>
                <w:rFonts w:asciiTheme="majorHAnsi" w:eastAsiaTheme="majorHAnsi" w:hAnsiTheme="majorHAnsi"/>
                <w:sz w:val="18"/>
                <w:szCs w:val="20"/>
              </w:rPr>
              <w:br/>
            </w:r>
            <w:r w:rsidRPr="00A00F05">
              <w:rPr>
                <w:rFonts w:asciiTheme="majorHAnsi" w:eastAsiaTheme="majorHAnsi" w:hAnsiTheme="majorHAnsi"/>
                <w:sz w:val="18"/>
                <w:szCs w:val="20"/>
              </w:rPr>
              <w:t>⑥ 재무건전성 통제 및 분위회귀 강건성 검증</w:t>
            </w:r>
          </w:p>
        </w:tc>
      </w:tr>
      <w:tr w:rsidR="00A00F05" w:rsidRPr="00A00F05" w14:paraId="2C27B900" w14:textId="77777777" w:rsidTr="007F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15636CAA" w14:textId="77777777" w:rsidR="00A00F05" w:rsidRPr="00A00F05" w:rsidRDefault="00A00F05" w:rsidP="007F2F23">
            <w:pPr>
              <w:spacing w:after="160"/>
              <w:jc w:val="both"/>
              <w:rPr>
                <w:rFonts w:eastAsiaTheme="majorHAnsi"/>
                <w:sz w:val="18"/>
                <w:szCs w:val="20"/>
              </w:rPr>
            </w:pPr>
            <w:r w:rsidRPr="00A00F05">
              <w:rPr>
                <w:rFonts w:eastAsiaTheme="majorHAnsi"/>
                <w:sz w:val="18"/>
                <w:szCs w:val="20"/>
              </w:rPr>
              <w:t>Makridou et al. (2019)</w:t>
            </w:r>
          </w:p>
        </w:tc>
        <w:tc>
          <w:tcPr>
            <w:tcW w:w="2694" w:type="dxa"/>
            <w:vAlign w:val="center"/>
            <w:hideMark/>
          </w:tcPr>
          <w:p w14:paraId="224C651D" w14:textId="77777777" w:rsidR="00A00F05" w:rsidRPr="00A00F05" w:rsidRDefault="00A00F05" w:rsidP="007F2F23">
            <w:pPr>
              <w:spacing w:after="160"/>
              <w:jc w:val="both"/>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재무·거시·에너지·탄소 변수의 단계적 추가와 기업 수익성의 관계</w:t>
            </w:r>
          </w:p>
        </w:tc>
        <w:tc>
          <w:tcPr>
            <w:tcW w:w="5198" w:type="dxa"/>
            <w:vAlign w:val="center"/>
            <w:hideMark/>
          </w:tcPr>
          <w:p w14:paraId="67CFDB94" w14:textId="06A7468D" w:rsidR="00A00F05" w:rsidRPr="00A00F05" w:rsidRDefault="00A00F05" w:rsidP="007F2F23">
            <w:pPr>
              <w:spacing w:after="160"/>
              <w:jc w:val="both"/>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① 재무·거시변수 기준모형(M1) 구성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② 에너지시장·탄소가격 변수 추가(M2)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③ </w:t>
            </w:r>
            <w:proofErr w:type="spellStart"/>
            <w:r w:rsidRPr="00A00F05">
              <w:rPr>
                <w:rFonts w:asciiTheme="majorHAnsi" w:eastAsiaTheme="majorHAnsi" w:hAnsiTheme="majorHAnsi"/>
                <w:sz w:val="18"/>
                <w:szCs w:val="20"/>
              </w:rPr>
              <w:t>배출권</w:t>
            </w:r>
            <w:proofErr w:type="spellEnd"/>
            <w:r w:rsidRPr="00A00F05">
              <w:rPr>
                <w:rFonts w:asciiTheme="majorHAnsi" w:eastAsiaTheme="majorHAnsi" w:hAnsiTheme="majorHAnsi"/>
                <w:sz w:val="18"/>
                <w:szCs w:val="20"/>
              </w:rPr>
              <w:t xml:space="preserve"> 할당비율 추가(M3)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④ 탄소집약도 추가(M4)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⑤ 탄소 변수 통합모형(M5) 비교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⑥ 국가·산업·기업·시점별 분산 분해 </w:t>
            </w:r>
            <w:r>
              <w:rPr>
                <w:rFonts w:asciiTheme="majorHAnsi" w:eastAsiaTheme="majorHAnsi" w:hAnsiTheme="majorHAnsi"/>
                <w:sz w:val="18"/>
                <w:szCs w:val="20"/>
              </w:rPr>
              <w:br/>
            </w:r>
            <w:r w:rsidRPr="00A00F05">
              <w:rPr>
                <w:rFonts w:asciiTheme="majorHAnsi" w:eastAsiaTheme="majorHAnsi" w:hAnsiTheme="majorHAnsi"/>
                <w:sz w:val="18"/>
                <w:szCs w:val="20"/>
              </w:rPr>
              <w:t>⑦ EU ETS 계획기간별 수익성 관련 요인 비교</w:t>
            </w:r>
          </w:p>
        </w:tc>
      </w:tr>
      <w:tr w:rsidR="00A00F05" w:rsidRPr="00A00F05" w14:paraId="2580C69D" w14:textId="77777777" w:rsidTr="007F2F23">
        <w:tc>
          <w:tcPr>
            <w:cnfStyle w:val="001000000000" w:firstRow="0" w:lastRow="0" w:firstColumn="1" w:lastColumn="0" w:oddVBand="0" w:evenVBand="0" w:oddHBand="0" w:evenHBand="0" w:firstRowFirstColumn="0" w:firstRowLastColumn="0" w:lastRowFirstColumn="0" w:lastRowLastColumn="0"/>
            <w:tcW w:w="1134" w:type="dxa"/>
            <w:vAlign w:val="center"/>
            <w:hideMark/>
          </w:tcPr>
          <w:p w14:paraId="0AF0EEA0" w14:textId="77777777" w:rsidR="00A00F05" w:rsidRPr="00A00F05" w:rsidRDefault="00A00F05" w:rsidP="007F2F23">
            <w:pPr>
              <w:spacing w:after="160"/>
              <w:jc w:val="both"/>
              <w:rPr>
                <w:rFonts w:eastAsiaTheme="majorHAnsi"/>
                <w:sz w:val="18"/>
                <w:szCs w:val="20"/>
              </w:rPr>
            </w:pPr>
            <w:r w:rsidRPr="00A00F05">
              <w:rPr>
                <w:rFonts w:eastAsiaTheme="majorHAnsi"/>
                <w:sz w:val="18"/>
                <w:szCs w:val="20"/>
              </w:rPr>
              <w:t>Park et al. (2024)</w:t>
            </w:r>
          </w:p>
        </w:tc>
        <w:tc>
          <w:tcPr>
            <w:tcW w:w="2694" w:type="dxa"/>
            <w:vAlign w:val="center"/>
            <w:hideMark/>
          </w:tcPr>
          <w:p w14:paraId="57FF1763" w14:textId="77777777" w:rsidR="00A00F05" w:rsidRPr="00A00F05" w:rsidRDefault="00A00F05" w:rsidP="007F2F23">
            <w:pPr>
              <w:spacing w:after="160"/>
              <w:jc w:val="both"/>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K-ETS 도입에 따른 단기 수익성·장기 기업가치 변화와 기업별 차이</w:t>
            </w:r>
          </w:p>
        </w:tc>
        <w:tc>
          <w:tcPr>
            <w:tcW w:w="5198" w:type="dxa"/>
            <w:vAlign w:val="center"/>
            <w:hideMark/>
          </w:tcPr>
          <w:p w14:paraId="703111B2" w14:textId="31F13CD5" w:rsidR="00A00F05" w:rsidRPr="00A00F05" w:rsidRDefault="00A00F05" w:rsidP="007F2F23">
            <w:pPr>
              <w:spacing w:after="160"/>
              <w:jc w:val="both"/>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sz w:val="18"/>
                <w:szCs w:val="20"/>
              </w:rPr>
            </w:pPr>
            <w:r w:rsidRPr="00A00F05">
              <w:rPr>
                <w:rFonts w:asciiTheme="majorHAnsi" w:eastAsiaTheme="majorHAnsi" w:hAnsiTheme="majorHAnsi"/>
                <w:sz w:val="18"/>
                <w:szCs w:val="20"/>
              </w:rPr>
              <w:t xml:space="preserve">① DID를 통한 탄소배출량 변화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② 환경등급 변화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③ 단기 수익성(ROA) 변화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④ 장기 기업가치(Tobin's Q) 변화 분석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⑤ 평행추세 및 시점별 효과 검증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⑥ 기업가치 변화 관련 위험·ESG 요인 탐색 </w:t>
            </w:r>
            <w:r>
              <w:rPr>
                <w:rFonts w:asciiTheme="majorHAnsi" w:eastAsiaTheme="majorHAnsi" w:hAnsiTheme="majorHAnsi"/>
                <w:sz w:val="18"/>
                <w:szCs w:val="20"/>
              </w:rPr>
              <w:br/>
            </w:r>
            <w:r w:rsidRPr="00A00F05">
              <w:rPr>
                <w:rFonts w:asciiTheme="majorHAnsi" w:eastAsiaTheme="majorHAnsi" w:hAnsiTheme="majorHAnsi"/>
                <w:sz w:val="18"/>
                <w:szCs w:val="20"/>
              </w:rPr>
              <w:t xml:space="preserve">⑦ 외국인 지분율·탄소배출 수준별 이질성 분석 </w:t>
            </w:r>
            <w:r>
              <w:rPr>
                <w:rFonts w:asciiTheme="majorHAnsi" w:eastAsiaTheme="majorHAnsi" w:hAnsiTheme="majorHAnsi"/>
                <w:sz w:val="18"/>
                <w:szCs w:val="20"/>
              </w:rPr>
              <w:br/>
            </w:r>
            <w:r w:rsidRPr="00A00F05">
              <w:rPr>
                <w:rFonts w:asciiTheme="majorHAnsi" w:eastAsiaTheme="majorHAnsi" w:hAnsiTheme="majorHAnsi"/>
                <w:sz w:val="18"/>
                <w:szCs w:val="20"/>
              </w:rPr>
              <w:t>⑧ 가상 규제 도입 시점을 활용한 Placebo Test</w:t>
            </w:r>
          </w:p>
        </w:tc>
      </w:tr>
    </w:tbl>
    <w:p w14:paraId="6A82FA7E" w14:textId="77777777" w:rsidR="007F2F23" w:rsidRPr="00D006B4" w:rsidRDefault="007F2F23" w:rsidP="007F2F23">
      <w:pPr>
        <w:rPr>
          <w:rFonts w:asciiTheme="majorHAnsi" w:eastAsiaTheme="majorHAnsi" w:hAnsiTheme="majorHAnsi"/>
          <w:b/>
          <w:bCs/>
          <w:sz w:val="24"/>
          <w:szCs w:val="28"/>
        </w:rPr>
      </w:pPr>
      <w:r w:rsidRPr="00D006B4">
        <w:rPr>
          <w:rFonts w:asciiTheme="majorHAnsi" w:eastAsiaTheme="majorHAnsi" w:hAnsiTheme="majorHAnsi"/>
          <w:b/>
          <w:bCs/>
          <w:sz w:val="24"/>
          <w:szCs w:val="28"/>
        </w:rPr>
        <w:lastRenderedPageBreak/>
        <w:t>선행연구 6편 실험 설계 및 주요 결과 정리</w:t>
      </w:r>
    </w:p>
    <w:p w14:paraId="3DD0B374" w14:textId="77777777" w:rsidR="007F2F23" w:rsidRPr="00D006B4" w:rsidRDefault="007F2F23" w:rsidP="007F2F23">
      <w:pPr>
        <w:rPr>
          <w:rFonts w:asciiTheme="majorHAnsi" w:eastAsiaTheme="majorHAnsi" w:hAnsiTheme="majorHAnsi"/>
          <w:b/>
          <w:bCs/>
          <w:sz w:val="24"/>
          <w:szCs w:val="28"/>
        </w:rPr>
      </w:pPr>
      <w:r w:rsidRPr="00D006B4">
        <w:rPr>
          <w:rFonts w:asciiTheme="majorHAnsi" w:eastAsiaTheme="majorHAnsi" w:hAnsiTheme="majorHAnsi"/>
          <w:b/>
          <w:bCs/>
          <w:sz w:val="24"/>
          <w:szCs w:val="28"/>
        </w:rPr>
        <w:t>1. Jones et al. (2023)</w:t>
      </w:r>
    </w:p>
    <w:p w14:paraId="0A813067"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b/>
          <w:bCs/>
          <w:sz w:val="18"/>
          <w:szCs w:val="20"/>
        </w:rPr>
        <w:t>Machine Learning and the Prediction of Changes in Profitability</w:t>
      </w:r>
    </w:p>
    <w:p w14:paraId="192A88EE"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i/>
          <w:iCs/>
          <w:sz w:val="18"/>
          <w:szCs w:val="20"/>
        </w:rPr>
        <w:t>Contemporary Accounting Research</w:t>
      </w:r>
    </w:p>
    <w:p w14:paraId="0FD3DE1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연구 목적 및 데이터</w:t>
      </w:r>
    </w:p>
    <w:p w14:paraId="4DFAF037"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머신러닝이</w:t>
      </w:r>
      <w:proofErr w:type="spellEnd"/>
      <w:r w:rsidRPr="007F2F23">
        <w:rPr>
          <w:rFonts w:asciiTheme="majorHAnsi" w:eastAsiaTheme="majorHAnsi" w:hAnsiTheme="majorHAnsi"/>
          <w:sz w:val="18"/>
          <w:szCs w:val="20"/>
        </w:rPr>
        <w:t xml:space="preserve"> 전통적인 회귀모형보다 미래 수익성 변화량을 정확하게 예측할 수 있는지 검증하고, 비선형 관계와 변수 간 상호작용을 통해 기존 회귀분석에서 발견하지 못한 예측 패턴을 파악하고자 함.</w:t>
      </w:r>
    </w:p>
    <w:p w14:paraId="2EDE571B" w14:textId="1269BAB3"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미국 </w:t>
      </w:r>
      <w:proofErr w:type="spellStart"/>
      <w:r w:rsidRPr="007F2F23">
        <w:rPr>
          <w:rFonts w:asciiTheme="majorHAnsi" w:eastAsiaTheme="majorHAnsi" w:hAnsiTheme="majorHAnsi"/>
          <w:sz w:val="18"/>
          <w:szCs w:val="20"/>
        </w:rPr>
        <w:t>Compustat</w:t>
      </w:r>
      <w:proofErr w:type="spellEnd"/>
      <w:r w:rsidRPr="007F2F23">
        <w:rPr>
          <w:rFonts w:asciiTheme="majorHAnsi" w:eastAsiaTheme="majorHAnsi" w:hAnsiTheme="majorHAnsi"/>
          <w:sz w:val="18"/>
          <w:szCs w:val="20"/>
        </w:rPr>
        <w:t xml:space="preserve">의 1993~2019년 기업 재무자료를 활용했으며, 최종 표본은 56,479개 기업-연도 관측치로 구성됨. 종속변수는 다음 연도 순영업자산수익률(RNOA)의 변화량으로, RNOA(t+1) </w:t>
      </w:r>
      <w:r w:rsidRPr="007F2F23">
        <w:rPr>
          <w:rFonts w:ascii="Cambria Math" w:eastAsiaTheme="majorHAnsi" w:hAnsi="Cambria Math" w:cs="Cambria Math"/>
          <w:sz w:val="18"/>
          <w:szCs w:val="20"/>
        </w:rPr>
        <w:t>−</w:t>
      </w:r>
      <w:r w:rsidRPr="007F2F23">
        <w:rPr>
          <w:rFonts w:asciiTheme="majorHAnsi" w:eastAsiaTheme="majorHAnsi" w:hAnsiTheme="majorHAnsi"/>
          <w:sz w:val="18"/>
          <w:szCs w:val="20"/>
        </w:rPr>
        <w:t xml:space="preserve"> RNOA(t)로 정의함. Penman–Zhang(PZ) 모형의 핵심 재무변수 6개를 기본 설명변수로 활용함.</w:t>
      </w:r>
      <w:r w:rsidR="00D006B4">
        <w:rPr>
          <w:rFonts w:asciiTheme="majorHAnsi" w:eastAsiaTheme="majorHAnsi" w:hAnsiTheme="majorHAnsi"/>
          <w:sz w:val="18"/>
          <w:szCs w:val="20"/>
        </w:rPr>
        <w:br/>
      </w:r>
      <w:r w:rsidR="00D006B4" w:rsidRPr="00D006B4">
        <w:rPr>
          <w:rFonts w:asciiTheme="majorHAnsi" w:eastAsiaTheme="majorHAnsi" w:hAnsiTheme="majorHAnsi"/>
          <w:sz w:val="18"/>
          <w:szCs w:val="20"/>
        </w:rPr>
        <w:drawing>
          <wp:inline distT="0" distB="0" distL="0" distR="0" wp14:anchorId="7D2C113B" wp14:editId="1E6856B6">
            <wp:extent cx="5731510" cy="3030220"/>
            <wp:effectExtent l="0" t="0" r="2540" b="0"/>
            <wp:docPr id="18472882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88291" name=""/>
                    <pic:cNvPicPr/>
                  </pic:nvPicPr>
                  <pic:blipFill>
                    <a:blip r:embed="rId6"/>
                    <a:stretch>
                      <a:fillRect/>
                    </a:stretch>
                  </pic:blipFill>
                  <pic:spPr>
                    <a:xfrm>
                      <a:off x="0" y="0"/>
                      <a:ext cx="5731510" cy="3030220"/>
                    </a:xfrm>
                    <a:prstGeom prst="rect">
                      <a:avLst/>
                    </a:prstGeom>
                  </pic:spPr>
                </pic:pic>
              </a:graphicData>
            </a:graphic>
          </wp:inline>
        </w:drawing>
      </w:r>
    </w:p>
    <w:p w14:paraId="22C07A95"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 xml:space="preserve">실험 1. </w:t>
      </w:r>
      <w:proofErr w:type="spellStart"/>
      <w:r w:rsidRPr="007F2F23">
        <w:rPr>
          <w:rFonts w:asciiTheme="majorHAnsi" w:eastAsiaTheme="majorHAnsi" w:hAnsiTheme="majorHAnsi"/>
          <w:b/>
          <w:bCs/>
          <w:sz w:val="18"/>
          <w:szCs w:val="20"/>
        </w:rPr>
        <w:t>머신러닝과</w:t>
      </w:r>
      <w:proofErr w:type="spellEnd"/>
      <w:r w:rsidRPr="007F2F23">
        <w:rPr>
          <w:rFonts w:asciiTheme="majorHAnsi" w:eastAsiaTheme="majorHAnsi" w:hAnsiTheme="majorHAnsi"/>
          <w:b/>
          <w:bCs/>
          <w:sz w:val="18"/>
          <w:szCs w:val="20"/>
        </w:rPr>
        <w:t xml:space="preserve"> 기존 회귀모형의 예측 성능 비교</w:t>
      </w:r>
    </w:p>
    <w:p w14:paraId="4D2B5C7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미래 수익성 변화량 예측에서 </w:t>
      </w: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우수성을 검증하기 위해 Gradient Boosting(</w:t>
      </w:r>
      <w:proofErr w:type="spellStart"/>
      <w:r w:rsidRPr="007F2F23">
        <w:rPr>
          <w:rFonts w:asciiTheme="majorHAnsi" w:eastAsiaTheme="majorHAnsi" w:hAnsiTheme="majorHAnsi"/>
          <w:sz w:val="18"/>
          <w:szCs w:val="20"/>
        </w:rPr>
        <w:t>TreeNet</w:t>
      </w:r>
      <w:proofErr w:type="spellEnd"/>
      <w:r w:rsidRPr="007F2F23">
        <w:rPr>
          <w:rFonts w:asciiTheme="majorHAnsi" w:eastAsiaTheme="majorHAnsi" w:hAnsiTheme="majorHAnsi"/>
          <w:sz w:val="18"/>
          <w:szCs w:val="20"/>
        </w:rPr>
        <w:t>), OLS, Random Walk 및 변화량 0 예측모형을 비교함. Expanding-window 방식으로 7개 시계열 테스트 구간을 구성하고, 각 모델의 OOS R², MSE, RMSE 등을 평가함.</w:t>
      </w:r>
    </w:p>
    <w:p w14:paraId="13869C1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그 결과 Gradient Boosting의 평균 OOS R²는 0.221, OLS는 0.085로 나타남. RMSE 역시 각각 0.1352와 약 0.146으로 </w:t>
      </w: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예측오차가 더 작았으며, 예측오차 차이는 통계적으로 유의함. 동일한 재무변수를 사용하더라도 비선형 모델이 미래 수익성 변화량을 더 정확하게 예측할 수 있음을 확인함.</w:t>
      </w:r>
    </w:p>
    <w:p w14:paraId="2E1E0E6B"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2. 변수 중요도 및 비선형 관계 분석</w:t>
      </w:r>
    </w:p>
    <w:p w14:paraId="521BFB55"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예측력을 구성하는 주요 변수를 확인하기 위해 Relative Variable Importance(RVI)를 계산하고 OLS 회귀계수와 비교함. 이후 Partial Dependence Plot(PDP)을 활용해 주요 </w:t>
      </w:r>
      <w:proofErr w:type="spellStart"/>
      <w:r w:rsidRPr="007F2F23">
        <w:rPr>
          <w:rFonts w:asciiTheme="majorHAnsi" w:eastAsiaTheme="majorHAnsi" w:hAnsiTheme="majorHAnsi"/>
          <w:sz w:val="18"/>
          <w:szCs w:val="20"/>
        </w:rPr>
        <w:t>변수값에</w:t>
      </w:r>
      <w:proofErr w:type="spellEnd"/>
      <w:r w:rsidRPr="007F2F23">
        <w:rPr>
          <w:rFonts w:asciiTheme="majorHAnsi" w:eastAsiaTheme="majorHAnsi" w:hAnsiTheme="majorHAnsi"/>
          <w:sz w:val="18"/>
          <w:szCs w:val="20"/>
        </w:rPr>
        <w:t xml:space="preserve"> 따라 예측 수익성 변화량이 어떻게 달라지는지 </w:t>
      </w:r>
      <w:proofErr w:type="spellStart"/>
      <w:r w:rsidRPr="007F2F23">
        <w:rPr>
          <w:rFonts w:asciiTheme="majorHAnsi" w:eastAsiaTheme="majorHAnsi" w:hAnsiTheme="majorHAnsi"/>
          <w:sz w:val="18"/>
          <w:szCs w:val="20"/>
        </w:rPr>
        <w:t>시각화함</w:t>
      </w:r>
      <w:proofErr w:type="spellEnd"/>
      <w:r w:rsidRPr="007F2F23">
        <w:rPr>
          <w:rFonts w:asciiTheme="majorHAnsi" w:eastAsiaTheme="majorHAnsi" w:hAnsiTheme="majorHAnsi"/>
          <w:sz w:val="18"/>
          <w:szCs w:val="20"/>
        </w:rPr>
        <w:t>.</w:t>
      </w:r>
    </w:p>
    <w:p w14:paraId="1685CB4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t xml:space="preserve">순영업자산 성장률, 현재 RNOA, </w:t>
      </w:r>
      <w:proofErr w:type="spellStart"/>
      <w:r w:rsidRPr="007F2F23">
        <w:rPr>
          <w:rFonts w:asciiTheme="majorHAnsi" w:eastAsiaTheme="majorHAnsi" w:hAnsiTheme="majorHAnsi"/>
          <w:sz w:val="18"/>
          <w:szCs w:val="20"/>
        </w:rPr>
        <w:t>발생액</w:t>
      </w:r>
      <w:proofErr w:type="spellEnd"/>
      <w:r w:rsidRPr="007F2F23">
        <w:rPr>
          <w:rFonts w:asciiTheme="majorHAnsi" w:eastAsiaTheme="majorHAnsi" w:hAnsiTheme="majorHAnsi"/>
          <w:sz w:val="18"/>
          <w:szCs w:val="20"/>
        </w:rPr>
        <w:t xml:space="preserve"> 등이 중요한 예측변수로 확인됨. 특히 OLS에서는 통계적으로 유의하지 않았던 이익률 변화와 자산회전율 변화도 </w:t>
      </w:r>
      <w:proofErr w:type="spellStart"/>
      <w:r w:rsidRPr="007F2F23">
        <w:rPr>
          <w:rFonts w:asciiTheme="majorHAnsi" w:eastAsiaTheme="majorHAnsi" w:hAnsiTheme="majorHAnsi"/>
          <w:sz w:val="18"/>
          <w:szCs w:val="20"/>
        </w:rPr>
        <w:t>머신러닝에서는</w:t>
      </w:r>
      <w:proofErr w:type="spellEnd"/>
      <w:r w:rsidRPr="007F2F23">
        <w:rPr>
          <w:rFonts w:asciiTheme="majorHAnsi" w:eastAsiaTheme="majorHAnsi" w:hAnsiTheme="majorHAnsi"/>
          <w:sz w:val="18"/>
          <w:szCs w:val="20"/>
        </w:rPr>
        <w:t xml:space="preserve"> 예측정보를 제공함. 일부 변수는 선형적인 관계가 아닌 구간별로 기울기가 달라지는 비선형 관계를 보임.</w:t>
      </w:r>
    </w:p>
    <w:p w14:paraId="25D3ABF3"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3. 변수 간 상호작용 분석</w:t>
      </w:r>
    </w:p>
    <w:p w14:paraId="44783E4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개별 재무변수의 예측 기여가 다른 재무변수의 수준에 따라 달라지는지 확인하기 위해 변수 간 상호작용 강도를 계산하고 2변수 PDP를 분석함.</w:t>
      </w:r>
    </w:p>
    <w:p w14:paraId="53F9073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현재 RNOA와 과거 RNOA 변화량, 이익률 변화량과 자산회전율 변화량 등에서 상호작용이 확인됨. 특정 재무변수의 예측 방향과 강도가 기업의 기존 수익성 상태에 따라 달라질 수 있음을 보여줌.</w:t>
      </w:r>
    </w:p>
    <w:p w14:paraId="1396033A"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4. 핵심 재무변수와 고차원 변수집합 비교</w:t>
      </w:r>
    </w:p>
    <w:p w14:paraId="7D06776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기존 6개 PZ 변수만 사용한 모형과 64개 변수를 추가한 총 70개 변수 모형을 비교하여 설명변수 확대의 효과를 검증함.</w:t>
      </w:r>
    </w:p>
    <w:p w14:paraId="7C2062A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6개 변수 모형의 평균 OOS R²는 0.221, 70개 변수 모형은 약 0.250으로 나타남. 다만 추가 변수로 인한 MSE·RMSE 개선은 대부분의 테스트 구간에서 통계적으로 유의하지 않았음. 기존 6개 변수가 확장모형에서도 높은 중요도를 유지함에 따라 핵심 재무정보만으로도 상당한 예측력을 확보할 수 있음을 확인함.</w:t>
      </w:r>
    </w:p>
    <w:p w14:paraId="017529E3"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5. 예측 대상 변경 및 강건성 검증</w:t>
      </w:r>
    </w:p>
    <w:p w14:paraId="06D4AA2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연속형 RNOA 변화량 대신 다음 연도 수익성 증가 여부를 이진분류 문제로 변경하여 결과가 유지되는지 검증함.</w:t>
      </w:r>
    </w:p>
    <w:p w14:paraId="278F8477"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Gradient Boosting의 평균 OOS AUC는 0.741, Logistic Regression은 0.684로 나타남. 수익성 변화 방향 예측에서도 </w:t>
      </w: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상대적 우위가 유지되었으며, 주요 변수의 중요도 역시 유사하게 나타남.</w:t>
      </w:r>
    </w:p>
    <w:p w14:paraId="47D98B5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다른 </w:t>
      </w:r>
      <w:proofErr w:type="spellStart"/>
      <w:r w:rsidRPr="007F2F23">
        <w:rPr>
          <w:rFonts w:asciiTheme="majorHAnsi" w:eastAsiaTheme="majorHAnsi" w:hAnsiTheme="majorHAnsi"/>
          <w:sz w:val="18"/>
          <w:szCs w:val="20"/>
        </w:rPr>
        <w:t>머신러닝</w:t>
      </w:r>
      <w:proofErr w:type="spellEnd"/>
      <w:r w:rsidRPr="007F2F23">
        <w:rPr>
          <w:rFonts w:asciiTheme="majorHAnsi" w:eastAsiaTheme="majorHAnsi" w:hAnsiTheme="majorHAnsi"/>
          <w:sz w:val="18"/>
          <w:szCs w:val="20"/>
        </w:rPr>
        <w:t xml:space="preserve"> 알고리즘과 수익성 수준 예측을 활용한 추가 분석에서도 핵심 결과가 대체로 유지됨.</w:t>
      </w:r>
    </w:p>
    <w:p w14:paraId="7FC3F424"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6. 경제적 유의성 검증</w:t>
      </w:r>
    </w:p>
    <w:p w14:paraId="1B79F59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수익성 예측 성능의 향상이 금융시장에서 실제 경제적 가치로 연결되는지 확인하기 위해 모델의 </w:t>
      </w:r>
      <w:proofErr w:type="spellStart"/>
      <w:r w:rsidRPr="007F2F23">
        <w:rPr>
          <w:rFonts w:asciiTheme="majorHAnsi" w:eastAsiaTheme="majorHAnsi" w:hAnsiTheme="majorHAnsi"/>
          <w:sz w:val="18"/>
          <w:szCs w:val="20"/>
        </w:rPr>
        <w:t>예측값에</w:t>
      </w:r>
      <w:proofErr w:type="spellEnd"/>
      <w:r w:rsidRPr="007F2F23">
        <w:rPr>
          <w:rFonts w:asciiTheme="majorHAnsi" w:eastAsiaTheme="majorHAnsi" w:hAnsiTheme="majorHAnsi"/>
          <w:sz w:val="18"/>
          <w:szCs w:val="20"/>
        </w:rPr>
        <w:t xml:space="preserve"> 따라 투자 포트폴리오를 구성하고 주식수익률을 비교함.</w:t>
      </w:r>
    </w:p>
    <w:p w14:paraId="30CEE2D8"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머신러닝</w:t>
      </w:r>
      <w:proofErr w:type="spellEnd"/>
      <w:r w:rsidRPr="007F2F23">
        <w:rPr>
          <w:rFonts w:asciiTheme="majorHAnsi" w:eastAsiaTheme="majorHAnsi" w:hAnsiTheme="majorHAnsi"/>
          <w:sz w:val="18"/>
          <w:szCs w:val="20"/>
        </w:rPr>
        <w:t xml:space="preserve"> 예측은 기존 회귀모형과 비교해 시장 기대의 조정과 관련된 추가 정보를 제공했으나, 투자 포트폴리오 수익률의 차이는 통계적으로 유의하지 않았음. 예측 정확도 개선이 반드시 유의미한 투자성과 개선을 의미하지는 않는다는 결론을 제시함.</w:t>
      </w:r>
    </w:p>
    <w:p w14:paraId="59C144AD" w14:textId="0ED6A68D" w:rsidR="007F2F23" w:rsidRPr="007F2F23" w:rsidRDefault="00D006B4" w:rsidP="007F2F23">
      <w:pPr>
        <w:rPr>
          <w:rFonts w:asciiTheme="majorHAnsi" w:eastAsiaTheme="majorHAnsi" w:hAnsiTheme="majorHAnsi"/>
          <w:sz w:val="18"/>
          <w:szCs w:val="20"/>
        </w:rPr>
      </w:pPr>
      <w:r w:rsidRPr="00D006B4">
        <w:rPr>
          <w:rFonts w:asciiTheme="majorHAnsi" w:eastAsiaTheme="majorHAnsi" w:hAnsiTheme="majorHAnsi"/>
          <w:b/>
          <w:bCs/>
          <w:sz w:val="18"/>
          <w:szCs w:val="20"/>
        </w:rPr>
        <w:drawing>
          <wp:inline distT="0" distB="0" distL="0" distR="0" wp14:anchorId="2952ACA6" wp14:editId="2B903949">
            <wp:extent cx="5731510" cy="1729105"/>
            <wp:effectExtent l="0" t="0" r="2540" b="4445"/>
            <wp:docPr id="2877195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19532" name=""/>
                    <pic:cNvPicPr/>
                  </pic:nvPicPr>
                  <pic:blipFill>
                    <a:blip r:embed="rId7"/>
                    <a:stretch>
                      <a:fillRect/>
                    </a:stretch>
                  </pic:blipFill>
                  <pic:spPr>
                    <a:xfrm>
                      <a:off x="0" y="0"/>
                      <a:ext cx="5731510" cy="1729105"/>
                    </a:xfrm>
                    <a:prstGeom prst="rect">
                      <a:avLst/>
                    </a:prstGeom>
                  </pic:spPr>
                </pic:pic>
              </a:graphicData>
            </a:graphic>
          </wp:inline>
        </w:drawing>
      </w:r>
      <w:r w:rsidRPr="00D006B4">
        <w:rPr>
          <w:rFonts w:asciiTheme="majorHAnsi" w:eastAsiaTheme="majorHAnsi" w:hAnsiTheme="majorHAnsi"/>
          <w:sz w:val="18"/>
          <w:szCs w:val="20"/>
        </w:rPr>
        <w:lastRenderedPageBreak/>
        <w:drawing>
          <wp:inline distT="0" distB="0" distL="0" distR="0" wp14:anchorId="2B97CF67" wp14:editId="3D7D669F">
            <wp:extent cx="5731510" cy="4380865"/>
            <wp:effectExtent l="0" t="0" r="2540" b="635"/>
            <wp:docPr id="17247202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20285" name=""/>
                    <pic:cNvPicPr/>
                  </pic:nvPicPr>
                  <pic:blipFill>
                    <a:blip r:embed="rId8"/>
                    <a:stretch>
                      <a:fillRect/>
                    </a:stretch>
                  </pic:blipFill>
                  <pic:spPr>
                    <a:xfrm>
                      <a:off x="0" y="0"/>
                      <a:ext cx="5731510" cy="4380865"/>
                    </a:xfrm>
                    <a:prstGeom prst="rect">
                      <a:avLst/>
                    </a:prstGeom>
                  </pic:spPr>
                </pic:pic>
              </a:graphicData>
            </a:graphic>
          </wp:inline>
        </w:drawing>
      </w:r>
    </w:p>
    <w:p w14:paraId="6674986E"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pict w14:anchorId="0F740A1D">
          <v:rect id="_x0000_i1055" style="width:0;height:1.5pt" o:hralign="center" o:hrstd="t" o:hr="t" fillcolor="#a0a0a0" stroked="f"/>
        </w:pict>
      </w:r>
    </w:p>
    <w:p w14:paraId="2208B045" w14:textId="77777777" w:rsidR="007F2F23" w:rsidRPr="00D006B4" w:rsidRDefault="007F2F23" w:rsidP="007F2F23">
      <w:pPr>
        <w:rPr>
          <w:rFonts w:asciiTheme="majorHAnsi" w:eastAsiaTheme="majorHAnsi" w:hAnsiTheme="majorHAnsi"/>
          <w:b/>
          <w:bCs/>
          <w:sz w:val="24"/>
          <w:szCs w:val="28"/>
        </w:rPr>
      </w:pPr>
      <w:r w:rsidRPr="00D006B4">
        <w:rPr>
          <w:rFonts w:asciiTheme="majorHAnsi" w:eastAsiaTheme="majorHAnsi" w:hAnsiTheme="majorHAnsi"/>
          <w:b/>
          <w:bCs/>
          <w:sz w:val="24"/>
          <w:szCs w:val="28"/>
        </w:rPr>
        <w:t>2. Chen et al. (2022)</w:t>
      </w:r>
    </w:p>
    <w:p w14:paraId="425F07A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b/>
          <w:bCs/>
          <w:sz w:val="18"/>
          <w:szCs w:val="20"/>
        </w:rPr>
        <w:t>Predicting Future Earnings Changes Using Machine Learning and Detailed Financial Data</w:t>
      </w:r>
    </w:p>
    <w:p w14:paraId="52B58189"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i/>
          <w:iCs/>
          <w:sz w:val="18"/>
          <w:szCs w:val="20"/>
        </w:rPr>
        <w:t>Journal of Accounting Research</w:t>
      </w:r>
    </w:p>
    <w:p w14:paraId="183745E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연구 목적 및 데이터</w:t>
      </w:r>
    </w:p>
    <w:p w14:paraId="1B808BCD"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고차원의 세부 재무정보와 </w:t>
      </w:r>
      <w:proofErr w:type="spellStart"/>
      <w:r w:rsidRPr="007F2F23">
        <w:rPr>
          <w:rFonts w:asciiTheme="majorHAnsi" w:eastAsiaTheme="majorHAnsi" w:hAnsiTheme="majorHAnsi"/>
          <w:sz w:val="18"/>
          <w:szCs w:val="20"/>
        </w:rPr>
        <w:t>머신러닝을</w:t>
      </w:r>
      <w:proofErr w:type="spellEnd"/>
      <w:r w:rsidRPr="007F2F23">
        <w:rPr>
          <w:rFonts w:asciiTheme="majorHAnsi" w:eastAsiaTheme="majorHAnsi" w:hAnsiTheme="majorHAnsi"/>
          <w:sz w:val="18"/>
          <w:szCs w:val="20"/>
        </w:rPr>
        <w:t xml:space="preserve"> 결합하여 다음 연도 기업 이익의 증가·감소 방향을 예측하고, 기존 회계모형 및 애널리스트 예측 대비 성능을 평가하고자 함.</w:t>
      </w:r>
    </w:p>
    <w:p w14:paraId="2D8000C1" w14:textId="6AC7C70F" w:rsid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2012~2018년 미국 상장기업의 XBRL 재무공시 8,149건을 활용함. 약 4,000개의 재무항목으로부터 </w:t>
      </w:r>
      <w:proofErr w:type="spellStart"/>
      <w:r w:rsidRPr="007F2F23">
        <w:rPr>
          <w:rFonts w:asciiTheme="majorHAnsi" w:eastAsiaTheme="majorHAnsi" w:hAnsiTheme="majorHAnsi"/>
          <w:sz w:val="18"/>
          <w:szCs w:val="20"/>
        </w:rPr>
        <w:t>당기값</w:t>
      </w:r>
      <w:proofErr w:type="spellEnd"/>
      <w:r w:rsidRPr="007F2F23">
        <w:rPr>
          <w:rFonts w:asciiTheme="majorHAnsi" w:eastAsiaTheme="majorHAnsi" w:hAnsiTheme="majorHAnsi"/>
          <w:sz w:val="18"/>
          <w:szCs w:val="20"/>
        </w:rPr>
        <w:t xml:space="preserve">, </w:t>
      </w:r>
      <w:proofErr w:type="spellStart"/>
      <w:r w:rsidRPr="007F2F23">
        <w:rPr>
          <w:rFonts w:asciiTheme="majorHAnsi" w:eastAsiaTheme="majorHAnsi" w:hAnsiTheme="majorHAnsi"/>
          <w:sz w:val="18"/>
          <w:szCs w:val="20"/>
        </w:rPr>
        <w:t>과거값</w:t>
      </w:r>
      <w:proofErr w:type="spellEnd"/>
      <w:r w:rsidRPr="007F2F23">
        <w:rPr>
          <w:rFonts w:asciiTheme="majorHAnsi" w:eastAsiaTheme="majorHAnsi" w:hAnsiTheme="majorHAnsi"/>
          <w:sz w:val="18"/>
          <w:szCs w:val="20"/>
        </w:rPr>
        <w:t>, 변화율 등을 산출해 12,000개 이상의 설명변수를 구성함. 종속변수는 다음 연도 기업 이익의 증가 여부를 나타내는 이진변수임.</w:t>
      </w:r>
      <w:r w:rsidR="00D006B4">
        <w:rPr>
          <w:rFonts w:asciiTheme="majorHAnsi" w:eastAsiaTheme="majorHAnsi" w:hAnsiTheme="majorHAnsi"/>
          <w:sz w:val="18"/>
          <w:szCs w:val="20"/>
        </w:rPr>
        <w:br/>
      </w:r>
    </w:p>
    <w:p w14:paraId="41E62CCF" w14:textId="739A0759" w:rsidR="00CD5E0C" w:rsidRPr="007F2F23" w:rsidRDefault="00CD5E0C" w:rsidP="007F2F23">
      <w:pPr>
        <w:rPr>
          <w:rFonts w:asciiTheme="majorHAnsi" w:eastAsiaTheme="majorHAnsi" w:hAnsiTheme="majorHAnsi"/>
          <w:sz w:val="18"/>
          <w:szCs w:val="20"/>
        </w:rPr>
      </w:pPr>
      <w:r w:rsidRPr="00CD5E0C">
        <w:rPr>
          <w:rFonts w:asciiTheme="majorHAnsi" w:eastAsiaTheme="majorHAnsi" w:hAnsiTheme="majorHAnsi"/>
          <w:sz w:val="18"/>
          <w:szCs w:val="20"/>
        </w:rPr>
        <w:lastRenderedPageBreak/>
        <w:drawing>
          <wp:inline distT="0" distB="0" distL="0" distR="0" wp14:anchorId="7718C5A8" wp14:editId="0C63C6A1">
            <wp:extent cx="4214225" cy="6561389"/>
            <wp:effectExtent l="0" t="0" r="0" b="0"/>
            <wp:docPr id="15311787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78731" name=""/>
                    <pic:cNvPicPr/>
                  </pic:nvPicPr>
                  <pic:blipFill>
                    <a:blip r:embed="rId9"/>
                    <a:stretch>
                      <a:fillRect/>
                    </a:stretch>
                  </pic:blipFill>
                  <pic:spPr>
                    <a:xfrm>
                      <a:off x="0" y="0"/>
                      <a:ext cx="4214225" cy="6561389"/>
                    </a:xfrm>
                    <a:prstGeom prst="rect">
                      <a:avLst/>
                    </a:prstGeom>
                  </pic:spPr>
                </pic:pic>
              </a:graphicData>
            </a:graphic>
          </wp:inline>
        </w:drawing>
      </w:r>
    </w:p>
    <w:p w14:paraId="22A9B85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 xml:space="preserve">실험 1. </w:t>
      </w:r>
      <w:proofErr w:type="spellStart"/>
      <w:r w:rsidRPr="007F2F23">
        <w:rPr>
          <w:rFonts w:asciiTheme="majorHAnsi" w:eastAsiaTheme="majorHAnsi" w:hAnsiTheme="majorHAnsi"/>
          <w:b/>
          <w:bCs/>
          <w:sz w:val="18"/>
          <w:szCs w:val="20"/>
        </w:rPr>
        <w:t>머신러닝의</w:t>
      </w:r>
      <w:proofErr w:type="spellEnd"/>
      <w:r w:rsidRPr="007F2F23">
        <w:rPr>
          <w:rFonts w:asciiTheme="majorHAnsi" w:eastAsiaTheme="majorHAnsi" w:hAnsiTheme="majorHAnsi"/>
          <w:b/>
          <w:bCs/>
          <w:sz w:val="18"/>
          <w:szCs w:val="20"/>
        </w:rPr>
        <w:t xml:space="preserve"> 미래 이익 방향 예측 성능</w:t>
      </w:r>
    </w:p>
    <w:p w14:paraId="6410CAD9"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Random Forest(RF)와 Stochastic Gradient Boosting(SGB)을 사용하여 1년 후 이익 증가 확률을 예측함. 2015~2018년을 테스트 기간으로 설정하고, 이전 2년 학습·직전 1년 검증·현재 연도 테스트로 이어지는 Rolling-window 평가를 수행함.</w:t>
      </w:r>
    </w:p>
    <w:p w14:paraId="7342D559" w14:textId="4DCE1D78"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전체 테스트 표본에서 RF의 AUC는 0.6752, SGB는 0.6754로 나타남. 예측 확률이 0.6 이상 또는 0.4 이하인 확신도 높은 관측치만 평가하면 AUC는 각각 0.6862, 0.6866으로 상승함. Bootstrap 검정에서도 무작위 분류보다 유의하게 높은 예측력을 확인함.</w:t>
      </w:r>
      <w:r w:rsidR="00D006B4">
        <w:rPr>
          <w:rFonts w:asciiTheme="majorHAnsi" w:eastAsiaTheme="majorHAnsi" w:hAnsiTheme="majorHAnsi"/>
          <w:sz w:val="18"/>
          <w:szCs w:val="20"/>
        </w:rPr>
        <w:br/>
      </w:r>
      <w:r w:rsidR="00D006B4" w:rsidRPr="00D006B4">
        <w:rPr>
          <w:rFonts w:asciiTheme="majorHAnsi" w:eastAsiaTheme="majorHAnsi" w:hAnsiTheme="majorHAnsi"/>
          <w:sz w:val="18"/>
          <w:szCs w:val="20"/>
        </w:rPr>
        <w:lastRenderedPageBreak/>
        <w:drawing>
          <wp:inline distT="0" distB="0" distL="0" distR="0" wp14:anchorId="71B75DDE" wp14:editId="39E43FE0">
            <wp:extent cx="5731510" cy="2265045"/>
            <wp:effectExtent l="0" t="0" r="2540" b="1905"/>
            <wp:docPr id="17084520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2026" name=""/>
                    <pic:cNvPicPr/>
                  </pic:nvPicPr>
                  <pic:blipFill>
                    <a:blip r:embed="rId10"/>
                    <a:stretch>
                      <a:fillRect/>
                    </a:stretch>
                  </pic:blipFill>
                  <pic:spPr>
                    <a:xfrm>
                      <a:off x="0" y="0"/>
                      <a:ext cx="5731510" cy="2265045"/>
                    </a:xfrm>
                    <a:prstGeom prst="rect">
                      <a:avLst/>
                    </a:prstGeom>
                  </pic:spPr>
                </pic:pic>
              </a:graphicData>
            </a:graphic>
          </wp:inline>
        </w:drawing>
      </w:r>
      <w:r w:rsidR="00CD5E0C" w:rsidRPr="00D006B4">
        <w:rPr>
          <w:rFonts w:asciiTheme="majorHAnsi" w:eastAsiaTheme="majorHAnsi" w:hAnsiTheme="majorHAnsi"/>
          <w:sz w:val="18"/>
          <w:szCs w:val="20"/>
        </w:rPr>
        <w:drawing>
          <wp:inline distT="0" distB="0" distL="0" distR="0" wp14:anchorId="774D5BB2" wp14:editId="11A440BA">
            <wp:extent cx="5731510" cy="1781810"/>
            <wp:effectExtent l="0" t="0" r="2540" b="8890"/>
            <wp:docPr id="17316872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7228" name=""/>
                    <pic:cNvPicPr/>
                  </pic:nvPicPr>
                  <pic:blipFill>
                    <a:blip r:embed="rId11"/>
                    <a:stretch>
                      <a:fillRect/>
                    </a:stretch>
                  </pic:blipFill>
                  <pic:spPr>
                    <a:xfrm>
                      <a:off x="0" y="0"/>
                      <a:ext cx="5731510" cy="1781810"/>
                    </a:xfrm>
                    <a:prstGeom prst="rect">
                      <a:avLst/>
                    </a:prstGeom>
                  </pic:spPr>
                </pic:pic>
              </a:graphicData>
            </a:graphic>
          </wp:inline>
        </w:drawing>
      </w:r>
    </w:p>
    <w:p w14:paraId="65FFB476"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2. 알고리즘과 변수집합의 기여 구분</w:t>
      </w:r>
    </w:p>
    <w:p w14:paraId="1DBAF9E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예측력 향상이 </w:t>
      </w:r>
      <w:proofErr w:type="spellStart"/>
      <w:r w:rsidRPr="007F2F23">
        <w:rPr>
          <w:rFonts w:asciiTheme="majorHAnsi" w:eastAsiaTheme="majorHAnsi" w:hAnsiTheme="majorHAnsi"/>
          <w:sz w:val="18"/>
          <w:szCs w:val="20"/>
        </w:rPr>
        <w:t>머신러닝</w:t>
      </w:r>
      <w:proofErr w:type="spellEnd"/>
      <w:r w:rsidRPr="007F2F23">
        <w:rPr>
          <w:rFonts w:asciiTheme="majorHAnsi" w:eastAsiaTheme="majorHAnsi" w:hAnsiTheme="majorHAnsi"/>
          <w:sz w:val="18"/>
          <w:szCs w:val="20"/>
        </w:rPr>
        <w:t xml:space="preserve"> 알고리즘의 비선형 학습 능력에서 비롯되는지, 더 많은 재무변수를 사용했기 때문인지 구분하기 위해 알고리즘과 변수집합을 교차하여 비교함.</w:t>
      </w:r>
    </w:p>
    <w:p w14:paraId="291196A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Ou–Penman 재무변수 65개를 사용한 경우 Logistic Regression의 AUC는 0.6179, RF는 0.6663, SGB는 0.6687로 나타남. 전체 XBRL 변수를 사용한 </w:t>
      </w: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AUC는 약 0.675로 소폭 상승함.</w:t>
      </w:r>
    </w:p>
    <w:p w14:paraId="22CDD4BF" w14:textId="6553E4F4"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동일한 변수에서도 </w:t>
      </w: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성능이 높았으며, 고차원 재무정보의 추가적인 예측 기여도 확인됨. 다만 소수 재무변수에서 고차원 변수로 확장했을 때의 성능 개선 폭은 상대적으로 제한적이었음.</w:t>
      </w:r>
    </w:p>
    <w:p w14:paraId="4D6766D2"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3. 애널리스트 예측과 비교</w:t>
      </w:r>
    </w:p>
    <w:p w14:paraId="12E0726A"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머신러닝이</w:t>
      </w:r>
      <w:proofErr w:type="spellEnd"/>
      <w:r w:rsidRPr="007F2F23">
        <w:rPr>
          <w:rFonts w:asciiTheme="majorHAnsi" w:eastAsiaTheme="majorHAnsi" w:hAnsiTheme="majorHAnsi"/>
          <w:sz w:val="18"/>
          <w:szCs w:val="20"/>
        </w:rPr>
        <w:t xml:space="preserve"> 전문 애널리스트의 이익 전망보다 높은 예측력을 보이는지 평가함. 애널리스트 예측을 이익 증가·감소 확률로 변환해 동일한 AUC 지표로 비교함.</w:t>
      </w:r>
    </w:p>
    <w:p w14:paraId="4792041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애널리스트 예측의 AUC는 0.6509로, </w:t>
      </w:r>
      <w:proofErr w:type="spellStart"/>
      <w:r w:rsidRPr="007F2F23">
        <w:rPr>
          <w:rFonts w:asciiTheme="majorHAnsi" w:eastAsiaTheme="majorHAnsi" w:hAnsiTheme="majorHAnsi"/>
          <w:sz w:val="18"/>
          <w:szCs w:val="20"/>
        </w:rPr>
        <w:t>머신러닝의</w:t>
      </w:r>
      <w:proofErr w:type="spellEnd"/>
      <w:r w:rsidRPr="007F2F23">
        <w:rPr>
          <w:rFonts w:asciiTheme="majorHAnsi" w:eastAsiaTheme="majorHAnsi" w:hAnsiTheme="majorHAnsi"/>
          <w:sz w:val="18"/>
          <w:szCs w:val="20"/>
        </w:rPr>
        <w:t xml:space="preserve"> 약 0.675보다 낮았음. 통계검정에서도 유의한 성능 차이가 확인됨. </w:t>
      </w:r>
      <w:proofErr w:type="spellStart"/>
      <w:r w:rsidRPr="007F2F23">
        <w:rPr>
          <w:rFonts w:asciiTheme="majorHAnsi" w:eastAsiaTheme="majorHAnsi" w:hAnsiTheme="majorHAnsi"/>
          <w:sz w:val="18"/>
          <w:szCs w:val="20"/>
        </w:rPr>
        <w:t>머신러닝이</w:t>
      </w:r>
      <w:proofErr w:type="spellEnd"/>
      <w:r w:rsidRPr="007F2F23">
        <w:rPr>
          <w:rFonts w:asciiTheme="majorHAnsi" w:eastAsiaTheme="majorHAnsi" w:hAnsiTheme="majorHAnsi"/>
          <w:sz w:val="18"/>
          <w:szCs w:val="20"/>
        </w:rPr>
        <w:t xml:space="preserve"> 기존 재무정보로부터 전문가 전망에 추가되는 예측정보를 추출할 수 있음을 보여줌.</w:t>
      </w:r>
    </w:p>
    <w:p w14:paraId="47B4511B"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4. 경제적 유의성 검증</w:t>
      </w:r>
    </w:p>
    <w:p w14:paraId="6B9855B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모델이 예측한 이익 증가 확률에 따라 기업을 분류하고, 이익 증가 확률이 높은 기업을 매수하고 낮은 기업을 매도하는 헤지 포트폴리오를 구성함. 이후 12개월간 기업규모 조정 수익률을 측정함.</w:t>
      </w:r>
    </w:p>
    <w:p w14:paraId="4E1D56A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RF 기반 포트폴리오는 연간 5.02%, SGB 기반 포트폴리오는 6.57%의 규모조정 수익률을 기록함. 확신도가 높은 예측만 사용한 포트폴리오에서는 각각 9.43%, 9.74%로 상승함. Bootstrap 검정에서도 경제적 성과의 통계적 유의성을 확인함.</w:t>
      </w:r>
    </w:p>
    <w:p w14:paraId="5692F4CD"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lastRenderedPageBreak/>
        <w:t>실험 5. 데이터 품질에 따른 예측 성능 분석</w:t>
      </w:r>
    </w:p>
    <w:p w14:paraId="5EC6410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XBRL 데이터의 품질이 예측 성능에 영향을 미치는지 검증함. 공시자료에서 비표준·사용자정의 태그의 활용 정도를 기준으로 데이터 품질이 높은 집단과 낮은 집단을 구분함.</w:t>
      </w:r>
    </w:p>
    <w:p w14:paraId="76B97A3D"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저품질</w:t>
      </w:r>
      <w:proofErr w:type="spellEnd"/>
      <w:r w:rsidRPr="007F2F23">
        <w:rPr>
          <w:rFonts w:asciiTheme="majorHAnsi" w:eastAsiaTheme="majorHAnsi" w:hAnsiTheme="majorHAnsi"/>
          <w:sz w:val="18"/>
          <w:szCs w:val="20"/>
        </w:rPr>
        <w:t xml:space="preserve"> 집단의 AUC는 RF 0.6599, SGB 0.6470이었으나, 고품질 집단에서는 각각 0.7082, 0.7183으로 상승함. 데이터의 품질과 표준화 정도가 고차원 </w:t>
      </w:r>
      <w:proofErr w:type="spellStart"/>
      <w:r w:rsidRPr="007F2F23">
        <w:rPr>
          <w:rFonts w:asciiTheme="majorHAnsi" w:eastAsiaTheme="majorHAnsi" w:hAnsiTheme="majorHAnsi"/>
          <w:sz w:val="18"/>
          <w:szCs w:val="20"/>
        </w:rPr>
        <w:t>머신러닝</w:t>
      </w:r>
      <w:proofErr w:type="spellEnd"/>
      <w:r w:rsidRPr="007F2F23">
        <w:rPr>
          <w:rFonts w:asciiTheme="majorHAnsi" w:eastAsiaTheme="majorHAnsi" w:hAnsiTheme="majorHAnsi"/>
          <w:sz w:val="18"/>
          <w:szCs w:val="20"/>
        </w:rPr>
        <w:t xml:space="preserve"> 예측에 중요한 요인임을 확인함.</w:t>
      </w:r>
    </w:p>
    <w:p w14:paraId="4493680D"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6. 예측 대상에 따른 성능 비교</w:t>
      </w:r>
    </w:p>
    <w:p w14:paraId="660B982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미래 이익의 증가·감소 방향 예측 외에 미래 이익 수준 및 연속형 이익 변화량을 예측하는 회귀실험을 수행함.</w:t>
      </w:r>
    </w:p>
    <w:p w14:paraId="65D923C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미래 이익 수준의 OOS R²는 RF 0.053, SGB 0.060으로 단순 Random Walk의 0.075보다 낮았음. 연속형 이익 변화량 예측에서도 OOS R²는 약 0.06~0.08 수준에 머물렀음. 저자들은 이익 변화의 절대적 규모보다 증가·감소 방향을 예측하는 접근이 상대적으로 유용하다고 판단함.</w:t>
      </w:r>
    </w:p>
    <w:p w14:paraId="563E5CB0"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7. 변수 중요도와 예측 패턴 분석</w:t>
      </w:r>
    </w:p>
    <w:p w14:paraId="3176AC2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Permutation 기반 변수 중요도를 계산하여 고차원 재무 피처 가운데 예측에 기여하는 변수를 파악함. 연도별 중요도 순위를 비교하고, 재무제표 본문과 주석 항목 등 정보군별 중요도도 분석함.</w:t>
      </w:r>
    </w:p>
    <w:p w14:paraId="30B6E9F9" w14:textId="67682258"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기존 이익과 EPS 등 수익성 관련 변수가 높은 중요도를 보였으며, 일부 상세 주석 항목에서도 추가적인 예측정보가 확인됨. RF의 연속 연도 변수 중요도 상관계수는 약 0.98로 나타나 중요도 순위의 안정성도 확인함.</w:t>
      </w:r>
      <w:r w:rsidR="00CD5E0C">
        <w:rPr>
          <w:rFonts w:asciiTheme="majorHAnsi" w:eastAsiaTheme="majorHAnsi" w:hAnsiTheme="majorHAnsi"/>
          <w:sz w:val="18"/>
          <w:szCs w:val="20"/>
        </w:rPr>
        <w:br/>
      </w:r>
      <w:r w:rsidR="00CD5E0C" w:rsidRPr="00CD5E0C">
        <w:rPr>
          <w:rFonts w:asciiTheme="majorHAnsi" w:eastAsiaTheme="majorHAnsi" w:hAnsiTheme="majorHAnsi"/>
          <w:sz w:val="18"/>
          <w:szCs w:val="20"/>
        </w:rPr>
        <w:drawing>
          <wp:inline distT="0" distB="0" distL="0" distR="0" wp14:anchorId="20FA81DB" wp14:editId="776E3A85">
            <wp:extent cx="4252280" cy="4497834"/>
            <wp:effectExtent l="0" t="0" r="0" b="0"/>
            <wp:docPr id="9722089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8999" name=""/>
                    <pic:cNvPicPr/>
                  </pic:nvPicPr>
                  <pic:blipFill>
                    <a:blip r:embed="rId12"/>
                    <a:stretch>
                      <a:fillRect/>
                    </a:stretch>
                  </pic:blipFill>
                  <pic:spPr>
                    <a:xfrm>
                      <a:off x="0" y="0"/>
                      <a:ext cx="4255225" cy="4500949"/>
                    </a:xfrm>
                    <a:prstGeom prst="rect">
                      <a:avLst/>
                    </a:prstGeom>
                  </pic:spPr>
                </pic:pic>
              </a:graphicData>
            </a:graphic>
          </wp:inline>
        </w:drawing>
      </w:r>
    </w:p>
    <w:p w14:paraId="36AC399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pict w14:anchorId="71B4B367">
          <v:rect id="_x0000_i1056" style="width:0;height:1.5pt" o:hralign="center" o:hrstd="t" o:hr="t" fillcolor="#a0a0a0" stroked="f"/>
        </w:pict>
      </w:r>
    </w:p>
    <w:p w14:paraId="082AA928" w14:textId="77777777" w:rsidR="007F2F23" w:rsidRPr="00CD5E0C" w:rsidRDefault="007F2F23" w:rsidP="007F2F23">
      <w:pPr>
        <w:rPr>
          <w:rFonts w:asciiTheme="majorHAnsi" w:eastAsiaTheme="majorHAnsi" w:hAnsiTheme="majorHAnsi"/>
          <w:b/>
          <w:bCs/>
          <w:sz w:val="24"/>
          <w:szCs w:val="28"/>
        </w:rPr>
      </w:pPr>
      <w:r w:rsidRPr="00CD5E0C">
        <w:rPr>
          <w:rFonts w:asciiTheme="majorHAnsi" w:eastAsiaTheme="majorHAnsi" w:hAnsiTheme="majorHAnsi"/>
          <w:b/>
          <w:bCs/>
          <w:sz w:val="24"/>
          <w:szCs w:val="28"/>
        </w:rPr>
        <w:t xml:space="preserve">3. </w:t>
      </w:r>
      <w:proofErr w:type="spellStart"/>
      <w:r w:rsidRPr="00CD5E0C">
        <w:rPr>
          <w:rFonts w:asciiTheme="majorHAnsi" w:eastAsiaTheme="majorHAnsi" w:hAnsiTheme="majorHAnsi"/>
          <w:b/>
          <w:bCs/>
          <w:sz w:val="24"/>
          <w:szCs w:val="28"/>
        </w:rPr>
        <w:t>Eslahi</w:t>
      </w:r>
      <w:proofErr w:type="spellEnd"/>
      <w:r w:rsidRPr="00CD5E0C">
        <w:rPr>
          <w:rFonts w:asciiTheme="majorHAnsi" w:eastAsiaTheme="majorHAnsi" w:hAnsiTheme="majorHAnsi"/>
          <w:b/>
          <w:bCs/>
          <w:sz w:val="24"/>
          <w:szCs w:val="28"/>
        </w:rPr>
        <w:t xml:space="preserve"> et al. (2025)</w:t>
      </w:r>
    </w:p>
    <w:p w14:paraId="67A81FB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b/>
          <w:bCs/>
          <w:sz w:val="18"/>
          <w:szCs w:val="20"/>
        </w:rPr>
        <w:t>Signal Received? Carbon Price and Financial–Environmental Performance Prioritization in EU ETS Firms</w:t>
      </w:r>
    </w:p>
    <w:p w14:paraId="37D4EA6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i/>
          <w:iCs/>
          <w:sz w:val="18"/>
          <w:szCs w:val="20"/>
        </w:rPr>
        <w:t>International Review of Financial Analysis</w:t>
      </w:r>
    </w:p>
    <w:p w14:paraId="7E3112C2"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연구 목적 및 데이터</w:t>
      </w:r>
    </w:p>
    <w:p w14:paraId="3BA99629"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탄소가격이 기업의 재무성과와 환경성과에 전달하는 시장 신호를 분석하고, 두 성과에 부여하는 상대적 가중치에 따라 탄소가격과 성과의 예측적 관계가 달라지는지 확인하고자 함.</w:t>
      </w:r>
    </w:p>
    <w:p w14:paraId="73F27C22" w14:textId="77777777" w:rsid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2008~2022년 EU ETS 참여기업 3,797개, 28개국의 25,037 기업-연도 관측치를 활용함. 재무성과는 EBITDA Margin, 환경성과 지표는 실제 검증 탄소배출량을 사용함.</w:t>
      </w:r>
    </w:p>
    <w:p w14:paraId="4E52295C" w14:textId="76183B13" w:rsidR="00D006B4" w:rsidRPr="007F2F23" w:rsidRDefault="00E65581" w:rsidP="007F2F23">
      <w:pPr>
        <w:rPr>
          <w:rFonts w:asciiTheme="majorHAnsi" w:eastAsiaTheme="majorHAnsi" w:hAnsiTheme="majorHAnsi"/>
          <w:sz w:val="18"/>
          <w:szCs w:val="20"/>
        </w:rPr>
      </w:pPr>
      <w:r w:rsidRPr="00E65581">
        <w:rPr>
          <w:rFonts w:asciiTheme="majorHAnsi" w:eastAsiaTheme="majorHAnsi" w:hAnsiTheme="majorHAnsi"/>
          <w:sz w:val="18"/>
          <w:szCs w:val="20"/>
        </w:rPr>
        <w:drawing>
          <wp:inline distT="0" distB="0" distL="0" distR="0" wp14:anchorId="4AA10B86" wp14:editId="7CA71F2A">
            <wp:extent cx="2775172" cy="1557614"/>
            <wp:effectExtent l="0" t="0" r="6350" b="5080"/>
            <wp:docPr id="12646144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14484" name=""/>
                    <pic:cNvPicPr/>
                  </pic:nvPicPr>
                  <pic:blipFill>
                    <a:blip r:embed="rId13"/>
                    <a:stretch>
                      <a:fillRect/>
                    </a:stretch>
                  </pic:blipFill>
                  <pic:spPr>
                    <a:xfrm>
                      <a:off x="0" y="0"/>
                      <a:ext cx="2784604" cy="1562908"/>
                    </a:xfrm>
                    <a:prstGeom prst="rect">
                      <a:avLst/>
                    </a:prstGeom>
                  </pic:spPr>
                </pic:pic>
              </a:graphicData>
            </a:graphic>
          </wp:inline>
        </w:drawing>
      </w:r>
      <w:r w:rsidRPr="00E65581">
        <w:rPr>
          <w:rFonts w:asciiTheme="majorHAnsi" w:eastAsiaTheme="majorHAnsi" w:hAnsiTheme="majorHAnsi"/>
          <w:sz w:val="18"/>
          <w:szCs w:val="20"/>
        </w:rPr>
        <w:drawing>
          <wp:inline distT="0" distB="0" distL="0" distR="0" wp14:anchorId="1A9F50A6" wp14:editId="0B35D9A6">
            <wp:extent cx="2641748" cy="1342825"/>
            <wp:effectExtent l="0" t="0" r="6350" b="0"/>
            <wp:docPr id="14490510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51071" name=""/>
                    <pic:cNvPicPr/>
                  </pic:nvPicPr>
                  <pic:blipFill>
                    <a:blip r:embed="rId14"/>
                    <a:stretch>
                      <a:fillRect/>
                    </a:stretch>
                  </pic:blipFill>
                  <pic:spPr>
                    <a:xfrm>
                      <a:off x="0" y="0"/>
                      <a:ext cx="2650720" cy="1347385"/>
                    </a:xfrm>
                    <a:prstGeom prst="rect">
                      <a:avLst/>
                    </a:prstGeom>
                  </pic:spPr>
                </pic:pic>
              </a:graphicData>
            </a:graphic>
          </wp:inline>
        </w:drawing>
      </w:r>
    </w:p>
    <w:p w14:paraId="38910B0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1. 재무·환경 복합 성과지수 구성</w:t>
      </w:r>
    </w:p>
    <w:p w14:paraId="2F5FF98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기업성과를 하나의 재무지표로 한정하지 않고 재무성과와 환경성과의 상대적 중요도에 따라 다르게 정의하고자 함.</w:t>
      </w:r>
    </w:p>
    <w:p w14:paraId="0FF3C96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EBITDA Margin과 실제 검증 배출량을 연도별로 표준화한 뒤, 두 지표의 가중합으로 종속변수를 구성함.</w:t>
      </w:r>
    </w:p>
    <w:p w14:paraId="1681E10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복합 성과지수 = w1 × 표준화 EBITDA Margin + w2 × 표준화 배출량</w:t>
      </w:r>
    </w:p>
    <w:p w14:paraId="0FA2083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두 가중치의 합을 1로 고정하고 0.1 단위로 조정해 11개의 종속변수 사양을 생성함. 재무성과 가중치 0.0은 배출량만을 반영하며, 1.0은 EBITDA Margin만을 반영하는 사양임.</w:t>
      </w:r>
    </w:p>
    <w:p w14:paraId="5621A41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이는 실제 기업의 전략적 우선순위를 관측한 것이 아니라, 성과지수의 정의를 변화시키는 시나리오 실험임.</w:t>
      </w:r>
    </w:p>
    <w:p w14:paraId="63A18B4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 xml:space="preserve">실험 2. </w:t>
      </w:r>
      <w:proofErr w:type="spellStart"/>
      <w:r w:rsidRPr="007F2F23">
        <w:rPr>
          <w:rFonts w:asciiTheme="majorHAnsi" w:eastAsiaTheme="majorHAnsi" w:hAnsiTheme="majorHAnsi"/>
          <w:b/>
          <w:bCs/>
          <w:sz w:val="18"/>
          <w:szCs w:val="20"/>
        </w:rPr>
        <w:t>XGBoost</w:t>
      </w:r>
      <w:proofErr w:type="spellEnd"/>
      <w:r w:rsidRPr="007F2F23">
        <w:rPr>
          <w:rFonts w:asciiTheme="majorHAnsi" w:eastAsiaTheme="majorHAnsi" w:hAnsiTheme="majorHAnsi"/>
          <w:b/>
          <w:bCs/>
          <w:sz w:val="18"/>
          <w:szCs w:val="20"/>
        </w:rPr>
        <w:t xml:space="preserve"> 모델링 및 최적화</w:t>
      </w:r>
    </w:p>
    <w:p w14:paraId="4768289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각 복합 성과지수 사양에 대해 별도의 </w:t>
      </w:r>
      <w:proofErr w:type="spellStart"/>
      <w:r w:rsidRPr="007F2F23">
        <w:rPr>
          <w:rFonts w:asciiTheme="majorHAnsi" w:eastAsiaTheme="majorHAnsi" w:hAnsiTheme="majorHAnsi"/>
          <w:sz w:val="18"/>
          <w:szCs w:val="20"/>
        </w:rPr>
        <w:t>XGBoost</w:t>
      </w:r>
      <w:proofErr w:type="spellEnd"/>
      <w:r w:rsidRPr="007F2F23">
        <w:rPr>
          <w:rFonts w:asciiTheme="majorHAnsi" w:eastAsiaTheme="majorHAnsi" w:hAnsiTheme="majorHAnsi"/>
          <w:sz w:val="18"/>
          <w:szCs w:val="20"/>
        </w:rPr>
        <w:t xml:space="preserve"> 회귀모형을 구축함. 설명변수로는 전년도 평균 EUA 탄소가격, 기업 재무·운영 특성, 국가, 산업활동 유형, 연도, ETS 계획기간 등을 활용함.</w:t>
      </w:r>
    </w:p>
    <w:p w14:paraId="01E9D28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5-fold Cross-validation에서 같은 기업이 학습과 테스트에 동시에 포함되지 않도록 기업 단위로 분할함. 각 사양에 대해 </w:t>
      </w:r>
      <w:proofErr w:type="spellStart"/>
      <w:r w:rsidRPr="007F2F23">
        <w:rPr>
          <w:rFonts w:asciiTheme="majorHAnsi" w:eastAsiaTheme="majorHAnsi" w:hAnsiTheme="majorHAnsi"/>
          <w:sz w:val="18"/>
          <w:szCs w:val="20"/>
        </w:rPr>
        <w:t>하이퍼파라미터를</w:t>
      </w:r>
      <w:proofErr w:type="spellEnd"/>
      <w:r w:rsidRPr="007F2F23">
        <w:rPr>
          <w:rFonts w:asciiTheme="majorHAnsi" w:eastAsiaTheme="majorHAnsi" w:hAnsiTheme="majorHAnsi"/>
          <w:sz w:val="18"/>
          <w:szCs w:val="20"/>
        </w:rPr>
        <w:t xml:space="preserve"> 최적화하고 평균 RMSE로 모델을 평가함.</w:t>
      </w:r>
    </w:p>
    <w:p w14:paraId="023DEB7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최적 </w:t>
      </w:r>
      <w:proofErr w:type="spellStart"/>
      <w:r w:rsidRPr="007F2F23">
        <w:rPr>
          <w:rFonts w:asciiTheme="majorHAnsi" w:eastAsiaTheme="majorHAnsi" w:hAnsiTheme="majorHAnsi"/>
          <w:sz w:val="18"/>
          <w:szCs w:val="20"/>
        </w:rPr>
        <w:t>하이퍼파라미터를</w:t>
      </w:r>
      <w:proofErr w:type="spellEnd"/>
      <w:r w:rsidRPr="007F2F23">
        <w:rPr>
          <w:rFonts w:asciiTheme="majorHAnsi" w:eastAsiaTheme="majorHAnsi" w:hAnsiTheme="majorHAnsi"/>
          <w:sz w:val="18"/>
          <w:szCs w:val="20"/>
        </w:rPr>
        <w:t xml:space="preserve"> 선정한 후 전체 표본을 활용해 최종 모델을 학습하고 해석분석을 수행함. 연구의 주된 관심은 알고리즘 간 성능 우위가 아니라 탄소가격 신호의 비선형적 예측관계에 있음.</w:t>
      </w:r>
    </w:p>
    <w:p w14:paraId="1C801CF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3. ALE 기반 탄소가격 민감도 분석</w:t>
      </w:r>
    </w:p>
    <w:p w14:paraId="79E2FDB1"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t>기업의 재무·환경 성과지수와 전년도 탄소가격 사이의 관계를 분석하기 위해 Accumulated Local Effects(ALE)를 적용함.</w:t>
      </w:r>
    </w:p>
    <w:p w14:paraId="142B780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11개 가중치 사양별로 전년도 평균 EUA 가격의 ALE 곡선을 추정하고, 탄소가격 상승에 따른 예측 성과지수의 변화를 비교함.</w:t>
      </w:r>
    </w:p>
    <w:p w14:paraId="62A92ADD"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재무성과 가중치가 0.0~0.3인 사양에서는 탄소가격과 복합 성과지수의 관계가 미약했음. 재무성과 가중치가 0.4 이상으로 증가하면서 탄소가격 상승에 따른 부정적인 예측관계가 나타나기 시작했으며, 0.6~0.9 구간에서는 음(-)의 반응이 더욱 </w:t>
      </w:r>
      <w:proofErr w:type="spellStart"/>
      <w:r w:rsidRPr="007F2F23">
        <w:rPr>
          <w:rFonts w:asciiTheme="majorHAnsi" w:eastAsiaTheme="majorHAnsi" w:hAnsiTheme="majorHAnsi"/>
          <w:sz w:val="18"/>
          <w:szCs w:val="20"/>
        </w:rPr>
        <w:t>뚜렷해짐</w:t>
      </w:r>
      <w:proofErr w:type="spellEnd"/>
      <w:r w:rsidRPr="007F2F23">
        <w:rPr>
          <w:rFonts w:asciiTheme="majorHAnsi" w:eastAsiaTheme="majorHAnsi" w:hAnsiTheme="majorHAnsi"/>
          <w:sz w:val="18"/>
          <w:szCs w:val="20"/>
        </w:rPr>
        <w:t>.</w:t>
      </w:r>
    </w:p>
    <w:p w14:paraId="0EDE5D92" w14:textId="40CCBF0B"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저자들은 탄소가격의 시장 신호가 재무성과를 중시하는 성과지수에서 더 명확하게 반영된다고 해석함. 다만 이는 ALE에 나타난 예측적 관계이며 탄소가격의 인과효과를 추정한 결과는 아님.</w:t>
      </w:r>
      <w:r w:rsidR="00E65581">
        <w:rPr>
          <w:rFonts w:asciiTheme="majorHAnsi" w:eastAsiaTheme="majorHAnsi" w:hAnsiTheme="majorHAnsi"/>
          <w:sz w:val="18"/>
          <w:szCs w:val="20"/>
        </w:rPr>
        <w:br/>
      </w:r>
      <w:r w:rsidR="00E65581" w:rsidRPr="00E65581">
        <w:rPr>
          <w:rFonts w:asciiTheme="majorHAnsi" w:eastAsiaTheme="majorHAnsi" w:hAnsiTheme="majorHAnsi"/>
          <w:sz w:val="18"/>
          <w:szCs w:val="20"/>
        </w:rPr>
        <w:drawing>
          <wp:inline distT="0" distB="0" distL="0" distR="0" wp14:anchorId="09C9CFA8" wp14:editId="4D093526">
            <wp:extent cx="5731510" cy="4282440"/>
            <wp:effectExtent l="0" t="0" r="2540" b="3810"/>
            <wp:docPr id="923584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84509" name=""/>
                    <pic:cNvPicPr/>
                  </pic:nvPicPr>
                  <pic:blipFill>
                    <a:blip r:embed="rId15"/>
                    <a:stretch>
                      <a:fillRect/>
                    </a:stretch>
                  </pic:blipFill>
                  <pic:spPr>
                    <a:xfrm>
                      <a:off x="0" y="0"/>
                      <a:ext cx="5731510" cy="4282440"/>
                    </a:xfrm>
                    <a:prstGeom prst="rect">
                      <a:avLst/>
                    </a:prstGeom>
                  </pic:spPr>
                </pic:pic>
              </a:graphicData>
            </a:graphic>
          </wp:inline>
        </w:drawing>
      </w:r>
    </w:p>
    <w:p w14:paraId="03B8522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추가 검토. 연구 설계의 한계</w:t>
      </w:r>
    </w:p>
    <w:p w14:paraId="5133764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각 성과지수 가중치에 대해 별도의 </w:t>
      </w:r>
      <w:proofErr w:type="spellStart"/>
      <w:r w:rsidRPr="007F2F23">
        <w:rPr>
          <w:rFonts w:asciiTheme="majorHAnsi" w:eastAsiaTheme="majorHAnsi" w:hAnsiTheme="majorHAnsi"/>
          <w:sz w:val="18"/>
          <w:szCs w:val="20"/>
        </w:rPr>
        <w:t>XGBoost</w:t>
      </w:r>
      <w:proofErr w:type="spellEnd"/>
      <w:r w:rsidRPr="007F2F23">
        <w:rPr>
          <w:rFonts w:asciiTheme="majorHAnsi" w:eastAsiaTheme="majorHAnsi" w:hAnsiTheme="majorHAnsi"/>
          <w:sz w:val="18"/>
          <w:szCs w:val="20"/>
        </w:rPr>
        <w:t xml:space="preserve">를 최적화했으므로, ALE 곡선의 차이가 가중치 변화에서만 발생했다고 단정하기 어려움. </w:t>
      </w:r>
      <w:proofErr w:type="spellStart"/>
      <w:r w:rsidRPr="007F2F23">
        <w:rPr>
          <w:rFonts w:asciiTheme="majorHAnsi" w:eastAsiaTheme="majorHAnsi" w:hAnsiTheme="majorHAnsi"/>
          <w:sz w:val="18"/>
          <w:szCs w:val="20"/>
        </w:rPr>
        <w:t>모델별</w:t>
      </w:r>
      <w:proofErr w:type="spellEnd"/>
      <w:r w:rsidRPr="007F2F23">
        <w:rPr>
          <w:rFonts w:asciiTheme="majorHAnsi" w:eastAsiaTheme="majorHAnsi" w:hAnsiTheme="majorHAnsi"/>
          <w:sz w:val="18"/>
          <w:szCs w:val="20"/>
        </w:rPr>
        <w:t xml:space="preserve"> </w:t>
      </w:r>
      <w:proofErr w:type="spellStart"/>
      <w:r w:rsidRPr="007F2F23">
        <w:rPr>
          <w:rFonts w:asciiTheme="majorHAnsi" w:eastAsiaTheme="majorHAnsi" w:hAnsiTheme="majorHAnsi"/>
          <w:sz w:val="18"/>
          <w:szCs w:val="20"/>
        </w:rPr>
        <w:t>하이퍼파라미터</w:t>
      </w:r>
      <w:proofErr w:type="spellEnd"/>
      <w:r w:rsidRPr="007F2F23">
        <w:rPr>
          <w:rFonts w:asciiTheme="majorHAnsi" w:eastAsiaTheme="majorHAnsi" w:hAnsiTheme="majorHAnsi"/>
          <w:sz w:val="18"/>
          <w:szCs w:val="20"/>
        </w:rPr>
        <w:t xml:space="preserve"> 및 적합도 차이가 결과에 영향을 미칠 수 있음을 인정함.</w:t>
      </w:r>
    </w:p>
    <w:p w14:paraId="3E4D8E2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또한 전년도 평균 탄소가격만 사용하므로 장기적인 탄소비용 적응과정이 충분히 반영되지 않을 수 있으며, 산업별 비용 전가 능력의 차이를 별도로 분석하지 못했다는 한계를 제시함.</w:t>
      </w:r>
    </w:p>
    <w:p w14:paraId="4AB7BE6E"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pict w14:anchorId="3C537173">
          <v:rect id="_x0000_i1057" style="width:0;height:1.5pt" o:hralign="center" o:hrstd="t" o:hr="t" fillcolor="#a0a0a0" stroked="f"/>
        </w:pict>
      </w:r>
    </w:p>
    <w:p w14:paraId="061152AA" w14:textId="77777777" w:rsidR="007F2F23" w:rsidRPr="0015204F" w:rsidRDefault="007F2F23" w:rsidP="007F2F23">
      <w:pPr>
        <w:rPr>
          <w:rFonts w:asciiTheme="majorHAnsi" w:eastAsiaTheme="majorHAnsi" w:hAnsiTheme="majorHAnsi"/>
          <w:b/>
          <w:bCs/>
          <w:sz w:val="24"/>
          <w:szCs w:val="28"/>
        </w:rPr>
      </w:pPr>
      <w:r w:rsidRPr="0015204F">
        <w:rPr>
          <w:rFonts w:asciiTheme="majorHAnsi" w:eastAsiaTheme="majorHAnsi" w:hAnsiTheme="majorHAnsi"/>
          <w:b/>
          <w:bCs/>
          <w:sz w:val="24"/>
          <w:szCs w:val="28"/>
        </w:rPr>
        <w:t>4. Kalantzis et al. (2025)</w:t>
      </w:r>
    </w:p>
    <w:p w14:paraId="619CE8E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b/>
          <w:bCs/>
          <w:sz w:val="18"/>
          <w:szCs w:val="20"/>
        </w:rPr>
        <w:t xml:space="preserve">Firms’ Response to Climate Regulations: Empirical Investigations Based on the European Emissions </w:t>
      </w:r>
      <w:r w:rsidRPr="007F2F23">
        <w:rPr>
          <w:rFonts w:asciiTheme="majorHAnsi" w:eastAsiaTheme="majorHAnsi" w:hAnsiTheme="majorHAnsi"/>
          <w:b/>
          <w:bCs/>
          <w:sz w:val="18"/>
          <w:szCs w:val="20"/>
        </w:rPr>
        <w:lastRenderedPageBreak/>
        <w:t>Trading System</w:t>
      </w:r>
    </w:p>
    <w:p w14:paraId="5BA0832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i/>
          <w:iCs/>
          <w:sz w:val="18"/>
          <w:szCs w:val="20"/>
        </w:rPr>
        <w:t>Energy Policy</w:t>
      </w:r>
    </w:p>
    <w:p w14:paraId="37D4F5DE"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연구 목적 및 데이터</w:t>
      </w:r>
    </w:p>
    <w:p w14:paraId="7FE9190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환경규제 강화가 기업의 비용·매출·수익성·투자에 미치는 영향을 분석하고, ETS 참여 여부와 실제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구매부담에 따라 기업의 대응이 달라지는지 검증하고자 함.</w:t>
      </w:r>
    </w:p>
    <w:p w14:paraId="2C729B3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1995~2020년 유럽 12개국의 약 100만 기업을 포함한 재무패널을 구축함. 이 가운데 ETS 시설을 보유한 기업 1,870개를 식별했으며, 주요 회귀에서는 ETS 기업 1,599개를 포함함.</w:t>
      </w:r>
    </w:p>
    <w:p w14:paraId="43B8FC6C" w14:textId="0FB56B15"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환경규제 지표로 OECD의 시장기반 환경정책 엄격성(EPS) 지수를 사용하고, 기업성과는 매출·투입비용·EBITDA·고정자산의 로그 변화량으로 측정함.</w:t>
      </w:r>
      <w:r w:rsidR="0015204F">
        <w:rPr>
          <w:rFonts w:asciiTheme="majorHAnsi" w:eastAsiaTheme="majorHAnsi" w:hAnsiTheme="majorHAnsi"/>
          <w:sz w:val="18"/>
          <w:szCs w:val="20"/>
        </w:rPr>
        <w:br/>
      </w:r>
      <w:r w:rsidR="0015204F" w:rsidRPr="0015204F">
        <w:rPr>
          <w:rFonts w:asciiTheme="majorHAnsi" w:eastAsiaTheme="majorHAnsi" w:hAnsiTheme="majorHAnsi"/>
          <w:sz w:val="18"/>
          <w:szCs w:val="20"/>
        </w:rPr>
        <w:drawing>
          <wp:inline distT="0" distB="0" distL="0" distR="0" wp14:anchorId="3DD9B329" wp14:editId="472756A8">
            <wp:extent cx="3839149" cy="2955576"/>
            <wp:effectExtent l="0" t="0" r="9525" b="0"/>
            <wp:docPr id="15658522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2254" name=""/>
                    <pic:cNvPicPr/>
                  </pic:nvPicPr>
                  <pic:blipFill>
                    <a:blip r:embed="rId16"/>
                    <a:stretch>
                      <a:fillRect/>
                    </a:stretch>
                  </pic:blipFill>
                  <pic:spPr>
                    <a:xfrm>
                      <a:off x="0" y="0"/>
                      <a:ext cx="3843634" cy="2959029"/>
                    </a:xfrm>
                    <a:prstGeom prst="rect">
                      <a:avLst/>
                    </a:prstGeom>
                  </pic:spPr>
                </pic:pic>
              </a:graphicData>
            </a:graphic>
          </wp:inline>
        </w:drawing>
      </w:r>
    </w:p>
    <w:p w14:paraId="2AB88F9B"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1. 환경규제 강화와 평균적인 기업 재무성과</w:t>
      </w:r>
    </w:p>
    <w:p w14:paraId="0569F50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환경규제 강화가 기업성과에 미치는 평균적인 영향을 확인하기 위해 EPS 지수의 변화와 재무성과 변화량 사이의 패널회귀를 추정함.</w:t>
      </w:r>
    </w:p>
    <w:p w14:paraId="4CE96DC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기업 고정효과 및 국가·산업·연도 관련 고정효과와 통제변수를 포함해, 규제 강화에 따른 비용·매출·이익·투자 변화를 각각 분석함.</w:t>
      </w:r>
    </w:p>
    <w:p w14:paraId="32251E2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분석 결과 환경규제 강화가 평균적인 기업의 수익성을 크게 훼손한다는 일관된 증거는 나타나지 않음. 일부 기업에서는 비용과 매출이 동시에 조정되며 수익성이 유지되는 패턴이 관찰됨.</w:t>
      </w:r>
    </w:p>
    <w:p w14:paraId="55033E46"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 xml:space="preserve">실험 2. ETS 참여 여부와 </w:t>
      </w:r>
      <w:proofErr w:type="spellStart"/>
      <w:r w:rsidRPr="007F2F23">
        <w:rPr>
          <w:rFonts w:asciiTheme="majorHAnsi" w:eastAsiaTheme="majorHAnsi" w:hAnsiTheme="majorHAnsi"/>
          <w:b/>
          <w:bCs/>
          <w:sz w:val="18"/>
          <w:szCs w:val="20"/>
        </w:rPr>
        <w:t>배출권</w:t>
      </w:r>
      <w:proofErr w:type="spellEnd"/>
      <w:r w:rsidRPr="007F2F23">
        <w:rPr>
          <w:rFonts w:asciiTheme="majorHAnsi" w:eastAsiaTheme="majorHAnsi" w:hAnsiTheme="majorHAnsi"/>
          <w:b/>
          <w:bCs/>
          <w:sz w:val="18"/>
          <w:szCs w:val="20"/>
        </w:rPr>
        <w:t xml:space="preserve"> 구매부담별 이질성 분석</w:t>
      </w:r>
    </w:p>
    <w:p w14:paraId="7878D76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규제대상 기업이라도 실제 탄소비용을 부담하는지에 따라 성과가 다르게 나타나는지 검증함.</w:t>
      </w:r>
    </w:p>
    <w:p w14:paraId="4EED3BD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기업을 비ETS 기업, ETS 기업 중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구매부담이 없는 기업, ETS 기업 중 구매부담이 있는 기업으로 구분함. 탄소가격이 전체 기간의 상위 25%에 해당하는 시점을 높은 탄소가격 구간으로 정의하고, 환경규제 변화와 기업집단·탄소가격 구간의 상호작용을 분석함.</w:t>
      </w:r>
    </w:p>
    <w:p w14:paraId="7E1CF59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높은 탄소가격 구간에서 실제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구매부담이 있는 기업은 투입비용이 6% 이상 증가하고 매출도 약 3% </w:t>
      </w:r>
      <w:r w:rsidRPr="007F2F23">
        <w:rPr>
          <w:rFonts w:asciiTheme="majorHAnsi" w:eastAsiaTheme="majorHAnsi" w:hAnsiTheme="majorHAnsi"/>
          <w:sz w:val="18"/>
          <w:szCs w:val="20"/>
        </w:rPr>
        <w:lastRenderedPageBreak/>
        <w:t>증가하는 패턴을 보였음. 그러나 이익은 통계적으로 유의하게 감소하지 않았음.</w:t>
      </w:r>
    </w:p>
    <w:p w14:paraId="38060622" w14:textId="4731F0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반면 구매부담이 없는 기업에서는 높은 탄소가격에 따른 이익 증가가 나타남. 저자들은 잉여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판매와 비용 전가 가능성 등을 설명으로 제시함.</w:t>
      </w:r>
      <w:r w:rsidR="0015204F">
        <w:rPr>
          <w:rFonts w:asciiTheme="majorHAnsi" w:eastAsiaTheme="majorHAnsi" w:hAnsiTheme="majorHAnsi"/>
          <w:sz w:val="18"/>
          <w:szCs w:val="20"/>
        </w:rPr>
        <w:br/>
      </w:r>
      <w:r w:rsidR="0015204F" w:rsidRPr="0015204F">
        <w:rPr>
          <w:rFonts w:asciiTheme="majorHAnsi" w:eastAsiaTheme="majorHAnsi" w:hAnsiTheme="majorHAnsi"/>
          <w:sz w:val="18"/>
          <w:szCs w:val="20"/>
        </w:rPr>
        <w:drawing>
          <wp:inline distT="0" distB="0" distL="0" distR="0" wp14:anchorId="61E2D82D" wp14:editId="117BCCAA">
            <wp:extent cx="3679410" cy="2961476"/>
            <wp:effectExtent l="0" t="0" r="0" b="0"/>
            <wp:docPr id="4169092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09222" name=""/>
                    <pic:cNvPicPr/>
                  </pic:nvPicPr>
                  <pic:blipFill>
                    <a:blip r:embed="rId17"/>
                    <a:stretch>
                      <a:fillRect/>
                    </a:stretch>
                  </pic:blipFill>
                  <pic:spPr>
                    <a:xfrm>
                      <a:off x="0" y="0"/>
                      <a:ext cx="3682641" cy="2964076"/>
                    </a:xfrm>
                    <a:prstGeom prst="rect">
                      <a:avLst/>
                    </a:prstGeom>
                  </pic:spPr>
                </pic:pic>
              </a:graphicData>
            </a:graphic>
          </wp:inline>
        </w:drawing>
      </w:r>
    </w:p>
    <w:p w14:paraId="5A261866"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3. 고정자산 투자에 대한 영향 분석</w:t>
      </w:r>
    </w:p>
    <w:p w14:paraId="0282D6ED"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탄소규제 강화에 대응해 기업이 투자를 확대하는지 확인하기 위해 고정자산 변화량을 종속변수로 설정함.</w:t>
      </w:r>
    </w:p>
    <w:p w14:paraId="707BFBB7"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높은 탄소가격 환경에서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구매부담이 있는 ETS 기업은 EPS 지수 1단위 증가에 대해 고정자산이 약 4.5% 증가하는 것으로 나타남.</w:t>
      </w:r>
    </w:p>
    <w:p w14:paraId="5F748F7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이는 기업이 높아진 탄소비용에 대응하여 생산 및 기술 관련 투자를 확대할 수 있음을 보여주는 결과로 해석함.</w:t>
      </w:r>
    </w:p>
    <w:p w14:paraId="15B0E668"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4. 유형자산과 무형자산의 투자 구성 비교</w:t>
      </w:r>
    </w:p>
    <w:p w14:paraId="3E83E84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규제에 대한 기업의 대응이 생산설비에 집중되는지, 무형자산 투자에서도 나타나는지 확인함.</w:t>
      </w:r>
    </w:p>
    <w:p w14:paraId="6572534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전체 고정자산과 유형고정자산을 각각 종속변수로 분석하고 투자 구성의 차이를 간접적으로 평가함. 무형자산이 0으로 보고되는 기업이 많아 무형자산의 변화를 직접 추정하지는 않음.</w:t>
      </w:r>
    </w:p>
    <w:p w14:paraId="6DF22ED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실제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구매부담이 있는 ETS 기업에서는 전체 고정자산과 유형자산이 함께 증가했으며, 무형자산 투자도 증가했을 가능성이 제시됨. 반면 구매부담이 없는 기업에서는 유형자산 증가만 뚜렷하게 나타남.</w:t>
      </w:r>
    </w:p>
    <w:p w14:paraId="7EFD1DEA"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5. 탄소가격 수준과 변동성의 영향 구분</w:t>
      </w:r>
    </w:p>
    <w:p w14:paraId="4F71926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기업의 대응이 높은 탄소가격에 따른 비용 부담 때문인지, 가격 변동성에 따른 불확실성 때문인지 확인하고자 함.</w:t>
      </w:r>
    </w:p>
    <w:p w14:paraId="530AE8D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높은 탄소가격 구간과 높은 탄소가격 변동성 구간을 별도로 설정하여 회귀분석을 수행함.</w:t>
      </w:r>
    </w:p>
    <w:p w14:paraId="64925A8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높은 탄소가격 구간에서는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 기업의 투자 증가가 나타났으나, 가격 변동성이 높은 구간에서는 동일한 투자 증가가 유의하게 관찰되지 않음.</w:t>
      </w:r>
    </w:p>
    <w:p w14:paraId="5DA74375" w14:textId="3258A131"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t>실제 탄소가격 수준과 구매부담이 가격 변동성보다 기업의 투자 대응과 밀접하게 관련될 가능성을 제시함.</w:t>
      </w:r>
      <w:r w:rsidR="00201911">
        <w:rPr>
          <w:rFonts w:asciiTheme="majorHAnsi" w:eastAsiaTheme="majorHAnsi" w:hAnsiTheme="majorHAnsi"/>
          <w:sz w:val="18"/>
          <w:szCs w:val="20"/>
        </w:rPr>
        <w:br/>
      </w:r>
      <w:r w:rsidR="00201911" w:rsidRPr="00201911">
        <w:rPr>
          <w:rFonts w:asciiTheme="majorHAnsi" w:eastAsiaTheme="majorHAnsi" w:hAnsiTheme="majorHAnsi"/>
          <w:sz w:val="18"/>
          <w:szCs w:val="20"/>
        </w:rPr>
        <w:drawing>
          <wp:inline distT="0" distB="0" distL="0" distR="0" wp14:anchorId="0D2C9C23" wp14:editId="5FFEF637">
            <wp:extent cx="4017461" cy="3143369"/>
            <wp:effectExtent l="0" t="0" r="2540" b="0"/>
            <wp:docPr id="802403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304" name=""/>
                    <pic:cNvPicPr/>
                  </pic:nvPicPr>
                  <pic:blipFill>
                    <a:blip r:embed="rId18"/>
                    <a:stretch>
                      <a:fillRect/>
                    </a:stretch>
                  </pic:blipFill>
                  <pic:spPr>
                    <a:xfrm>
                      <a:off x="0" y="0"/>
                      <a:ext cx="4026247" cy="3150243"/>
                    </a:xfrm>
                    <a:prstGeom prst="rect">
                      <a:avLst/>
                    </a:prstGeom>
                  </pic:spPr>
                </pic:pic>
              </a:graphicData>
            </a:graphic>
          </wp:inline>
        </w:drawing>
      </w:r>
    </w:p>
    <w:p w14:paraId="74D3C09C"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6. 재무건전성 통제 및 분위회귀 강건성 검증</w:t>
      </w:r>
    </w:p>
    <w:p w14:paraId="7A910A1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주요 결과가 기업의 재무구조나 일부 극단적 기업의 영향을 받은 것인지 확인함.</w:t>
      </w:r>
    </w:p>
    <w:p w14:paraId="293D2A7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기존 회귀에 현금/총자산과 부채/총자산을 추가하고, 평균적인 기업뿐 아니라 중위기업의 반응을 확인하기 위해 중앙값 분위회귀(Quantile Regression)를 수행함.</w:t>
      </w:r>
    </w:p>
    <w:p w14:paraId="2A91DDE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재무변수 통제 이후에도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구매부담 기업의 투자 증가가 유지되었으며, 투자 증가 추정치는 약 4.5%에서 6% 수준으로 나타남. 중앙값 분위회귀에서도 높은 탄소가격에 따른 투자 증가가 확인되었으며, 중위기업의 투자 증가폭은 약 3%로 나타남.</w:t>
      </w:r>
    </w:p>
    <w:p w14:paraId="38FBEC19"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이를 통해 주요 결과가 일부 극단적 관측치에만 의존하지 않는다는 근거를 제시함.</w:t>
      </w:r>
    </w:p>
    <w:p w14:paraId="49782971"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pict w14:anchorId="68342C81">
          <v:rect id="_x0000_i1058" style="width:0;height:1.5pt" o:hralign="center" o:hrstd="t" o:hr="t" fillcolor="#a0a0a0" stroked="f"/>
        </w:pict>
      </w:r>
    </w:p>
    <w:p w14:paraId="21DAAA38" w14:textId="77777777" w:rsidR="007F2F23" w:rsidRPr="00201911" w:rsidRDefault="007F2F23" w:rsidP="007F2F23">
      <w:pPr>
        <w:rPr>
          <w:rFonts w:asciiTheme="majorHAnsi" w:eastAsiaTheme="majorHAnsi" w:hAnsiTheme="majorHAnsi"/>
          <w:b/>
          <w:bCs/>
          <w:sz w:val="24"/>
          <w:szCs w:val="28"/>
        </w:rPr>
      </w:pPr>
      <w:r w:rsidRPr="00201911">
        <w:rPr>
          <w:rFonts w:asciiTheme="majorHAnsi" w:eastAsiaTheme="majorHAnsi" w:hAnsiTheme="majorHAnsi"/>
          <w:b/>
          <w:bCs/>
          <w:sz w:val="24"/>
          <w:szCs w:val="28"/>
        </w:rPr>
        <w:t>5. Makridou et al. (2019)</w:t>
      </w:r>
    </w:p>
    <w:p w14:paraId="5CC0FBD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b/>
          <w:bCs/>
          <w:sz w:val="18"/>
          <w:szCs w:val="20"/>
        </w:rPr>
        <w:t>The Financial Performance of Firms Participating in the EU Emissions Trading Scheme</w:t>
      </w:r>
    </w:p>
    <w:p w14:paraId="728A243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i/>
          <w:iCs/>
          <w:sz w:val="18"/>
          <w:szCs w:val="20"/>
        </w:rPr>
        <w:t>Energy Policy</w:t>
      </w:r>
    </w:p>
    <w:p w14:paraId="389D671E"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연구 목적 및 데이터</w:t>
      </w:r>
    </w:p>
    <w:p w14:paraId="0989C8D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EU ETS 참여기업의 수익성이 기업 재무상태, 거시경제, 에너지시장 환경,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할당 및 실제 배출량과 어떤 관계를 갖는지 검증하고자 함.</w:t>
      </w:r>
    </w:p>
    <w:p w14:paraId="05EA728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2006~2014년 유럽 19개국 ETS 참여기업 3,952개를 대상으로 21,324 기업-연도 관측치를 수집함. 주요 회귀분석에는 16,344개 관측치를 사용함.</w:t>
      </w:r>
    </w:p>
    <w:p w14:paraId="0E38E5D6" w14:textId="17678A99"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종속변수는 EBIT/총자산으로 정의한 수익성 지표(EBITTA)임. 기업·국가·산업·시점에 따른 계층적 특성을 반영하기 위해 Cross-classified Multilevel Model을 활용함.</w:t>
      </w:r>
      <w:r w:rsidR="00201911">
        <w:rPr>
          <w:rFonts w:asciiTheme="majorHAnsi" w:eastAsiaTheme="majorHAnsi" w:hAnsiTheme="majorHAnsi"/>
          <w:sz w:val="18"/>
          <w:szCs w:val="20"/>
        </w:rPr>
        <w:br/>
      </w:r>
      <w:r w:rsidR="00201911" w:rsidRPr="00201911">
        <w:rPr>
          <w:rFonts w:asciiTheme="majorHAnsi" w:eastAsiaTheme="majorHAnsi" w:hAnsiTheme="majorHAnsi"/>
          <w:sz w:val="18"/>
          <w:szCs w:val="20"/>
        </w:rPr>
        <w:lastRenderedPageBreak/>
        <w:drawing>
          <wp:inline distT="0" distB="0" distL="0" distR="0" wp14:anchorId="7A3CC155" wp14:editId="2D0C9F75">
            <wp:extent cx="3441215" cy="1869112"/>
            <wp:effectExtent l="0" t="0" r="6985" b="0"/>
            <wp:docPr id="20334698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69816" name=""/>
                    <pic:cNvPicPr/>
                  </pic:nvPicPr>
                  <pic:blipFill>
                    <a:blip r:embed="rId19"/>
                    <a:stretch>
                      <a:fillRect/>
                    </a:stretch>
                  </pic:blipFill>
                  <pic:spPr>
                    <a:xfrm>
                      <a:off x="0" y="0"/>
                      <a:ext cx="3447662" cy="1872614"/>
                    </a:xfrm>
                    <a:prstGeom prst="rect">
                      <a:avLst/>
                    </a:prstGeom>
                  </pic:spPr>
                </pic:pic>
              </a:graphicData>
            </a:graphic>
          </wp:inline>
        </w:drawing>
      </w:r>
    </w:p>
    <w:p w14:paraId="37D60415"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1. 재무·거시변수 기준모형 M1</w:t>
      </w:r>
    </w:p>
    <w:p w14:paraId="28675C1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기업의 기본적인 재무특성과 거시경제 환경이 수익성에 미치는 관계를 분석함.</w:t>
      </w:r>
    </w:p>
    <w:p w14:paraId="2044BC9E"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유동비율, 자기자본비율, 기업규모, 인력집약도, 매출/총자산, GDP 성장률 등을 설명변수로 설정함. 기업 재무비율에 1년 시차를 적용하여 동일 기간 수익성과의 동시성 문제를 완화함.</w:t>
      </w:r>
    </w:p>
    <w:p w14:paraId="0804C03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자기자본비율, 매출/총자산, GDP 성장률은 수익성과 양(+)의 유의한 관계를 보였으며, 인력집약도는 음(-)의 관계를 나타냄.</w:t>
      </w:r>
    </w:p>
    <w:p w14:paraId="394E7DAE"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2. 에너지·탄소가격 변수 추가모형 M2</w:t>
      </w:r>
    </w:p>
    <w:p w14:paraId="1338608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재무·거시정보에 에너지시장 관련 정보를 추가할 때 모형의 적합도가 개선되는지 확인함.</w:t>
      </w:r>
    </w:p>
    <w:p w14:paraId="74DC7049"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M1에 전력시장 경쟁수준(MER), 에너지효율 정책점수(EFPS), 탄소선물가격 변화율(AGRFP)을 추가함.</w:t>
      </w:r>
    </w:p>
    <w:p w14:paraId="47CC9EC6"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EFPS는 수익성과 유의한 양(+)의 관계를 보였으나, MER와 AGRFP는 통계적으로 유의하지 않았음. AIC 역시 M1의 115,977.2에서 M2의 115,978.8로 소폭 상승해 모형 적합도가 개선되지 않음.</w:t>
      </w:r>
    </w:p>
    <w:p w14:paraId="0FF3EE52"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 xml:space="preserve">실험 3. </w:t>
      </w:r>
      <w:proofErr w:type="spellStart"/>
      <w:r w:rsidRPr="007F2F23">
        <w:rPr>
          <w:rFonts w:asciiTheme="majorHAnsi" w:eastAsiaTheme="majorHAnsi" w:hAnsiTheme="majorHAnsi"/>
          <w:b/>
          <w:bCs/>
          <w:sz w:val="18"/>
          <w:szCs w:val="20"/>
        </w:rPr>
        <w:t>배출권</w:t>
      </w:r>
      <w:proofErr w:type="spellEnd"/>
      <w:r w:rsidRPr="007F2F23">
        <w:rPr>
          <w:rFonts w:asciiTheme="majorHAnsi" w:eastAsiaTheme="majorHAnsi" w:hAnsiTheme="majorHAnsi"/>
          <w:b/>
          <w:bCs/>
          <w:sz w:val="18"/>
          <w:szCs w:val="20"/>
        </w:rPr>
        <w:t xml:space="preserve"> 할당비율 변수 추가모형 M3</w:t>
      </w:r>
    </w:p>
    <w:p w14:paraId="1C0A71D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실제 배출량 대비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할당량이 기업 수익성과 관련되는지 검증함.</w:t>
      </w:r>
    </w:p>
    <w:p w14:paraId="57BE2BD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M2에 AF =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w:t>
      </w:r>
      <w:proofErr w:type="gramStart"/>
      <w:r w:rsidRPr="007F2F23">
        <w:rPr>
          <w:rFonts w:asciiTheme="majorHAnsi" w:eastAsiaTheme="majorHAnsi" w:hAnsiTheme="majorHAnsi"/>
          <w:sz w:val="18"/>
          <w:szCs w:val="20"/>
        </w:rPr>
        <w:t>할당량 /</w:t>
      </w:r>
      <w:proofErr w:type="gramEnd"/>
      <w:r w:rsidRPr="007F2F23">
        <w:rPr>
          <w:rFonts w:asciiTheme="majorHAnsi" w:eastAsiaTheme="majorHAnsi" w:hAnsiTheme="majorHAnsi"/>
          <w:sz w:val="18"/>
          <w:szCs w:val="20"/>
        </w:rPr>
        <w:t xml:space="preserve"> 실제 검증 배출량을 추가함.</w:t>
      </w:r>
    </w:p>
    <w:p w14:paraId="35A4655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AF의 계수는 -0.231로 1% 수준에서 유의했으며, AIC는 115,915.9로 감소함.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할당과 관련된 정보가 수익성 설명에 추가적인 기여를 한다는 결과임.</w:t>
      </w:r>
    </w:p>
    <w:p w14:paraId="7ED0A81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다만 AF는 할당량을 실제 배출량으로 나눈 지표이므로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부족률과 동일한 의미로 해석할 수 없음.</w:t>
      </w:r>
    </w:p>
    <w:p w14:paraId="25CCC934"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4. 탄소집약도 변수 추가모형 M4</w:t>
      </w:r>
    </w:p>
    <w:p w14:paraId="3C4FA3B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기업의 배출집약도가 수익성과 관련되는지 확인함.</w:t>
      </w:r>
    </w:p>
    <w:p w14:paraId="564946F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M2에 VETS = 실제 검증 </w:t>
      </w:r>
      <w:proofErr w:type="gramStart"/>
      <w:r w:rsidRPr="007F2F23">
        <w:rPr>
          <w:rFonts w:asciiTheme="majorHAnsi" w:eastAsiaTheme="majorHAnsi" w:hAnsiTheme="majorHAnsi"/>
          <w:sz w:val="18"/>
          <w:szCs w:val="20"/>
        </w:rPr>
        <w:t>배출량 /</w:t>
      </w:r>
      <w:proofErr w:type="gramEnd"/>
      <w:r w:rsidRPr="007F2F23">
        <w:rPr>
          <w:rFonts w:asciiTheme="majorHAnsi" w:eastAsiaTheme="majorHAnsi" w:hAnsiTheme="majorHAnsi"/>
          <w:sz w:val="18"/>
          <w:szCs w:val="20"/>
        </w:rPr>
        <w:t xml:space="preserve"> 매출액을 추가함.</w:t>
      </w:r>
    </w:p>
    <w:p w14:paraId="5433C87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VETS의 계수는 -0.148로 1% 수준에서 유의했으며, AIC는 115,969.4로 감소함. 매출 대비 탄소배출량이 높은 기업에서 낮은 수익성이 관찰되는 관계를 확인함.</w:t>
      </w:r>
    </w:p>
    <w:p w14:paraId="619D9408"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5. 탄소 관련 변수 통합모형 M5</w:t>
      </w:r>
    </w:p>
    <w:p w14:paraId="7544CFD8"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할당비율과 탄소집약도를 동시에 투입했을 때 각각의 관계가 유지되는지 검증함.</w:t>
      </w:r>
    </w:p>
    <w:p w14:paraId="6BE6829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t>M5는 재무·거시·에너지·탄소 변수를 모두 포함한 모형임. AF의 계수는 -0.251, VETS는 -0.206으로 모두 1% 수준에서 유의했음. 탄소선물가격 변화율은 여전히 유의하지 않았음.</w:t>
      </w:r>
    </w:p>
    <w:p w14:paraId="052D7F4E" w14:textId="404C5BB2"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M5의 AIC는 115,896.1로 5개 모형 중 가장 낮았음. 탄소가격 변화 자체보다 기업의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할당 상태 및 배출집약도가 수익성을 설명하는 데 더 중요한 변수로 나타남.</w:t>
      </w:r>
      <w:r w:rsidR="00C3505A">
        <w:rPr>
          <w:rFonts w:asciiTheme="majorHAnsi" w:eastAsiaTheme="majorHAnsi" w:hAnsiTheme="majorHAnsi"/>
          <w:sz w:val="18"/>
          <w:szCs w:val="20"/>
        </w:rPr>
        <w:br/>
      </w:r>
      <w:r w:rsidR="00C3505A" w:rsidRPr="00C3505A">
        <w:rPr>
          <w:rFonts w:asciiTheme="majorHAnsi" w:eastAsiaTheme="majorHAnsi" w:hAnsiTheme="majorHAnsi"/>
          <w:sz w:val="18"/>
          <w:szCs w:val="20"/>
        </w:rPr>
        <w:drawing>
          <wp:inline distT="0" distB="0" distL="0" distR="0" wp14:anchorId="4C669C05" wp14:editId="678DD64A">
            <wp:extent cx="5731510" cy="3398520"/>
            <wp:effectExtent l="0" t="0" r="2540" b="0"/>
            <wp:docPr id="11532413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1302" name=""/>
                    <pic:cNvPicPr/>
                  </pic:nvPicPr>
                  <pic:blipFill>
                    <a:blip r:embed="rId20"/>
                    <a:stretch>
                      <a:fillRect/>
                    </a:stretch>
                  </pic:blipFill>
                  <pic:spPr>
                    <a:xfrm>
                      <a:off x="0" y="0"/>
                      <a:ext cx="5731510" cy="3398520"/>
                    </a:xfrm>
                    <a:prstGeom prst="rect">
                      <a:avLst/>
                    </a:prstGeom>
                  </pic:spPr>
                </pic:pic>
              </a:graphicData>
            </a:graphic>
          </wp:inline>
        </w:drawing>
      </w:r>
    </w:p>
    <w:p w14:paraId="3D7984B7"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6. 기업·국가·산업·시점의 분산 분해</w:t>
      </w:r>
    </w:p>
    <w:p w14:paraId="79E52ED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수익성의 차이가 어느 수준에서 주로 발생하는지 확인하기 위해 다층모형의 분산 구성요소를 분석함.</w:t>
      </w:r>
    </w:p>
    <w:p w14:paraId="6843613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M5에서 기업 수준의 분산 추정치는 약 47.6, 시점 수준은 약 49.8로 나타났으며, 국가·산업 수준의 분산은 상대적으로 작았음. 기업 고유 특성과 시간에 따른 변화가 수익성의 주요 변동성을 구성함을 확인함.</w:t>
      </w:r>
    </w:p>
    <w:p w14:paraId="7BF6980F"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7. ETS 계획기간별 분석</w:t>
      </w:r>
    </w:p>
    <w:p w14:paraId="3E34600D"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규제 제도의 변화에 따라 수익성 관련 변수의 역할이 달라지는지 검증함.</w:t>
      </w:r>
    </w:p>
    <w:p w14:paraId="7A559C1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M5를 EU ETS 제2기(2008~2012년)와 제3기(2013~2014년)에 각각 적용함. 제2기는 10,383개, 제3기는 4,252개 관측치를 사용함.</w:t>
      </w:r>
    </w:p>
    <w:p w14:paraId="41517E7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AF와 VETS의 음(-)의 관계는 두 기간 모두에서 유의했음. 반면 에너지효율 정책점수의 양(+)의 관계는 제2기에서 유의했으나 제3기에서는 유의하지 않았으며, 일부 재무·에너지 변수의 계수 방향과 유의성도 변화함.</w:t>
      </w:r>
    </w:p>
    <w:p w14:paraId="6E6C5A23" w14:textId="440A2018"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관련 변수의 관계는 비교적 유지되는 반면, 기타 정책 및 시장 관련 요인의 관계는 규제 시기에 따라 달라질 수 있음을 확인함.</w:t>
      </w:r>
      <w:r w:rsidR="00C3505A">
        <w:rPr>
          <w:rFonts w:asciiTheme="majorHAnsi" w:eastAsiaTheme="majorHAnsi" w:hAnsiTheme="majorHAnsi"/>
          <w:sz w:val="18"/>
          <w:szCs w:val="20"/>
        </w:rPr>
        <w:br/>
      </w:r>
      <w:r w:rsidR="00C3505A" w:rsidRPr="00C3505A">
        <w:rPr>
          <w:rFonts w:asciiTheme="majorHAnsi" w:eastAsiaTheme="majorHAnsi" w:hAnsiTheme="majorHAnsi"/>
          <w:sz w:val="18"/>
          <w:szCs w:val="20"/>
        </w:rPr>
        <w:lastRenderedPageBreak/>
        <w:drawing>
          <wp:inline distT="0" distB="0" distL="0" distR="0" wp14:anchorId="537E0213" wp14:editId="4D3E7954">
            <wp:extent cx="3429211" cy="3497056"/>
            <wp:effectExtent l="0" t="0" r="0" b="8255"/>
            <wp:docPr id="7703181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8196" name=""/>
                    <pic:cNvPicPr/>
                  </pic:nvPicPr>
                  <pic:blipFill>
                    <a:blip r:embed="rId21"/>
                    <a:stretch>
                      <a:fillRect/>
                    </a:stretch>
                  </pic:blipFill>
                  <pic:spPr>
                    <a:xfrm>
                      <a:off x="0" y="0"/>
                      <a:ext cx="3436858" cy="3504855"/>
                    </a:xfrm>
                    <a:prstGeom prst="rect">
                      <a:avLst/>
                    </a:prstGeom>
                  </pic:spPr>
                </pic:pic>
              </a:graphicData>
            </a:graphic>
          </wp:inline>
        </w:drawing>
      </w:r>
    </w:p>
    <w:p w14:paraId="3203570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pict w14:anchorId="349C4800">
          <v:rect id="_x0000_i1059" style="width:0;height:1.5pt" o:hralign="center" o:hrstd="t" o:hr="t" fillcolor="#a0a0a0" stroked="f"/>
        </w:pict>
      </w:r>
    </w:p>
    <w:p w14:paraId="452F42FF" w14:textId="77777777" w:rsidR="007F2F23" w:rsidRPr="00C3505A" w:rsidRDefault="007F2F23" w:rsidP="007F2F23">
      <w:pPr>
        <w:rPr>
          <w:rFonts w:asciiTheme="majorHAnsi" w:eastAsiaTheme="majorHAnsi" w:hAnsiTheme="majorHAnsi"/>
          <w:b/>
          <w:bCs/>
          <w:sz w:val="24"/>
          <w:szCs w:val="28"/>
        </w:rPr>
      </w:pPr>
      <w:r w:rsidRPr="00C3505A">
        <w:rPr>
          <w:rFonts w:asciiTheme="majorHAnsi" w:eastAsiaTheme="majorHAnsi" w:hAnsiTheme="majorHAnsi"/>
          <w:b/>
          <w:bCs/>
          <w:sz w:val="24"/>
          <w:szCs w:val="28"/>
        </w:rPr>
        <w:t>6. Park et al. (2024)</w:t>
      </w:r>
    </w:p>
    <w:p w14:paraId="412A101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b/>
          <w:bCs/>
          <w:sz w:val="18"/>
          <w:szCs w:val="20"/>
        </w:rPr>
        <w:t>The Effects of Carbon Emissions Trading on Profitability and Value: Evidence from Korean Listed Firms</w:t>
      </w:r>
    </w:p>
    <w:p w14:paraId="05B8524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i/>
          <w:iCs/>
          <w:sz w:val="18"/>
          <w:szCs w:val="20"/>
        </w:rPr>
        <w:t>Journal of International Financial Management &amp; Accounting</w:t>
      </w:r>
    </w:p>
    <w:p w14:paraId="0B39DE77"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연구 목적 및 데이터</w:t>
      </w:r>
    </w:p>
    <w:p w14:paraId="46183F31"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2015년 한국 </w:t>
      </w:r>
      <w:proofErr w:type="spellStart"/>
      <w:r w:rsidRPr="007F2F23">
        <w:rPr>
          <w:rFonts w:asciiTheme="majorHAnsi" w:eastAsiaTheme="majorHAnsi" w:hAnsiTheme="majorHAnsi"/>
          <w:sz w:val="18"/>
          <w:szCs w:val="20"/>
        </w:rPr>
        <w:t>배출권거래제</w:t>
      </w:r>
      <w:proofErr w:type="spellEnd"/>
      <w:r w:rsidRPr="007F2F23">
        <w:rPr>
          <w:rFonts w:asciiTheme="majorHAnsi" w:eastAsiaTheme="majorHAnsi" w:hAnsiTheme="majorHAnsi"/>
          <w:sz w:val="18"/>
          <w:szCs w:val="20"/>
        </w:rPr>
        <w:t>(K-ETS) 도입이 기업의 실제 배출량, 환경평가, 단기 수익성 및 장기 기업가치에 미친 영향을 검증하고자 함.</w:t>
      </w:r>
    </w:p>
    <w:p w14:paraId="2B3D0AF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2011~2017년 한국 KOSPI·KOSDAQ 상장기업 1,749개, 10,699 기업-연도 관측치를 활용함. 이 가운데 ETS 규제대상 기업은 196개임.</w:t>
      </w:r>
    </w:p>
    <w:p w14:paraId="5FDAD9EE" w14:textId="3D849A70"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K-ETS 도입을 준자연실험으로 설정하고, 규제대상 기업과 </w:t>
      </w:r>
      <w:proofErr w:type="spellStart"/>
      <w:r w:rsidRPr="007F2F23">
        <w:rPr>
          <w:rFonts w:asciiTheme="majorHAnsi" w:eastAsiaTheme="majorHAnsi" w:hAnsiTheme="majorHAnsi"/>
          <w:sz w:val="18"/>
          <w:szCs w:val="20"/>
        </w:rPr>
        <w:t>비규제</w:t>
      </w:r>
      <w:proofErr w:type="spellEnd"/>
      <w:r w:rsidRPr="007F2F23">
        <w:rPr>
          <w:rFonts w:asciiTheme="majorHAnsi" w:eastAsiaTheme="majorHAnsi" w:hAnsiTheme="majorHAnsi"/>
          <w:sz w:val="18"/>
          <w:szCs w:val="20"/>
        </w:rPr>
        <w:t xml:space="preserve"> 기업의 제도 도입 전후 변화 차이를 추정하는 DID(Difference-in-Differences)를 적용함.</w:t>
      </w:r>
      <w:r w:rsidR="00C3505A">
        <w:rPr>
          <w:rFonts w:asciiTheme="majorHAnsi" w:eastAsiaTheme="majorHAnsi" w:hAnsiTheme="majorHAnsi"/>
          <w:sz w:val="18"/>
          <w:szCs w:val="20"/>
        </w:rPr>
        <w:br/>
      </w:r>
      <w:r w:rsidR="00C3505A" w:rsidRPr="00C3505A">
        <w:rPr>
          <w:rFonts w:asciiTheme="majorHAnsi" w:eastAsiaTheme="majorHAnsi" w:hAnsiTheme="majorHAnsi"/>
          <w:sz w:val="18"/>
          <w:szCs w:val="20"/>
        </w:rPr>
        <w:lastRenderedPageBreak/>
        <w:drawing>
          <wp:inline distT="0" distB="0" distL="0" distR="0" wp14:anchorId="2325817F" wp14:editId="53CBA1A4">
            <wp:extent cx="5731510" cy="3891915"/>
            <wp:effectExtent l="0" t="0" r="2540" b="0"/>
            <wp:docPr id="18286548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4877" name=""/>
                    <pic:cNvPicPr/>
                  </pic:nvPicPr>
                  <pic:blipFill>
                    <a:blip r:embed="rId22"/>
                    <a:stretch>
                      <a:fillRect/>
                    </a:stretch>
                  </pic:blipFill>
                  <pic:spPr>
                    <a:xfrm>
                      <a:off x="0" y="0"/>
                      <a:ext cx="5731510" cy="3891915"/>
                    </a:xfrm>
                    <a:prstGeom prst="rect">
                      <a:avLst/>
                    </a:prstGeom>
                  </pic:spPr>
                </pic:pic>
              </a:graphicData>
            </a:graphic>
          </wp:inline>
        </w:drawing>
      </w:r>
    </w:p>
    <w:p w14:paraId="69E779BE"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1. K-ETS 도입과 실제 탄소배출량 변화</w:t>
      </w:r>
    </w:p>
    <w:p w14:paraId="703658A5"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배출권거래제</w:t>
      </w:r>
      <w:proofErr w:type="spellEnd"/>
      <w:r w:rsidRPr="007F2F23">
        <w:rPr>
          <w:rFonts w:asciiTheme="majorHAnsi" w:eastAsiaTheme="majorHAnsi" w:hAnsiTheme="majorHAnsi"/>
          <w:sz w:val="18"/>
          <w:szCs w:val="20"/>
        </w:rPr>
        <w:t xml:space="preserve"> 도입이 기업의 탄소배출량을 유의하게 감소시켰는지 검증함.</w:t>
      </w:r>
    </w:p>
    <w:p w14:paraId="6FF39DF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종속변수로 매출 대비 탄소배출집약도, 배출량 </w:t>
      </w:r>
      <w:proofErr w:type="spellStart"/>
      <w:r w:rsidRPr="007F2F23">
        <w:rPr>
          <w:rFonts w:asciiTheme="majorHAnsi" w:eastAsiaTheme="majorHAnsi" w:hAnsiTheme="majorHAnsi"/>
          <w:sz w:val="18"/>
          <w:szCs w:val="20"/>
        </w:rPr>
        <w:t>로그값</w:t>
      </w:r>
      <w:proofErr w:type="spellEnd"/>
      <w:r w:rsidRPr="007F2F23">
        <w:rPr>
          <w:rFonts w:asciiTheme="majorHAnsi" w:eastAsiaTheme="majorHAnsi" w:hAnsiTheme="majorHAnsi"/>
          <w:sz w:val="18"/>
          <w:szCs w:val="20"/>
        </w:rPr>
        <w:t>, 연간 배출량 변화율을 설정함. 규제대상 여부와 도입 이후 시점의 상호작용을 DID 모형으로 추정함.</w:t>
      </w:r>
    </w:p>
    <w:p w14:paraId="7000CA0D"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세 가지 배출량 지표에서 DID 계수는 양(+)이었으나 통계적으로 유의하지 않았음. K-ETS 도입 초기에는 규제대상 기업의 실제 배출량 감소 효과가 명확하게 확인되지 않음.</w:t>
      </w:r>
    </w:p>
    <w:p w14:paraId="69543826"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2. 환경등급 변화 분석</w:t>
      </w:r>
    </w:p>
    <w:p w14:paraId="5EFB0B81"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실제 배출량 감소가 나타나지 않더라도 규제 도입에 따라 기업의 환경평가가 개선되는지 확인함.</w:t>
      </w:r>
    </w:p>
    <w:p w14:paraId="5FF53DC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KCGS 환경등급의 </w:t>
      </w:r>
      <w:proofErr w:type="spellStart"/>
      <w:r w:rsidRPr="007F2F23">
        <w:rPr>
          <w:rFonts w:asciiTheme="majorHAnsi" w:eastAsiaTheme="majorHAnsi" w:hAnsiTheme="majorHAnsi"/>
          <w:sz w:val="18"/>
          <w:szCs w:val="20"/>
        </w:rPr>
        <w:t>로그값을</w:t>
      </w:r>
      <w:proofErr w:type="spellEnd"/>
      <w:r w:rsidRPr="007F2F23">
        <w:rPr>
          <w:rFonts w:asciiTheme="majorHAnsi" w:eastAsiaTheme="majorHAnsi" w:hAnsiTheme="majorHAnsi"/>
          <w:sz w:val="18"/>
          <w:szCs w:val="20"/>
        </w:rPr>
        <w:t xml:space="preserve"> 종속변수로 설정하고 동일한 DID 분석을 수행함.</w:t>
      </w:r>
    </w:p>
    <w:p w14:paraId="5E51284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모든 주요 모형에서 규제대상 기업의 환경등급이 유의하게 개선되었으며, DID 계수는 1% 수준에서 유의했음.</w:t>
      </w:r>
    </w:p>
    <w:p w14:paraId="6A8241B1"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실제 탄소배출 감축과 환경평가 개선이 반드시 동시에 발생하지는 않는다는 결과를 제시함. 저자들은 규제 참여 및 정보공시 자체가 환경평가에 긍정적으로 반영되었을 가능성을 제기함.</w:t>
      </w:r>
    </w:p>
    <w:p w14:paraId="221F1BB6"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3. 단기 수익성에 대한 영향 분석</w:t>
      </w:r>
    </w:p>
    <w:p w14:paraId="1E76EAFD" w14:textId="77777777" w:rsidR="007F2F23" w:rsidRPr="007F2F23" w:rsidRDefault="007F2F23" w:rsidP="007F2F23">
      <w:pPr>
        <w:rPr>
          <w:rFonts w:asciiTheme="majorHAnsi" w:eastAsiaTheme="majorHAnsi" w:hAnsiTheme="majorHAnsi"/>
          <w:sz w:val="18"/>
          <w:szCs w:val="20"/>
        </w:rPr>
      </w:pPr>
      <w:proofErr w:type="spellStart"/>
      <w:r w:rsidRPr="007F2F23">
        <w:rPr>
          <w:rFonts w:asciiTheme="majorHAnsi" w:eastAsiaTheme="majorHAnsi" w:hAnsiTheme="majorHAnsi"/>
          <w:sz w:val="18"/>
          <w:szCs w:val="20"/>
        </w:rPr>
        <w:t>배출권거래제</w:t>
      </w:r>
      <w:proofErr w:type="spellEnd"/>
      <w:r w:rsidRPr="007F2F23">
        <w:rPr>
          <w:rFonts w:asciiTheme="majorHAnsi" w:eastAsiaTheme="majorHAnsi" w:hAnsiTheme="majorHAnsi"/>
          <w:sz w:val="18"/>
          <w:szCs w:val="20"/>
        </w:rPr>
        <w:t xml:space="preserve"> 도입이 규제대상 기업의 수익성을 악화시키는지 검증함.</w:t>
      </w:r>
    </w:p>
    <w:p w14:paraId="5321A587"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ROA를 종속변수로 설정하고, 산업·연도 고정효과와 기업·연도 고정효과를 달리 적용한 네 가지 회귀모형을 비교함.</w:t>
      </w:r>
    </w:p>
    <w:p w14:paraId="4CD8200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t>DID 계수는 +0.004~+0.009로 대체로 양(+)이었음. 그러나 기업·연도 고정효과와 재무 통제변수를 모두 포함한 모형에서는 통계적으로 유의하지 않았음.</w:t>
      </w:r>
    </w:p>
    <w:p w14:paraId="446E4A61" w14:textId="7CBA38DE" w:rsidR="00C3505A" w:rsidRPr="007F2F23" w:rsidRDefault="007F2F23" w:rsidP="007F2F23">
      <w:pPr>
        <w:rPr>
          <w:rFonts w:asciiTheme="majorHAnsi" w:eastAsiaTheme="majorHAnsi" w:hAnsiTheme="majorHAnsi" w:hint="eastAsia"/>
          <w:sz w:val="18"/>
          <w:szCs w:val="20"/>
        </w:rPr>
      </w:pPr>
      <w:r w:rsidRPr="007F2F23">
        <w:rPr>
          <w:rFonts w:asciiTheme="majorHAnsi" w:eastAsiaTheme="majorHAnsi" w:hAnsiTheme="majorHAnsi"/>
          <w:sz w:val="18"/>
          <w:szCs w:val="20"/>
        </w:rPr>
        <w:t xml:space="preserve">K-ETS 도입 초기에는 규제대상 기업의 수익성이 크게 악화되지 않았으며, 무상할당 및 잉여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판매 등이 비용 부담을 완화했을 가능성을 제시함.</w:t>
      </w:r>
      <w:r w:rsidR="00C3505A">
        <w:rPr>
          <w:rFonts w:asciiTheme="majorHAnsi" w:eastAsiaTheme="majorHAnsi" w:hAnsiTheme="majorHAnsi"/>
          <w:sz w:val="18"/>
          <w:szCs w:val="20"/>
        </w:rPr>
        <w:br/>
      </w:r>
      <w:r w:rsidR="00C3505A" w:rsidRPr="00C3505A">
        <w:rPr>
          <w:rFonts w:asciiTheme="majorHAnsi" w:eastAsiaTheme="majorHAnsi" w:hAnsiTheme="majorHAnsi"/>
          <w:sz w:val="18"/>
          <w:szCs w:val="20"/>
        </w:rPr>
        <w:drawing>
          <wp:inline distT="0" distB="0" distL="0" distR="0" wp14:anchorId="0F24938E" wp14:editId="1BFD897C">
            <wp:extent cx="3741362" cy="4811106"/>
            <wp:effectExtent l="0" t="0" r="0" b="8890"/>
            <wp:docPr id="5621368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6815" name=""/>
                    <pic:cNvPicPr/>
                  </pic:nvPicPr>
                  <pic:blipFill>
                    <a:blip r:embed="rId23"/>
                    <a:stretch>
                      <a:fillRect/>
                    </a:stretch>
                  </pic:blipFill>
                  <pic:spPr>
                    <a:xfrm>
                      <a:off x="0" y="0"/>
                      <a:ext cx="3746113" cy="4817215"/>
                    </a:xfrm>
                    <a:prstGeom prst="rect">
                      <a:avLst/>
                    </a:prstGeom>
                  </pic:spPr>
                </pic:pic>
              </a:graphicData>
            </a:graphic>
          </wp:inline>
        </w:drawing>
      </w:r>
    </w:p>
    <w:p w14:paraId="4B656129"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4. 장기 기업가치에 대한 영향 분석</w:t>
      </w:r>
    </w:p>
    <w:p w14:paraId="0B4D3FC9"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단기 수익성이 유지되더라도 투자자들이 미래의 탄소비용 위험을 기업가치에 반영하는지 검증함.</w:t>
      </w:r>
    </w:p>
    <w:p w14:paraId="2D94A5FD"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Tobin's Q를 종속변수로 변경하고 실험 3과 동일한 DID를 수행함.</w:t>
      </w:r>
    </w:p>
    <w:p w14:paraId="3AB0959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모든 주요 모형에서 DID 계수는 -0.203~-0.266으로 1% 수준에서 유의했음. 기업·연도 고정효과와 통제변수를 포함한 모형의 계수는 -0.215로 나타남.</w:t>
      </w:r>
    </w:p>
    <w:p w14:paraId="23673139" w14:textId="3F1DD0A4"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단기 수익성과 달리 장기 기업가치는 유의하게 하락하는 결과가 나타남. 저자들은 향후 </w:t>
      </w:r>
      <w:proofErr w:type="spellStart"/>
      <w:r w:rsidRPr="007F2F23">
        <w:rPr>
          <w:rFonts w:asciiTheme="majorHAnsi" w:eastAsiaTheme="majorHAnsi" w:hAnsiTheme="majorHAnsi"/>
          <w:sz w:val="18"/>
          <w:szCs w:val="20"/>
        </w:rPr>
        <w:t>배출권</w:t>
      </w:r>
      <w:proofErr w:type="spellEnd"/>
      <w:r w:rsidRPr="007F2F23">
        <w:rPr>
          <w:rFonts w:asciiTheme="majorHAnsi" w:eastAsiaTheme="majorHAnsi" w:hAnsiTheme="majorHAnsi"/>
          <w:sz w:val="18"/>
          <w:szCs w:val="20"/>
        </w:rPr>
        <w:t xml:space="preserve"> 가격 상승과 규제 강화에 대한 시장의 우려가 기업가치에 반영되었을 가능성을 제시함.</w:t>
      </w:r>
      <w:r w:rsidR="00C3505A">
        <w:rPr>
          <w:rFonts w:asciiTheme="majorHAnsi" w:eastAsiaTheme="majorHAnsi" w:hAnsiTheme="majorHAnsi"/>
          <w:sz w:val="18"/>
          <w:szCs w:val="20"/>
        </w:rPr>
        <w:br/>
      </w:r>
      <w:r w:rsidR="00C3505A" w:rsidRPr="00C3505A">
        <w:rPr>
          <w:rFonts w:asciiTheme="majorHAnsi" w:eastAsiaTheme="majorHAnsi" w:hAnsiTheme="majorHAnsi"/>
          <w:sz w:val="18"/>
          <w:szCs w:val="20"/>
        </w:rPr>
        <w:lastRenderedPageBreak/>
        <w:drawing>
          <wp:inline distT="0" distB="0" distL="0" distR="0" wp14:anchorId="75DA055B" wp14:editId="0DD905D8">
            <wp:extent cx="3685521" cy="4796076"/>
            <wp:effectExtent l="0" t="0" r="0" b="5080"/>
            <wp:docPr id="999240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093" name=""/>
                    <pic:cNvPicPr/>
                  </pic:nvPicPr>
                  <pic:blipFill>
                    <a:blip r:embed="rId24"/>
                    <a:stretch>
                      <a:fillRect/>
                    </a:stretch>
                  </pic:blipFill>
                  <pic:spPr>
                    <a:xfrm>
                      <a:off x="0" y="0"/>
                      <a:ext cx="3696094" cy="4809835"/>
                    </a:xfrm>
                    <a:prstGeom prst="rect">
                      <a:avLst/>
                    </a:prstGeom>
                  </pic:spPr>
                </pic:pic>
              </a:graphicData>
            </a:graphic>
          </wp:inline>
        </w:drawing>
      </w:r>
    </w:p>
    <w:p w14:paraId="48D8251C"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5. 평행추세 및 시점별 효과 검증</w:t>
      </w:r>
    </w:p>
    <w:p w14:paraId="27146F0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DID 분석의 핵심 전제인 평행추세 가정을 점검하고, 규제 도입 효과가 시간에 따라 변화하는지 검증함.</w:t>
      </w:r>
    </w:p>
    <w:p w14:paraId="55F325F2"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2011년을 기준연도로 설정하고 2012~2017년 각 연도와 규제대상 기업 더미의 상호작용을 추정함.</w:t>
      </w:r>
    </w:p>
    <w:p w14:paraId="6C0391AC"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도입 전 대부분의 상호작용 계수는 유의하지 않았으나 일부 사전 추세에서는 차이가 발견됨. 규제 도입 후 ROA는 2015년에 감소한 뒤 점진적으로 회복했고, 2017년에는 유의한 증가가 나타남.</w:t>
      </w:r>
    </w:p>
    <w:p w14:paraId="5FF86EBD" w14:textId="0F5A56CD"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이는 규제 도입 초기의 조정비용이 시간이 지나며 완화될 수 있다는 해석을 뒷받침함. 다만 일부 사전 추세 차이가 존재하므로 DID의 인과적 해석에는 주의가 필요함.</w:t>
      </w:r>
      <w:r w:rsidR="00B715E5">
        <w:rPr>
          <w:rFonts w:asciiTheme="majorHAnsi" w:eastAsiaTheme="majorHAnsi" w:hAnsiTheme="majorHAnsi"/>
          <w:sz w:val="18"/>
          <w:szCs w:val="20"/>
        </w:rPr>
        <w:br/>
      </w:r>
      <w:r w:rsidR="00B715E5" w:rsidRPr="00B715E5">
        <w:rPr>
          <w:rFonts w:asciiTheme="majorHAnsi" w:eastAsiaTheme="majorHAnsi" w:hAnsiTheme="majorHAnsi"/>
          <w:sz w:val="18"/>
          <w:szCs w:val="20"/>
        </w:rPr>
        <w:lastRenderedPageBreak/>
        <w:drawing>
          <wp:inline distT="0" distB="0" distL="0" distR="0" wp14:anchorId="17C0C021" wp14:editId="6C1B26A0">
            <wp:extent cx="3978687" cy="3305581"/>
            <wp:effectExtent l="0" t="0" r="3175" b="9525"/>
            <wp:docPr id="11961183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8362" name=""/>
                    <pic:cNvPicPr/>
                  </pic:nvPicPr>
                  <pic:blipFill>
                    <a:blip r:embed="rId25"/>
                    <a:stretch>
                      <a:fillRect/>
                    </a:stretch>
                  </pic:blipFill>
                  <pic:spPr>
                    <a:xfrm>
                      <a:off x="0" y="0"/>
                      <a:ext cx="3983797" cy="3309827"/>
                    </a:xfrm>
                    <a:prstGeom prst="rect">
                      <a:avLst/>
                    </a:prstGeom>
                  </pic:spPr>
                </pic:pic>
              </a:graphicData>
            </a:graphic>
          </wp:inline>
        </w:drawing>
      </w:r>
    </w:p>
    <w:p w14:paraId="58BD4138"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6. 기업가치 하락 원인 탐색</w:t>
      </w:r>
    </w:p>
    <w:p w14:paraId="6F7BE525"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단기 수익성과 장기 기업가치의 결과가 상반되게 나타난 원인을 확인하고자 함.</w:t>
      </w:r>
    </w:p>
    <w:p w14:paraId="7F12BA8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종속변수를 주식 베타, 외국인 지분율, 사회등급(S), 지배구조등급(G)으로 각각 변경해 DID를 수행함.</w:t>
      </w:r>
    </w:p>
    <w:p w14:paraId="0C8B5B5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규제대상 기업의 주식 베타는 +0.040으로 증가했으며 10% 수준에서 유의했음. 사회등급 역시 유의하게 개선되었으나 외국인 지분율과 지배구조등급의 변화는 유의하지 않았음.</w:t>
      </w:r>
    </w:p>
    <w:p w14:paraId="593AC66E"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기업가치 하락은 외국인 투자자의 이탈이나 지배구조 악화보다 미래 탄소규제와 관련된 체계적 위험 증가와 관련될 가능성을 제시함.</w:t>
      </w:r>
    </w:p>
    <w:p w14:paraId="3EDB56E8"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7. 외국인 지분율에 따른 이질성 분석</w:t>
      </w:r>
    </w:p>
    <w:p w14:paraId="7FA1E02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외국인 투자자의 지분율이 기업의 탄소 리스크 대응 및 기업가치 변화와 관련되는지 확인함.</w:t>
      </w:r>
    </w:p>
    <w:p w14:paraId="00219BF4"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외국인 지분율, 규제대상 여부, 규제 도입 이후 시점을 결합한 삼중 상호작용 회귀를 수행함.</w:t>
      </w:r>
    </w:p>
    <w:p w14:paraId="24689A50"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Tobin's Q에 대한 삼중 상호작용 계수는 약 +0.54~+0.56으로 유의한 양(+)의 값을 보였음. 반면 ROA에 대한 상호작용은 유의하지 않았음.</w:t>
      </w:r>
    </w:p>
    <w:p w14:paraId="5BF4AB28"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외국인 지분율이 높은 규제대상 기업은 규제 도입 이후 기업가치 하락폭이 상대적으로 작았음을 확인함.</w:t>
      </w:r>
    </w:p>
    <w:p w14:paraId="5456F951"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8. 탄소배출량 수준에 따른 이질성 분석</w:t>
      </w:r>
    </w:p>
    <w:p w14:paraId="27A785D3"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동일한 규제대상 기업이라도 탄소배출량 수준에 따라 수익성 및 기업가치 변화가 다르게 나타나는지 검증함.</w:t>
      </w:r>
    </w:p>
    <w:p w14:paraId="60C5AA9F"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 xml:space="preserve">ETS 참여기업만을 대상으로 배출량 </w:t>
      </w:r>
      <w:proofErr w:type="spellStart"/>
      <w:r w:rsidRPr="007F2F23">
        <w:rPr>
          <w:rFonts w:asciiTheme="majorHAnsi" w:eastAsiaTheme="majorHAnsi" w:hAnsiTheme="majorHAnsi"/>
          <w:sz w:val="18"/>
          <w:szCs w:val="20"/>
        </w:rPr>
        <w:t>로그값과</w:t>
      </w:r>
      <w:proofErr w:type="spellEnd"/>
      <w:r w:rsidRPr="007F2F23">
        <w:rPr>
          <w:rFonts w:asciiTheme="majorHAnsi" w:eastAsiaTheme="majorHAnsi" w:hAnsiTheme="majorHAnsi"/>
          <w:sz w:val="18"/>
          <w:szCs w:val="20"/>
        </w:rPr>
        <w:t xml:space="preserve"> 규제 도입 이후 시점의 상호작용을 분석함.</w:t>
      </w:r>
    </w:p>
    <w:p w14:paraId="1A2F6DBB"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ROA에 대한 상호작용 계수는 유의하지 않았으나, Tobin's Q에서는 -0.043~-0.047로 유의한 음(-)의 관계를 보였음.</w:t>
      </w:r>
    </w:p>
    <w:p w14:paraId="28915BD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lastRenderedPageBreak/>
        <w:t>탄소배출량이 많은 기업에서 기업가치 하락이 더 크게 나타났으며, 투자자들이 기업별 탄소위험 노출 수준을 차별적으로 반영했을 가능성을 제시함.</w:t>
      </w:r>
    </w:p>
    <w:p w14:paraId="6B7D8785" w14:textId="77777777" w:rsidR="007F2F23" w:rsidRPr="007F2F23" w:rsidRDefault="007F2F23" w:rsidP="007F2F23">
      <w:pPr>
        <w:rPr>
          <w:rFonts w:asciiTheme="majorHAnsi" w:eastAsiaTheme="majorHAnsi" w:hAnsiTheme="majorHAnsi"/>
          <w:b/>
          <w:bCs/>
          <w:sz w:val="18"/>
          <w:szCs w:val="20"/>
        </w:rPr>
      </w:pPr>
      <w:r w:rsidRPr="007F2F23">
        <w:rPr>
          <w:rFonts w:asciiTheme="majorHAnsi" w:eastAsiaTheme="majorHAnsi" w:hAnsiTheme="majorHAnsi"/>
          <w:b/>
          <w:bCs/>
          <w:sz w:val="18"/>
          <w:szCs w:val="20"/>
        </w:rPr>
        <w:t>실험 9. Placebo Test</w:t>
      </w:r>
    </w:p>
    <w:p w14:paraId="49C4E48A"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실제 규제 도입 시점에 나타난 결과가 규제와 무관한 기존 기업 특성이나 시계열 변화에서 비롯되었는지 확인함.</w:t>
      </w:r>
    </w:p>
    <w:p w14:paraId="21805947" w14:textId="77777777" w:rsidR="007F2F23" w:rsidRPr="007F2F23" w:rsidRDefault="007F2F23" w:rsidP="007F2F23">
      <w:pPr>
        <w:rPr>
          <w:rFonts w:asciiTheme="majorHAnsi" w:eastAsiaTheme="majorHAnsi" w:hAnsiTheme="majorHAnsi"/>
          <w:sz w:val="18"/>
          <w:szCs w:val="20"/>
        </w:rPr>
      </w:pPr>
      <w:r w:rsidRPr="007F2F23">
        <w:rPr>
          <w:rFonts w:asciiTheme="majorHAnsi" w:eastAsiaTheme="majorHAnsi" w:hAnsiTheme="majorHAnsi"/>
          <w:sz w:val="18"/>
          <w:szCs w:val="20"/>
        </w:rPr>
        <w:t>2015년 대신 2013년, 2017년, 2018년, 2019년을 가상의 ETS 도입 시점으로 설정함. 탄소배출량 125,000tCO₂를 기준으로 기업을 구분하고, 가상 도입 전후의 ROA와 Tobin's Q 변화를 비교함.</w:t>
      </w:r>
    </w:p>
    <w:p w14:paraId="2D695130" w14:textId="68A5C1E2" w:rsidR="007F2F23" w:rsidRPr="007F2F23" w:rsidRDefault="007F2F23">
      <w:pPr>
        <w:rPr>
          <w:rFonts w:asciiTheme="majorHAnsi" w:eastAsiaTheme="majorHAnsi" w:hAnsiTheme="majorHAnsi" w:hint="eastAsia"/>
          <w:sz w:val="18"/>
          <w:szCs w:val="20"/>
        </w:rPr>
      </w:pPr>
      <w:r w:rsidRPr="007F2F23">
        <w:rPr>
          <w:rFonts w:asciiTheme="majorHAnsi" w:eastAsiaTheme="majorHAnsi" w:hAnsiTheme="majorHAnsi"/>
          <w:sz w:val="18"/>
          <w:szCs w:val="20"/>
        </w:rPr>
        <w:t>가상 규제 도입 시점에서 주요 상호작용 계수는 통계적으로 유의하지 않았음. 실제 K-ETS 도입 시점의 결과가 단순한 배출량 기준에 따른 기존 추세만으로 설명되지는 않는다는 추가 근거를 제시함.</w:t>
      </w:r>
    </w:p>
    <w:sectPr w:rsidR="007F2F23" w:rsidRPr="007F2F2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1497D" w14:textId="77777777" w:rsidR="008B175D" w:rsidRDefault="008B175D" w:rsidP="00A00F05">
      <w:pPr>
        <w:spacing w:after="0"/>
      </w:pPr>
      <w:r>
        <w:separator/>
      </w:r>
    </w:p>
  </w:endnote>
  <w:endnote w:type="continuationSeparator" w:id="0">
    <w:p w14:paraId="323428A2" w14:textId="77777777" w:rsidR="008B175D" w:rsidRDefault="008B175D" w:rsidP="00A00F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C6208" w14:textId="77777777" w:rsidR="008B175D" w:rsidRDefault="008B175D" w:rsidP="00A00F05">
      <w:pPr>
        <w:spacing w:after="0"/>
      </w:pPr>
      <w:r>
        <w:separator/>
      </w:r>
    </w:p>
  </w:footnote>
  <w:footnote w:type="continuationSeparator" w:id="0">
    <w:p w14:paraId="04D5F5D7" w14:textId="77777777" w:rsidR="008B175D" w:rsidRDefault="008B175D" w:rsidP="00A00F0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90"/>
    <w:rsid w:val="0015204F"/>
    <w:rsid w:val="00201911"/>
    <w:rsid w:val="007F2F23"/>
    <w:rsid w:val="008B175D"/>
    <w:rsid w:val="00A00F05"/>
    <w:rsid w:val="00A37F29"/>
    <w:rsid w:val="00B715E5"/>
    <w:rsid w:val="00C3505A"/>
    <w:rsid w:val="00C97A90"/>
    <w:rsid w:val="00CD5E0C"/>
    <w:rsid w:val="00D006B4"/>
    <w:rsid w:val="00E655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F21DD"/>
  <w15:chartTrackingRefBased/>
  <w15:docId w15:val="{0E138ECF-596F-4CDC-B404-C04B12B9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97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97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97A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97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97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97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97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97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97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97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97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97A9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97A9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97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97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97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97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97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97A9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97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7A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97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97A90"/>
    <w:pPr>
      <w:spacing w:before="160"/>
      <w:jc w:val="center"/>
    </w:pPr>
    <w:rPr>
      <w:i/>
      <w:iCs/>
      <w:color w:val="404040" w:themeColor="text1" w:themeTint="BF"/>
    </w:rPr>
  </w:style>
  <w:style w:type="character" w:customStyle="1" w:styleId="Char1">
    <w:name w:val="인용 Char"/>
    <w:basedOn w:val="a0"/>
    <w:link w:val="a5"/>
    <w:uiPriority w:val="29"/>
    <w:rsid w:val="00C97A90"/>
    <w:rPr>
      <w:i/>
      <w:iCs/>
      <w:color w:val="404040" w:themeColor="text1" w:themeTint="BF"/>
    </w:rPr>
  </w:style>
  <w:style w:type="paragraph" w:styleId="a6">
    <w:name w:val="List Paragraph"/>
    <w:basedOn w:val="a"/>
    <w:uiPriority w:val="34"/>
    <w:qFormat/>
    <w:rsid w:val="00C97A90"/>
    <w:pPr>
      <w:ind w:left="720"/>
      <w:contextualSpacing/>
    </w:pPr>
  </w:style>
  <w:style w:type="character" w:styleId="a7">
    <w:name w:val="Intense Emphasis"/>
    <w:basedOn w:val="a0"/>
    <w:uiPriority w:val="21"/>
    <w:qFormat/>
    <w:rsid w:val="00C97A90"/>
    <w:rPr>
      <w:i/>
      <w:iCs/>
      <w:color w:val="0F4761" w:themeColor="accent1" w:themeShade="BF"/>
    </w:rPr>
  </w:style>
  <w:style w:type="paragraph" w:styleId="a8">
    <w:name w:val="Intense Quote"/>
    <w:basedOn w:val="a"/>
    <w:next w:val="a"/>
    <w:link w:val="Char2"/>
    <w:uiPriority w:val="30"/>
    <w:qFormat/>
    <w:rsid w:val="00C97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97A90"/>
    <w:rPr>
      <w:i/>
      <w:iCs/>
      <w:color w:val="0F4761" w:themeColor="accent1" w:themeShade="BF"/>
    </w:rPr>
  </w:style>
  <w:style w:type="character" w:styleId="a9">
    <w:name w:val="Intense Reference"/>
    <w:basedOn w:val="a0"/>
    <w:uiPriority w:val="32"/>
    <w:qFormat/>
    <w:rsid w:val="00C97A90"/>
    <w:rPr>
      <w:b/>
      <w:bCs/>
      <w:smallCaps/>
      <w:color w:val="0F4761" w:themeColor="accent1" w:themeShade="BF"/>
      <w:spacing w:val="5"/>
    </w:rPr>
  </w:style>
  <w:style w:type="paragraph" w:styleId="aa">
    <w:name w:val="header"/>
    <w:basedOn w:val="a"/>
    <w:link w:val="Char3"/>
    <w:uiPriority w:val="99"/>
    <w:unhideWhenUsed/>
    <w:rsid w:val="00A00F05"/>
    <w:pPr>
      <w:tabs>
        <w:tab w:val="center" w:pos="4513"/>
        <w:tab w:val="right" w:pos="9026"/>
      </w:tabs>
      <w:snapToGrid w:val="0"/>
    </w:pPr>
  </w:style>
  <w:style w:type="character" w:customStyle="1" w:styleId="Char3">
    <w:name w:val="머리글 Char"/>
    <w:basedOn w:val="a0"/>
    <w:link w:val="aa"/>
    <w:uiPriority w:val="99"/>
    <w:rsid w:val="00A00F05"/>
  </w:style>
  <w:style w:type="paragraph" w:styleId="ab">
    <w:name w:val="footer"/>
    <w:basedOn w:val="a"/>
    <w:link w:val="Char4"/>
    <w:uiPriority w:val="99"/>
    <w:unhideWhenUsed/>
    <w:rsid w:val="00A00F05"/>
    <w:pPr>
      <w:tabs>
        <w:tab w:val="center" w:pos="4513"/>
        <w:tab w:val="right" w:pos="9026"/>
      </w:tabs>
      <w:snapToGrid w:val="0"/>
    </w:pPr>
  </w:style>
  <w:style w:type="character" w:customStyle="1" w:styleId="Char4">
    <w:name w:val="바닥글 Char"/>
    <w:basedOn w:val="a0"/>
    <w:link w:val="ab"/>
    <w:uiPriority w:val="99"/>
    <w:rsid w:val="00A00F05"/>
  </w:style>
  <w:style w:type="table" w:styleId="50">
    <w:name w:val="Plain Table 5"/>
    <w:basedOn w:val="a1"/>
    <w:uiPriority w:val="45"/>
    <w:rsid w:val="00A00F0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20</Pages>
  <Words>2265</Words>
  <Characters>12917</Characters>
  <Application>Microsoft Office Word</Application>
  <DocSecurity>0</DocSecurity>
  <Lines>107</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조은지/경영학부</dc:creator>
  <cp:keywords/>
  <dc:description/>
  <cp:lastModifiedBy>조은지/경영학부</cp:lastModifiedBy>
  <cp:revision>6</cp:revision>
  <dcterms:created xsi:type="dcterms:W3CDTF">2026-10-10T07:22:00Z</dcterms:created>
  <dcterms:modified xsi:type="dcterms:W3CDTF">2026-10-10T08:44:00Z</dcterms:modified>
</cp:coreProperties>
</file>