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07"/>
        <w:gridCol w:w="3307"/>
        <w:gridCol w:w="3307"/>
      </w:tblGrid>
      <w:tr>
        <w:tc>
          <w:tcPr>
            <w:tcW w:type="dxa" w:w="3969"/>
            <w:shd w:fill="17324D"/>
            <w:tcMar>
              <w:top w:w="50" w:type="dxa"/>
              <w:start w:w="0" w:type="dxa"/>
              <w:bottom w:w="50" w:type="dxa"/>
              <w:end w:w="0" w:type="dxa"/>
            </w:tcMar>
          </w:tcPr>
          <w:p/>
        </w:tc>
        <w:tc>
          <w:tcPr>
            <w:tcW w:type="dxa" w:w="3402"/>
            <w:shd w:fill="176B87"/>
            <w:tcMar>
              <w:top w:w="50" w:type="dxa"/>
              <w:start w:w="0" w:type="dxa"/>
              <w:bottom w:w="50" w:type="dxa"/>
              <w:end w:w="0" w:type="dxa"/>
            </w:tcMar>
          </w:tcPr>
          <w:p/>
        </w:tc>
        <w:tc>
          <w:tcPr>
            <w:tcW w:type="dxa" w:w="2551"/>
            <w:shd w:fill="2AA6A4"/>
            <w:tcMar>
              <w:top w:w="50" w:type="dxa"/>
              <w:start w:w="0" w:type="dxa"/>
              <w:bottom w:w="50" w:type="dxa"/>
              <w:end w:w="0" w:type="dxa"/>
            </w:tcMar>
          </w:tcPr>
          <w:p/>
        </w:tc>
      </w:tr>
    </w:tbl>
    <w:p>
      <w:pPr>
        <w:spacing w:before="680" w:after="80"/>
      </w:pPr>
      <w:r>
        <w:rPr>
          <w:rFonts w:ascii="Aptos Display" w:hAnsi="Aptos Display"/>
          <w:b/>
          <w:color w:val="2AA6A4"/>
          <w:sz w:val="24"/>
        </w:rPr>
        <w:t>ICHANNEL TECHNOLOGIES</w:t>
      </w:r>
    </w:p>
    <w:p>
      <w:pPr>
        <w:spacing w:before="520" w:after="40"/>
      </w:pPr>
      <w:r>
        <w:rPr>
          <w:rFonts w:ascii="Aptos" w:hAnsi="Aptos"/>
          <w:b/>
          <w:color w:val="176B87"/>
          <w:sz w:val="18"/>
        </w:rPr>
        <w:t>COMMERCIAL &amp; TECHNICAL PROPOSAL</w:t>
      </w:r>
    </w:p>
    <w:p>
      <w:pPr>
        <w:spacing w:after="160"/>
      </w:pPr>
      <w:r>
        <w:rPr>
          <w:rFonts w:ascii="Aptos Display" w:hAnsi="Aptos Display"/>
          <w:b/>
          <w:color w:val="17324D"/>
          <w:sz w:val="68"/>
        </w:rPr>
        <w:t>Rent Tracker</w:t>
        <w:br/>
        <w:t>Application</w:t>
      </w:r>
    </w:p>
    <w:p>
      <w:pPr>
        <w:spacing w:after="760"/>
      </w:pPr>
      <w:r>
        <w:rPr>
          <w:rFonts w:ascii="Aptos" w:hAnsi="Aptos"/>
          <w:color w:val="4D5B66"/>
          <w:sz w:val="26"/>
        </w:rPr>
        <w:t>A controlled, auditable platform for lease renewals, rent obligations, approvals, documents and management reporting.</w:t>
      </w:r>
    </w:p>
    <w:tbl>
      <w:tblPr>
        <w:tblW w:type="auto" w:w="0"/>
        <w:jc w:val="left"/>
        <w:tblLayout w:type="fixed"/>
        <w:tblLook w:firstColumn="1" w:firstRow="1" w:lastColumn="0" w:lastRow="0" w:noHBand="0" w:noVBand="1" w:val="04A0"/>
      </w:tblPr>
      <w:tblGrid>
        <w:gridCol w:w="4961"/>
        <w:gridCol w:w="4961"/>
      </w:tblGrid>
      <w:tr>
        <w:tc>
          <w:tcPr>
            <w:tcW w:type="dxa" w:w="2835"/>
            <w:tcMar>
              <w:top w:w="110" w:type="dxa"/>
              <w:start w:w="140" w:type="dxa"/>
              <w:bottom w:w="110" w:type="dxa"/>
              <w:end w:w="140" w:type="dxa"/>
            </w:tcMar>
            <w:shd w:fill="17324D"/>
          </w:tcPr>
          <w:p>
            <w:r>
              <w:rPr>
                <w:b/>
                <w:color w:val="FFFFFF"/>
                <w:sz w:val="16"/>
              </w:rPr>
              <w:t>PREPARED FOR</w:t>
            </w:r>
          </w:p>
        </w:tc>
        <w:tc>
          <w:tcPr>
            <w:tcW w:type="dxa" w:w="6577"/>
            <w:tcMar>
              <w:top w:w="110" w:type="dxa"/>
              <w:start w:w="140" w:type="dxa"/>
              <w:bottom w:w="110" w:type="dxa"/>
              <w:end w:w="140" w:type="dxa"/>
            </w:tcMar>
            <w:shd w:fill="F5F8FA"/>
          </w:tcPr>
          <w:p>
            <w:r>
              <w:rPr>
                <w:color w:val="17324D"/>
                <w:sz w:val="18"/>
              </w:rPr>
              <w:t>XYZ Limited</w:t>
            </w:r>
          </w:p>
        </w:tc>
      </w:tr>
      <w:tr>
        <w:tc>
          <w:tcPr>
            <w:tcW w:type="dxa" w:w="2835"/>
            <w:tcMar>
              <w:top w:w="110" w:type="dxa"/>
              <w:start w:w="140" w:type="dxa"/>
              <w:bottom w:w="110" w:type="dxa"/>
              <w:end w:w="140" w:type="dxa"/>
            </w:tcMar>
            <w:shd w:fill="17324D"/>
          </w:tcPr>
          <w:p>
            <w:r>
              <w:rPr>
                <w:b/>
                <w:color w:val="FFFFFF"/>
                <w:sz w:val="16"/>
              </w:rPr>
              <w:t>PREPARED BY</w:t>
            </w:r>
          </w:p>
        </w:tc>
        <w:tc>
          <w:tcPr>
            <w:tcW w:type="dxa" w:w="6577"/>
            <w:tcMar>
              <w:top w:w="110" w:type="dxa"/>
              <w:start w:w="140" w:type="dxa"/>
              <w:bottom w:w="110" w:type="dxa"/>
              <w:end w:w="140" w:type="dxa"/>
            </w:tcMar>
            <w:shd w:fill="FFFFFF"/>
          </w:tcPr>
          <w:p>
            <w:r>
              <w:rPr>
                <w:color w:val="17324D"/>
                <w:sz w:val="18"/>
              </w:rPr>
              <w:t>IChannel Technologies</w:t>
            </w:r>
          </w:p>
        </w:tc>
      </w:tr>
      <w:tr>
        <w:tc>
          <w:tcPr>
            <w:tcW w:type="dxa" w:w="2835"/>
            <w:tcMar>
              <w:top w:w="110" w:type="dxa"/>
              <w:start w:w="140" w:type="dxa"/>
              <w:bottom w:w="110" w:type="dxa"/>
              <w:end w:w="140" w:type="dxa"/>
            </w:tcMar>
            <w:shd w:fill="17324D"/>
          </w:tcPr>
          <w:p>
            <w:r>
              <w:rPr>
                <w:b/>
                <w:color w:val="FFFFFF"/>
                <w:sz w:val="16"/>
              </w:rPr>
              <w:t>PROPOSAL REFERENCE</w:t>
            </w:r>
          </w:p>
        </w:tc>
        <w:tc>
          <w:tcPr>
            <w:tcW w:type="dxa" w:w="6577"/>
            <w:tcMar>
              <w:top w:w="110" w:type="dxa"/>
              <w:start w:w="140" w:type="dxa"/>
              <w:bottom w:w="110" w:type="dxa"/>
              <w:end w:w="140" w:type="dxa"/>
            </w:tcMar>
            <w:shd w:fill="F5F8FA"/>
          </w:tcPr>
          <w:p>
            <w:r>
              <w:rPr>
                <w:color w:val="17324D"/>
                <w:sz w:val="18"/>
              </w:rPr>
              <w:t>ICT/XYZ/RTA/2026-0718</w:t>
            </w:r>
          </w:p>
        </w:tc>
      </w:tr>
      <w:tr>
        <w:tc>
          <w:tcPr>
            <w:tcW w:type="dxa" w:w="2835"/>
            <w:tcMar>
              <w:top w:w="110" w:type="dxa"/>
              <w:start w:w="140" w:type="dxa"/>
              <w:bottom w:w="110" w:type="dxa"/>
              <w:end w:w="140" w:type="dxa"/>
            </w:tcMar>
            <w:shd w:fill="17324D"/>
          </w:tcPr>
          <w:p>
            <w:r>
              <w:rPr>
                <w:b/>
                <w:color w:val="FFFFFF"/>
                <w:sz w:val="16"/>
              </w:rPr>
              <w:t>ISSUE DATE / VALIDITY</w:t>
            </w:r>
          </w:p>
        </w:tc>
        <w:tc>
          <w:tcPr>
            <w:tcW w:type="dxa" w:w="6577"/>
            <w:tcMar>
              <w:top w:w="110" w:type="dxa"/>
              <w:start w:w="140" w:type="dxa"/>
              <w:bottom w:w="110" w:type="dxa"/>
              <w:end w:w="140" w:type="dxa"/>
            </w:tcMar>
            <w:shd w:fill="FFFFFF"/>
          </w:tcPr>
          <w:p>
            <w:r>
              <w:rPr>
                <w:color w:val="17324D"/>
                <w:sz w:val="18"/>
              </w:rPr>
              <w:t>18 July 2026 / 30 days</w:t>
            </w:r>
          </w:p>
        </w:tc>
      </w:tr>
    </w:tbl>
    <w:p>
      <w:pPr>
        <w:spacing w:before="680"/>
        <w:jc w:val="right"/>
      </w:pPr>
      <w:r>
        <w:rPr>
          <w:b/>
          <w:color w:val="2AA6A4"/>
          <w:sz w:val="16"/>
        </w:rPr>
        <w:t>CONFIDENTIAL</w:t>
      </w:r>
      <w:r>
        <w:rPr>
          <w:sz w:val="16"/>
        </w:rPr>
        <w:br/>
        <w:t>For review and acceptance by XYZ Limited</w:t>
      </w:r>
    </w:p>
    <w:p>
      <w:r>
        <w:br w:type="page"/>
      </w:r>
    </w:p>
    <w:p>
      <w:pPr>
        <w:spacing w:after="60"/>
      </w:pPr>
      <w:r>
        <w:rPr>
          <w:rFonts w:ascii="Aptos Display" w:hAnsi="Aptos Display"/>
          <w:b/>
          <w:color w:val="2AA6A4"/>
          <w:sz w:val="16"/>
        </w:rPr>
        <w:t>01 • OPPORTUNITY</w:t>
      </w:r>
    </w:p>
    <w:p>
      <w:pPr>
        <w:pStyle w:val="Heading1"/>
      </w:pPr>
      <w:r>
        <w:t>Executive summary</w:t>
      </w:r>
    </w:p>
    <w:p>
      <w:r>
        <w:t>IChannel Technologies proposes the Rent Tracker Application for XYZ Limited: a standalone Frappe Framework solution that centralizes property, landlord, lease, payment, renewal, document and reminder information in one controlled workspace.</w:t>
      </w:r>
    </w:p>
    <w:p>
      <w:r>
        <w:t>The solution is designed to reduce missed notice dates, replace fragmented spreadsheets and email follow-up, make approval ownership visible, and give management a current view of renewal risk and rent exposure. ERPNext is not required for the standard deployment.</w:t>
      </w:r>
    </w:p>
    <w:p>
      <w:pPr>
        <w:pStyle w:val="Heading2"/>
      </w:pPr>
      <w:r>
        <w:t>Business outcomes</w:t>
      </w:r>
    </w:p>
    <w:tbl>
      <w:tblPr>
        <w:tblW w:type="auto" w:w="0"/>
        <w:jc w:val="center"/>
        <w:tblLayout w:type="fixed"/>
        <w:tblLook w:firstColumn="1" w:firstRow="1" w:lastColumn="0" w:lastRow="0" w:noHBand="0" w:noVBand="1" w:val="04A0"/>
      </w:tblPr>
      <w:tblGrid>
        <w:gridCol w:w="4961"/>
        <w:gridCol w:w="4961"/>
      </w:tblGrid>
      <w:tr>
        <w:tc>
          <w:tcPr>
            <w:tcW w:type="dxa" w:w="4791"/>
            <w:shd w:fill="EAF4F7"/>
            <w:tcMar>
              <w:top w:w="180" w:type="dxa"/>
              <w:start w:w="190" w:type="dxa"/>
              <w:bottom w:w="170" w:type="dxa"/>
              <w:end w:w="190" w:type="dxa"/>
            </w:tcMar>
            <w:tcBorders>
              <w:top w:val="single" w:sz="6" w:space="0" w:color="D9E2E8"/>
              <w:start w:val="single" w:sz="6" w:space="0" w:color="D9E2E8"/>
              <w:bottom w:val="single" w:sz="6" w:space="0" w:color="D9E2E8"/>
              <w:end w:val="single" w:sz="6" w:space="0" w:color="D9E2E8"/>
            </w:tcBorders>
          </w:tcPr>
          <w:p>
            <w:pPr>
              <w:spacing w:after="60"/>
            </w:pPr>
            <w:r>
              <w:rPr>
                <w:b/>
                <w:color w:val="17324D"/>
                <w:sz w:val="20"/>
              </w:rPr>
              <w:t>Fewer missed deadlines</w:t>
            </w:r>
          </w:p>
          <w:p>
            <w:pPr>
              <w:spacing w:after="0"/>
            </w:pPr>
            <w:r>
              <w:t>Configurable expiry reminders and overdue escalation create a reliable follow-up cadence.</w:t>
            </w:r>
          </w:p>
        </w:tc>
        <w:tc>
          <w:tcPr>
            <w:tcW w:type="dxa" w:w="4791"/>
            <w:shd w:fill="F5F8FA"/>
            <w:tcMar>
              <w:top w:w="180" w:type="dxa"/>
              <w:start w:w="190" w:type="dxa"/>
              <w:bottom w:w="170" w:type="dxa"/>
              <w:end w:w="190" w:type="dxa"/>
            </w:tcMar>
            <w:tcBorders>
              <w:top w:val="single" w:sz="6" w:space="0" w:color="D9E2E8"/>
              <w:start w:val="single" w:sz="6" w:space="0" w:color="D9E2E8"/>
              <w:bottom w:val="single" w:sz="6" w:space="0" w:color="D9E2E8"/>
              <w:end w:val="single" w:sz="6" w:space="0" w:color="D9E2E8"/>
            </w:tcBorders>
          </w:tcPr>
          <w:p>
            <w:pPr>
              <w:spacing w:after="60"/>
            </w:pPr>
            <w:r>
              <w:rPr>
                <w:b/>
                <w:color w:val="17324D"/>
                <w:sz w:val="20"/>
              </w:rPr>
              <w:t>One source of truth</w:t>
            </w:r>
          </w:p>
          <w:p>
            <w:pPr>
              <w:spacing w:after="0"/>
            </w:pPr>
            <w:r>
              <w:t>Lease terms, rent obligations, documents, decisions and reminder history stay linked.</w:t>
            </w:r>
          </w:p>
        </w:tc>
      </w:tr>
      <w:tr>
        <w:tc>
          <w:tcPr>
            <w:tcW w:type="dxa" w:w="4791"/>
            <w:shd w:fill="F5F8FA"/>
            <w:tcMar>
              <w:top w:w="180" w:type="dxa"/>
              <w:start w:w="190" w:type="dxa"/>
              <w:bottom w:w="170" w:type="dxa"/>
              <w:end w:w="190" w:type="dxa"/>
            </w:tcMar>
            <w:tcBorders>
              <w:top w:val="single" w:sz="6" w:space="0" w:color="D9E2E8"/>
              <w:start w:val="single" w:sz="6" w:space="0" w:color="D9E2E8"/>
              <w:bottom w:val="single" w:sz="6" w:space="0" w:color="D9E2E8"/>
              <w:end w:val="single" w:sz="6" w:space="0" w:color="D9E2E8"/>
            </w:tcBorders>
          </w:tcPr>
          <w:p>
            <w:pPr>
              <w:spacing w:after="60"/>
            </w:pPr>
            <w:r>
              <w:rPr>
                <w:b/>
                <w:color w:val="17324D"/>
                <w:sz w:val="20"/>
              </w:rPr>
              <w:t>Controlled approvals</w:t>
            </w:r>
          </w:p>
          <w:p>
            <w:pPr>
              <w:spacing w:after="0"/>
            </w:pPr>
            <w:r>
              <w:t>Department, Finance, Legal and Management stages establish accountability.</w:t>
            </w:r>
          </w:p>
        </w:tc>
        <w:tc>
          <w:tcPr>
            <w:tcW w:type="dxa" w:w="4791"/>
            <w:shd w:fill="EAF4F7"/>
            <w:tcMar>
              <w:top w:w="180" w:type="dxa"/>
              <w:start w:w="190" w:type="dxa"/>
              <w:bottom w:w="170" w:type="dxa"/>
              <w:end w:w="190" w:type="dxa"/>
            </w:tcMar>
            <w:tcBorders>
              <w:top w:val="single" w:sz="6" w:space="0" w:color="D9E2E8"/>
              <w:start w:val="single" w:sz="6" w:space="0" w:color="D9E2E8"/>
              <w:bottom w:val="single" w:sz="6" w:space="0" w:color="D9E2E8"/>
              <w:end w:val="single" w:sz="6" w:space="0" w:color="D9E2E8"/>
            </w:tcBorders>
          </w:tcPr>
          <w:p>
            <w:pPr>
              <w:spacing w:after="60"/>
            </w:pPr>
            <w:r>
              <w:rPr>
                <w:b/>
                <w:color w:val="17324D"/>
                <w:sz w:val="20"/>
              </w:rPr>
              <w:t>Actionable visibility</w:t>
            </w:r>
          </w:p>
          <w:p>
            <w:pPr>
              <w:spacing w:after="0"/>
            </w:pPr>
            <w:r>
              <w:t>Dashboards, calendars, action queues and reports highlight what needs attention.</w:t>
            </w:r>
          </w:p>
        </w:tc>
      </w:tr>
    </w:tbl>
    <w:p>
      <w:pPr>
        <w:pStyle w:val="Heading2"/>
      </w:pPr>
      <w:r>
        <w:t>Solution at a glance</w:t>
      </w:r>
    </w:p>
    <w:tbl>
      <w:tblPr>
        <w:tblStyle w:val="TableGrid"/>
        <w:tblW w:type="auto" w:w="0"/>
        <w:jc w:val="center"/>
        <w:tblLayout w:type="fixed"/>
        <w:tblLook w:firstColumn="1" w:firstRow="1" w:lastColumn="0" w:lastRow="0" w:noHBand="0" w:noVBand="1" w:val="04A0"/>
      </w:tblPr>
      <w:tblGrid>
        <w:gridCol w:w="4961"/>
        <w:gridCol w:w="4961"/>
      </w:tblGrid>
      <w:tr>
        <w:trPr>
          <w:trHeight w:val="408"/>
          <w:tblHeader w:val="true"/>
        </w:trPr>
        <w:tc>
          <w:tcPr>
            <w:tcW w:type="dxa" w:w="2438"/>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Area</w:t>
            </w:r>
          </w:p>
        </w:tc>
        <w:tc>
          <w:tcPr>
            <w:tcW w:type="dxa" w:w="7030"/>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Proposed baseline</w:t>
            </w:r>
          </w:p>
        </w:tc>
      </w:tr>
      <w:tr>
        <w:trPr>
          <w:cantSplit/>
        </w:trPr>
        <w:tc>
          <w:tcPr>
            <w:tcW w:type="dxa" w:w="2438"/>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Platform</w:t>
            </w:r>
          </w:p>
        </w:tc>
        <w:tc>
          <w:tcPr>
            <w:tcW w:type="dxa" w:w="7030"/>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Frappe Framework v16.x; standalone application</w:t>
            </w:r>
          </w:p>
        </w:tc>
      </w:tr>
      <w:tr>
        <w:trPr>
          <w:cantSplit/>
        </w:trPr>
        <w:tc>
          <w:tcPr>
            <w:tcW w:type="dxa" w:w="2438"/>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Access</w:t>
            </w:r>
          </w:p>
        </w:tc>
        <w:tc>
          <w:tcPr>
            <w:tcW w:type="dxa" w:w="7030"/>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Secure browser-based workspace for licensed named users</w:t>
            </w:r>
          </w:p>
        </w:tc>
      </w:tr>
      <w:tr>
        <w:trPr>
          <w:cantSplit/>
        </w:trPr>
        <w:tc>
          <w:tcPr>
            <w:tcW w:type="dxa" w:w="2438"/>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Core records</w:t>
            </w:r>
          </w:p>
        </w:tc>
        <w:tc>
          <w:tcPr>
            <w:tcW w:type="dxa" w:w="7030"/>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Properties, landlords, departments, leases, rent schedules and lease documents</w:t>
            </w:r>
          </w:p>
        </w:tc>
      </w:tr>
      <w:tr>
        <w:trPr>
          <w:cantSplit/>
        </w:trPr>
        <w:tc>
          <w:tcPr>
            <w:tcW w:type="dxa" w:w="2438"/>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Automation</w:t>
            </w:r>
          </w:p>
        </w:tc>
        <w:tc>
          <w:tcPr>
            <w:tcW w:type="dxa" w:w="7030"/>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Daily expiry reminders, escalation, status refresh and delivery logging</w:t>
            </w:r>
          </w:p>
        </w:tc>
      </w:tr>
      <w:tr>
        <w:trPr>
          <w:cantSplit/>
        </w:trPr>
        <w:tc>
          <w:tcPr>
            <w:tcW w:type="dxa" w:w="2438"/>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Governance</w:t>
            </w:r>
          </w:p>
        </w:tc>
        <w:tc>
          <w:tcPr>
            <w:tcW w:type="dxa" w:w="7030"/>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Role-based permissions, private files, workflow history and audit trail</w:t>
            </w:r>
          </w:p>
        </w:tc>
      </w:tr>
      <w:tr>
        <w:trPr>
          <w:cantSplit/>
        </w:trPr>
        <w:tc>
          <w:tcPr>
            <w:tcW w:type="dxa" w:w="2438"/>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Commercial model</w:t>
            </w:r>
          </w:p>
        </w:tc>
        <w:tc>
          <w:tcPr>
            <w:tcW w:type="dxa" w:w="7030"/>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Managed application service priced by named user; minimum five users</w:t>
            </w:r>
          </w:p>
        </w:tc>
      </w:tr>
    </w:tbl>
    <w:tbl>
      <w:tblPr>
        <w:tblW w:type="auto" w:w="0"/>
        <w:jc w:val="center"/>
        <w:tblLook w:firstColumn="1" w:firstRow="1" w:lastColumn="0" w:lastRow="0" w:noHBand="0" w:noVBand="1" w:val="04A0"/>
      </w:tblPr>
      <w:tblGrid>
        <w:gridCol w:w="9922"/>
      </w:tblGrid>
      <w:tr>
        <w:tc>
          <w:tcPr>
            <w:tcW w:type="dxa" w:w="9922"/>
            <w:shd w:fill="EAF4F7"/>
            <w:tcMar>
              <w:top w:w="180" w:type="dxa"/>
              <w:start w:w="220" w:type="dxa"/>
              <w:bottom w:w="180" w:type="dxa"/>
              <w:end w:w="220" w:type="dxa"/>
            </w:tcMar>
            <w:tcBorders>
              <w:start w:val="single" w:sz="10" w:space="0" w:color="2AA6A4"/>
            </w:tcBorders>
          </w:tcPr>
          <w:p>
            <w:pPr>
              <w:spacing w:after="40"/>
            </w:pPr>
            <w:r>
              <w:rPr>
                <w:b/>
                <w:color w:val="17324D"/>
              </w:rPr>
              <w:t>Recommendation</w:t>
            </w:r>
          </w:p>
          <w:p>
            <w:pPr>
              <w:spacing w:after="0"/>
            </w:pPr>
            <w:r>
              <w:t>Begin with a five-user controlled launch for the lease administrator, Finance, Legal and Management stakeholders, then add users as operational adoption expands.</w:t>
            </w:r>
          </w:p>
        </w:tc>
      </w:tr>
    </w:tbl>
    <w:p>
      <w:r>
        <w:br w:type="page"/>
      </w:r>
    </w:p>
    <w:p>
      <w:pPr>
        <w:spacing w:after="60"/>
      </w:pPr>
      <w:r>
        <w:rPr>
          <w:rFonts w:ascii="Aptos Display" w:hAnsi="Aptos Display"/>
          <w:b/>
          <w:color w:val="2AA6A4"/>
          <w:sz w:val="16"/>
        </w:rPr>
        <w:t>02 • PRODUCT</w:t>
      </w:r>
    </w:p>
    <w:p>
      <w:pPr>
        <w:pStyle w:val="Heading1"/>
      </w:pPr>
      <w:r>
        <w:t>Feature portfolio</w:t>
      </w:r>
    </w:p>
    <w:p>
      <w:r>
        <w:t>The proposed baseline combines lease administration, renewal governance and management reporting in one permission-aware application.</w:t>
      </w:r>
    </w:p>
    <w:tbl>
      <w:tblPr>
        <w:tblStyle w:val="TableGrid"/>
        <w:tblW w:type="auto" w:w="0"/>
        <w:jc w:val="center"/>
        <w:tblLayout w:type="fixed"/>
        <w:tblLook w:firstColumn="1" w:firstRow="1" w:lastColumn="0" w:lastRow="0" w:noHBand="0" w:noVBand="1" w:val="04A0"/>
      </w:tblPr>
      <w:tblGrid>
        <w:gridCol w:w="3307"/>
        <w:gridCol w:w="3307"/>
        <w:gridCol w:w="3307"/>
      </w:tblGrid>
      <w:tr>
        <w:trPr>
          <w:trHeight w:val="408"/>
          <w:tblHeader w:val="true"/>
        </w:trPr>
        <w:tc>
          <w:tcPr>
            <w:tcW w:type="dxa" w:w="2097"/>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Capability</w:t>
            </w:r>
          </w:p>
        </w:tc>
        <w:tc>
          <w:tcPr>
            <w:tcW w:type="dxa" w:w="4365"/>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What it does</w:t>
            </w:r>
          </w:p>
        </w:tc>
        <w:tc>
          <w:tcPr>
            <w:tcW w:type="dxa" w:w="3061"/>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Value to XYZ Limited</w:t>
            </w:r>
          </w:p>
        </w:tc>
      </w:tr>
      <w:tr>
        <w:trPr>
          <w:cantSplit/>
        </w:trPr>
        <w:tc>
          <w:tcPr>
            <w:tcW w:type="dxa" w:w="209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Central lease register</w:t>
            </w:r>
          </w:p>
        </w:tc>
        <w:tc>
          <w:tcPr>
            <w:tcW w:type="dxa" w:w="4365"/>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Capture property, landlord, dates, notice periods, responsible officers, currency, rent basis and status.</w:t>
            </w:r>
          </w:p>
        </w:tc>
        <w:tc>
          <w:tcPr>
            <w:tcW w:type="dxa" w:w="306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Consistent, searchable contract data</w:t>
            </w:r>
          </w:p>
        </w:tc>
      </w:tr>
      <w:tr>
        <w:trPr>
          <w:cantSplit/>
        </w:trPr>
        <w:tc>
          <w:tcPr>
            <w:tcW w:type="dxa" w:w="209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Property &amp; landlord masters</w:t>
            </w:r>
          </w:p>
        </w:tc>
        <w:tc>
          <w:tcPr>
            <w:tcW w:type="dxa" w:w="4365"/>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Maintain reusable property, department and counterparty records with ownership and contact details.</w:t>
            </w:r>
          </w:p>
        </w:tc>
        <w:tc>
          <w:tcPr>
            <w:tcW w:type="dxa" w:w="306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Less duplication and clearer accountability</w:t>
            </w:r>
          </w:p>
        </w:tc>
      </w:tr>
      <w:tr>
        <w:trPr>
          <w:cantSplit/>
        </w:trPr>
        <w:tc>
          <w:tcPr>
            <w:tcW w:type="dxa" w:w="209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Rent schedules &amp; payments</w:t>
            </w:r>
          </w:p>
        </w:tc>
        <w:tc>
          <w:tcPr>
            <w:tcW w:type="dxa" w:w="4365"/>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Plan obligations, record partial-payment evidence, and calculate paid and outstanding balances.</w:t>
            </w:r>
          </w:p>
        </w:tc>
        <w:tc>
          <w:tcPr>
            <w:tcW w:type="dxa" w:w="306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Current visibility without executing bank payments</w:t>
            </w:r>
          </w:p>
        </w:tc>
      </w:tr>
      <w:tr>
        <w:trPr>
          <w:cantSplit/>
        </w:trPr>
        <w:tc>
          <w:tcPr>
            <w:tcW w:type="dxa" w:w="209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Renewal workflow</w:t>
            </w:r>
          </w:p>
        </w:tc>
        <w:tc>
          <w:tcPr>
            <w:tcW w:type="dxa" w:w="4365"/>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Route renewal requests through Department, Finance, Legal and Management review with decision history.</w:t>
            </w:r>
          </w:p>
        </w:tc>
        <w:tc>
          <w:tcPr>
            <w:tcW w:type="dxa" w:w="306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Standard approvals and traceable decisions</w:t>
            </w:r>
          </w:p>
        </w:tc>
      </w:tr>
      <w:tr>
        <w:trPr>
          <w:cantSplit/>
        </w:trPr>
        <w:tc>
          <w:tcPr>
            <w:tcW w:type="dxa" w:w="209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Expiry reminders</w:t>
            </w:r>
          </w:p>
        </w:tc>
        <w:tc>
          <w:tcPr>
            <w:tcW w:type="dxa" w:w="4365"/>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Send configurable 90/60/30/14/7-day notices, expiry-day alerts and overdue escalation.</w:t>
            </w:r>
          </w:p>
        </w:tc>
        <w:tc>
          <w:tcPr>
            <w:tcW w:type="dxa" w:w="306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Reduced risk of missed notice dates</w:t>
            </w:r>
          </w:p>
        </w:tc>
      </w:tr>
      <w:tr>
        <w:trPr>
          <w:cantSplit/>
        </w:trPr>
        <w:tc>
          <w:tcPr>
            <w:tcW w:type="dxa" w:w="209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Document control</w:t>
            </w:r>
          </w:p>
        </w:tc>
        <w:tc>
          <w:tcPr>
            <w:tcW w:type="dxa" w:w="4365"/>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Store agreements, addenda, approvals, letters and receipts as private files linked to the lease.</w:t>
            </w:r>
          </w:p>
        </w:tc>
        <w:tc>
          <w:tcPr>
            <w:tcW w:type="dxa" w:w="306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Secure evidence in context</w:t>
            </w:r>
          </w:p>
        </w:tc>
      </w:tr>
      <w:tr>
        <w:trPr>
          <w:cantSplit/>
        </w:trPr>
        <w:tc>
          <w:tcPr>
            <w:tcW w:type="dxa" w:w="209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Dashboards &amp; action queue</w:t>
            </w:r>
          </w:p>
        </w:tc>
        <w:tc>
          <w:tcPr>
            <w:tcW w:type="dxa" w:w="4365"/>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Surface leases, expiries, upcoming payments, renewal stages, exceptions and the user's pending actions.</w:t>
            </w:r>
          </w:p>
        </w:tc>
        <w:tc>
          <w:tcPr>
            <w:tcW w:type="dxa" w:w="306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Faster operational follow-up</w:t>
            </w:r>
          </w:p>
        </w:tc>
      </w:tr>
      <w:tr>
        <w:trPr>
          <w:cantSplit/>
        </w:trPr>
        <w:tc>
          <w:tcPr>
            <w:tcW w:type="dxa" w:w="209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Reports &amp; exports</w:t>
            </w:r>
          </w:p>
        </w:tc>
        <w:tc>
          <w:tcPr>
            <w:tcW w:type="dxa" w:w="4365"/>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Use Upcoming Expiries, Renewal Pipeline, Upcoming Payments, Rent Exposure and Reminder Delivery reports.</w:t>
            </w:r>
          </w:p>
        </w:tc>
        <w:tc>
          <w:tcPr>
            <w:tcW w:type="dxa" w:w="306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Management-ready oversight</w:t>
            </w:r>
          </w:p>
        </w:tc>
      </w:tr>
      <w:tr>
        <w:trPr>
          <w:cantSplit/>
        </w:trPr>
        <w:tc>
          <w:tcPr>
            <w:tcW w:type="dxa" w:w="209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Security &amp; audit</w:t>
            </w:r>
          </w:p>
        </w:tc>
        <w:tc>
          <w:tcPr>
            <w:tcW w:type="dxa" w:w="4365"/>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Apply role permissions, attachment ownership checks, workflow history, timestamps and change tracking.</w:t>
            </w:r>
          </w:p>
        </w:tc>
        <w:tc>
          <w:tcPr>
            <w:tcW w:type="dxa" w:w="306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Stronger governance and accountability</w:t>
            </w:r>
          </w:p>
        </w:tc>
      </w:tr>
    </w:tbl>
    <w:p>
      <w:pPr>
        <w:pStyle w:val="Heading2"/>
      </w:pPr>
      <w:r>
        <w:t>Designed for daily use</w:t>
      </w:r>
    </w:p>
    <w:p>
      <w:pPr>
        <w:pStyle w:val="ListBullet"/>
        <w:spacing w:after="40"/>
      </w:pPr>
      <w:r>
        <w:t>Permission-aware application entry point and operational Workspace.</w:t>
      </w:r>
    </w:p>
    <w:p>
      <w:pPr>
        <w:pStyle w:val="ListBullet"/>
        <w:spacing w:after="40"/>
      </w:pPr>
      <w:r>
        <w:t>Calendar and status indicators for time-sensitive work.</w:t>
      </w:r>
    </w:p>
    <w:p>
      <w:pPr>
        <w:pStyle w:val="ListBullet"/>
        <w:spacing w:after="40"/>
      </w:pPr>
      <w:r>
        <w:t>Configurable settings, reminder policies and setup-readiness checks.</w:t>
      </w:r>
    </w:p>
    <w:p>
      <w:pPr>
        <w:pStyle w:val="ListBullet"/>
        <w:spacing w:after="40"/>
      </w:pPr>
      <w:r>
        <w:t>Optional weekly management digest for consolidated oversight.</w:t>
      </w:r>
    </w:p>
    <w:p>
      <w:r>
        <w:br w:type="page"/>
      </w:r>
    </w:p>
    <w:p>
      <w:pPr>
        <w:spacing w:after="60"/>
      </w:pPr>
      <w:r>
        <w:rPr>
          <w:rFonts w:ascii="Aptos Display" w:hAnsi="Aptos Display"/>
          <w:b/>
          <w:color w:val="2AA6A4"/>
          <w:sz w:val="16"/>
        </w:rPr>
        <w:t>03 • GOVERNANCE</w:t>
      </w:r>
    </w:p>
    <w:p>
      <w:pPr>
        <w:pStyle w:val="Heading1"/>
      </w:pPr>
      <w:r>
        <w:t>Process, roles and controls</w:t>
      </w:r>
    </w:p>
    <w:p>
      <w:pPr>
        <w:pStyle w:val="Heading2"/>
      </w:pPr>
      <w:r>
        <w:t>Renewal lifecycle</w:t>
      </w:r>
    </w:p>
    <w:p>
      <w:pPr>
        <w:pStyle w:val="ListNumber"/>
      </w:pPr>
      <w:r>
        <w:t>Create or maintain the lease, rent schedule and supporting documents.</w:t>
      </w:r>
    </w:p>
    <w:p>
      <w:pPr>
        <w:pStyle w:val="ListNumber"/>
      </w:pPr>
      <w:r>
        <w:t>Monitor the calculated notice deadline, expiry status and next action.</w:t>
      </w:r>
    </w:p>
    <w:p>
      <w:pPr>
        <w:pStyle w:val="ListNumber"/>
      </w:pPr>
      <w:r>
        <w:t>Start a renewal request with proposed terms, justification and risk context.</w:t>
      </w:r>
    </w:p>
    <w:p>
      <w:pPr>
        <w:pStyle w:val="ListNumber"/>
      </w:pPr>
      <w:r>
        <w:t>Route the request through Department, Finance, Legal and Management review.</w:t>
      </w:r>
    </w:p>
    <w:p>
      <w:pPr>
        <w:pStyle w:val="ListNumber"/>
      </w:pPr>
      <w:r>
        <w:t>Record the final decision, execute the renewal and create the successor lease where applicable.</w:t>
      </w:r>
    </w:p>
    <w:p>
      <w:pPr>
        <w:pStyle w:val="ListNumber"/>
      </w:pPr>
      <w:r>
        <w:t>Retain the immutable snapshot, decision history and reminder log for audit.</w:t>
      </w:r>
    </w:p>
    <w:p>
      <w:pPr>
        <w:pStyle w:val="Heading2"/>
      </w:pPr>
      <w:r>
        <w:t>Indicative access model</w:t>
      </w:r>
    </w:p>
    <w:tbl>
      <w:tblPr>
        <w:tblStyle w:val="TableGrid"/>
        <w:tblW w:type="auto" w:w="0"/>
        <w:jc w:val="center"/>
        <w:tblLayout w:type="fixed"/>
        <w:tblLook w:firstColumn="1" w:firstRow="1" w:lastColumn="0" w:lastRow="0" w:noHBand="0" w:noVBand="1" w:val="04A0"/>
      </w:tblPr>
      <w:tblGrid>
        <w:gridCol w:w="4961"/>
        <w:gridCol w:w="4961"/>
      </w:tblGrid>
      <w:tr>
        <w:trPr>
          <w:trHeight w:val="408"/>
          <w:tblHeader w:val="true"/>
        </w:trPr>
        <w:tc>
          <w:tcPr>
            <w:tcW w:type="dxa" w:w="2721"/>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Role</w:t>
            </w:r>
          </w:p>
        </w:tc>
        <w:tc>
          <w:tcPr>
            <w:tcW w:type="dxa" w:w="6747"/>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Typical responsibility</w:t>
            </w:r>
          </w:p>
        </w:tc>
      </w:tr>
      <w:tr>
        <w:trPr>
          <w:cantSplit/>
        </w:trPr>
        <w:tc>
          <w:tcPr>
            <w:tcW w:type="dxa" w:w="272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Lease Administrator</w:t>
            </w:r>
          </w:p>
        </w:tc>
        <w:tc>
          <w:tcPr>
            <w:tcW w:type="dxa" w:w="674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Create and maintain leases, schedules, documents and renewal records</w:t>
            </w:r>
          </w:p>
        </w:tc>
      </w:tr>
      <w:tr>
        <w:trPr>
          <w:cantSplit/>
        </w:trPr>
        <w:tc>
          <w:tcPr>
            <w:tcW w:type="dxa" w:w="272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Responsible Officer</w:t>
            </w:r>
          </w:p>
        </w:tc>
        <w:tc>
          <w:tcPr>
            <w:tcW w:type="dxa" w:w="674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Own assigned leases and prepare renewal recommendations</w:t>
            </w:r>
          </w:p>
        </w:tc>
      </w:tr>
      <w:tr>
        <w:trPr>
          <w:cantSplit/>
        </w:trPr>
        <w:tc>
          <w:tcPr>
            <w:tcW w:type="dxa" w:w="272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Department Head</w:t>
            </w:r>
          </w:p>
        </w:tc>
        <w:tc>
          <w:tcPr>
            <w:tcW w:type="dxa" w:w="674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Review operational need, budget ownership and department recommendation</w:t>
            </w:r>
          </w:p>
        </w:tc>
      </w:tr>
      <w:tr>
        <w:trPr>
          <w:cantSplit/>
        </w:trPr>
        <w:tc>
          <w:tcPr>
            <w:tcW w:type="dxa" w:w="272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Finance Approver</w:t>
            </w:r>
          </w:p>
        </w:tc>
        <w:tc>
          <w:tcPr>
            <w:tcW w:type="dxa" w:w="674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Review affordability, rent exposure and payment implications</w:t>
            </w:r>
          </w:p>
        </w:tc>
      </w:tr>
      <w:tr>
        <w:trPr>
          <w:cantSplit/>
        </w:trPr>
        <w:tc>
          <w:tcPr>
            <w:tcW w:type="dxa" w:w="272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Legal Approver</w:t>
            </w:r>
          </w:p>
        </w:tc>
        <w:tc>
          <w:tcPr>
            <w:tcW w:type="dxa" w:w="674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Review legal terms, evidence and contract risk</w:t>
            </w:r>
          </w:p>
        </w:tc>
      </w:tr>
      <w:tr>
        <w:trPr>
          <w:cantSplit/>
        </w:trPr>
        <w:tc>
          <w:tcPr>
            <w:tcW w:type="dxa" w:w="272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Management Approver</w:t>
            </w:r>
          </w:p>
        </w:tc>
        <w:tc>
          <w:tcPr>
            <w:tcW w:type="dxa" w:w="674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Provide final business approval or rejection</w:t>
            </w:r>
          </w:p>
        </w:tc>
      </w:tr>
      <w:tr>
        <w:trPr>
          <w:cantSplit/>
        </w:trPr>
        <w:tc>
          <w:tcPr>
            <w:tcW w:type="dxa" w:w="272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Auditor / Viewer</w:t>
            </w:r>
          </w:p>
        </w:tc>
        <w:tc>
          <w:tcPr>
            <w:tcW w:type="dxa" w:w="674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Read authorized records and reports without operational changes</w:t>
            </w:r>
          </w:p>
        </w:tc>
      </w:tr>
      <w:tr>
        <w:trPr>
          <w:cantSplit/>
        </w:trPr>
        <w:tc>
          <w:tcPr>
            <w:tcW w:type="dxa" w:w="272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System Manager</w:t>
            </w:r>
          </w:p>
        </w:tc>
        <w:tc>
          <w:tcPr>
            <w:tcW w:type="dxa" w:w="674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Administer settings, roles, policies and installation health</w:t>
            </w:r>
          </w:p>
        </w:tc>
      </w:tr>
    </w:tbl>
    <w:p>
      <w:pPr>
        <w:pStyle w:val="Heading2"/>
      </w:pPr>
      <w:r>
        <w:t>Built-in safeguards</w:t>
      </w:r>
    </w:p>
    <w:p>
      <w:pPr>
        <w:pStyle w:val="ListBullet"/>
        <w:spacing w:after="40"/>
      </w:pPr>
      <w:r>
        <w:t>Private-file and attachment ownership controls for lease documents.</w:t>
      </w:r>
    </w:p>
    <w:p>
      <w:pPr>
        <w:pStyle w:val="ListBullet"/>
        <w:spacing w:after="40"/>
      </w:pPr>
      <w:r>
        <w:t>Server-side date, status, rent and occupancy-cost calculations.</w:t>
      </w:r>
    </w:p>
    <w:p>
      <w:pPr>
        <w:pStyle w:val="ListBullet"/>
        <w:spacing w:after="40"/>
      </w:pPr>
      <w:r>
        <w:t>Prevention of overlapping ongoing leases for the same property, with legacy-conflict review flags.</w:t>
      </w:r>
    </w:p>
    <w:p>
      <w:pPr>
        <w:pStyle w:val="ListBullet"/>
        <w:spacing w:after="40"/>
      </w:pPr>
      <w:r>
        <w:t>Duplicate-resistant reminders with queued delivery, retries and delivery logs.</w:t>
      </w:r>
    </w:p>
    <w:p>
      <w:pPr>
        <w:pStyle w:val="ListBullet"/>
        <w:spacing w:after="40"/>
      </w:pPr>
      <w:r>
        <w:t>One open renewal cycle per lease, with preserved decision history and successor linkage.</w:t>
      </w:r>
    </w:p>
    <w:p>
      <w:r>
        <w:br w:type="page"/>
      </w:r>
    </w:p>
    <w:p>
      <w:pPr>
        <w:spacing w:after="60"/>
      </w:pPr>
      <w:r>
        <w:rPr>
          <w:rFonts w:ascii="Aptos Display" w:hAnsi="Aptos Display"/>
          <w:b/>
          <w:color w:val="2AA6A4"/>
          <w:sz w:val="16"/>
        </w:rPr>
        <w:t>04 • DELIVERY</w:t>
      </w:r>
    </w:p>
    <w:p>
      <w:pPr>
        <w:pStyle w:val="Heading1"/>
      </w:pPr>
      <w:r>
        <w:t>Scope and deliverables</w:t>
      </w:r>
    </w:p>
    <w:p>
      <w:pPr>
        <w:pStyle w:val="Heading2"/>
      </w:pPr>
      <w:r>
        <w:t>Included in the standard engagement</w:t>
      </w:r>
    </w:p>
    <w:p>
      <w:pPr>
        <w:pStyle w:val="ListBullet"/>
      </w:pPr>
      <w:r>
        <w:t>Deployment of the Rent Tracker Application to one supported Frappe v16 site.</w:t>
      </w:r>
    </w:p>
    <w:p>
      <w:pPr>
        <w:pStyle w:val="ListBullet"/>
      </w:pPr>
      <w:r>
        <w:t>Discovery workshop and confirmation of roles, reminders, workflow and acceptance criteria.</w:t>
      </w:r>
    </w:p>
    <w:p>
      <w:pPr>
        <w:pStyle w:val="ListBullet"/>
      </w:pPr>
      <w:r>
        <w:t>Baseline configuration for application settings, reminder policies, roles and permissions.</w:t>
      </w:r>
    </w:p>
    <w:p>
      <w:pPr>
        <w:pStyle w:val="ListBullet"/>
      </w:pPr>
      <w:r>
        <w:t>Data-import templates and migration of up to 250 validated lease/property/landlord records.</w:t>
      </w:r>
    </w:p>
    <w:p>
      <w:pPr>
        <w:pStyle w:val="ListBullet"/>
      </w:pPr>
      <w:r>
        <w:t>Configuration of standard reports, workspace and dashboard views.</w:t>
      </w:r>
    </w:p>
    <w:p>
      <w:pPr>
        <w:pStyle w:val="ListBullet"/>
      </w:pPr>
      <w:r>
        <w:t>Administrator training plus one remote end-user training session.</w:t>
      </w:r>
    </w:p>
    <w:p>
      <w:pPr>
        <w:pStyle w:val="ListBullet"/>
      </w:pPr>
      <w:r>
        <w:t>User guide, deployment guidance and configuration handover.</w:t>
      </w:r>
    </w:p>
    <w:p>
      <w:pPr>
        <w:pStyle w:val="ListBullet"/>
      </w:pPr>
      <w:r>
        <w:t>User acceptance support, go-live assistance and 30 calendar days of hypercare.</w:t>
      </w:r>
    </w:p>
    <w:p>
      <w:pPr>
        <w:pStyle w:val="Heading2"/>
      </w:pPr>
      <w:r>
        <w:t>Standard deliverables</w:t>
      </w:r>
    </w:p>
    <w:tbl>
      <w:tblPr>
        <w:tblStyle w:val="TableGrid"/>
        <w:tblW w:type="auto" w:w="0"/>
        <w:jc w:val="center"/>
        <w:tblLayout w:type="fixed"/>
        <w:tblLook w:firstColumn="1" w:firstRow="1" w:lastColumn="0" w:lastRow="0" w:noHBand="0" w:noVBand="1" w:val="04A0"/>
      </w:tblPr>
      <w:tblGrid>
        <w:gridCol w:w="4961"/>
        <w:gridCol w:w="4961"/>
      </w:tblGrid>
      <w:tr>
        <w:trPr>
          <w:trHeight w:val="408"/>
          <w:tblHeader w:val="true"/>
        </w:trPr>
        <w:tc>
          <w:tcPr>
            <w:tcW w:type="dxa" w:w="2664"/>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Deliverable</w:t>
            </w:r>
          </w:p>
        </w:tc>
        <w:tc>
          <w:tcPr>
            <w:tcW w:type="dxa" w:w="6804"/>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Contents</w:t>
            </w:r>
          </w:p>
        </w:tc>
      </w:tr>
      <w:tr>
        <w:trPr>
          <w:cantSplit/>
        </w:trPr>
        <w:tc>
          <w:tcPr>
            <w:tcW w:type="dxa" w:w="266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Configured application</w:t>
            </w:r>
          </w:p>
        </w:tc>
        <w:tc>
          <w:tcPr>
            <w:tcW w:type="dxa" w:w="680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Installed application, roles, permissions, settings, workflow and reminders</w:t>
            </w:r>
          </w:p>
        </w:tc>
      </w:tr>
      <w:tr>
        <w:trPr>
          <w:cantSplit/>
        </w:trPr>
        <w:tc>
          <w:tcPr>
            <w:tcW w:type="dxa" w:w="2664"/>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Migration package</w:t>
            </w:r>
          </w:p>
        </w:tc>
        <w:tc>
          <w:tcPr>
            <w:tcW w:type="dxa" w:w="6804"/>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Import templates, validated source mapping and reconciliation summary</w:t>
            </w:r>
          </w:p>
        </w:tc>
      </w:tr>
      <w:tr>
        <w:trPr>
          <w:cantSplit/>
        </w:trPr>
        <w:tc>
          <w:tcPr>
            <w:tcW w:type="dxa" w:w="266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Reporting pack</w:t>
            </w:r>
          </w:p>
        </w:tc>
        <w:tc>
          <w:tcPr>
            <w:tcW w:type="dxa" w:w="680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Operational Workspace, action queue, dashboard and standard reports</w:t>
            </w:r>
          </w:p>
        </w:tc>
      </w:tr>
      <w:tr>
        <w:trPr>
          <w:cantSplit/>
        </w:trPr>
        <w:tc>
          <w:tcPr>
            <w:tcW w:type="dxa" w:w="2664"/>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Knowledge transfer</w:t>
            </w:r>
          </w:p>
        </w:tc>
        <w:tc>
          <w:tcPr>
            <w:tcW w:type="dxa" w:w="6804"/>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Administrator handover, user training and operating guidance</w:t>
            </w:r>
          </w:p>
        </w:tc>
      </w:tr>
      <w:tr>
        <w:trPr>
          <w:cantSplit/>
        </w:trPr>
        <w:tc>
          <w:tcPr>
            <w:tcW w:type="dxa" w:w="266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Go-live support</w:t>
            </w:r>
          </w:p>
        </w:tc>
        <w:tc>
          <w:tcPr>
            <w:tcW w:type="dxa" w:w="680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Smoke testing, issue triage and 30-day hypercare</w:t>
            </w:r>
          </w:p>
        </w:tc>
      </w:tr>
    </w:tbl>
    <w:p>
      <w:pPr>
        <w:pStyle w:val="Heading2"/>
      </w:pPr>
      <w:r>
        <w:t>Outside the standard baseline</w:t>
      </w:r>
    </w:p>
    <w:p>
      <w:r>
        <w:t>Bank payment execution, general-ledger posting, ERPNext accounting integration, landlord portals, electronic signatures, OCR/AI extraction, SMS/WhatsApp messaging, bespoke third-party integrations, on-site travel and complex legacy-data cleansing are excluded unless separately quoted.</w:t>
      </w:r>
    </w:p>
    <w:tbl>
      <w:tblPr>
        <w:tblW w:type="auto" w:w="0"/>
        <w:jc w:val="center"/>
        <w:tblLook w:firstColumn="1" w:firstRow="1" w:lastColumn="0" w:lastRow="0" w:noHBand="0" w:noVBand="1" w:val="04A0"/>
      </w:tblPr>
      <w:tblGrid>
        <w:gridCol w:w="9922"/>
      </w:tblGrid>
      <w:tr>
        <w:tc>
          <w:tcPr>
            <w:tcW w:type="dxa" w:w="9922"/>
            <w:shd w:fill="EAF4F7"/>
            <w:tcMar>
              <w:top w:w="180" w:type="dxa"/>
              <w:start w:w="220" w:type="dxa"/>
              <w:bottom w:w="180" w:type="dxa"/>
              <w:end w:w="220" w:type="dxa"/>
            </w:tcMar>
            <w:tcBorders>
              <w:start w:val="single" w:sz="10" w:space="0" w:color="2AA6A4"/>
            </w:tcBorders>
          </w:tcPr>
          <w:p>
            <w:pPr>
              <w:spacing w:after="40"/>
            </w:pPr>
            <w:r>
              <w:rPr>
                <w:b/>
                <w:color w:val="17324D"/>
              </w:rPr>
              <w:t>Scope control</w:t>
            </w:r>
          </w:p>
          <w:p>
            <w:pPr>
              <w:spacing w:after="0"/>
            </w:pPr>
            <w:r>
              <w:t>Any requested feature or integration outside the baseline will be assessed through a written change request covering impact, timing and price.</w:t>
            </w:r>
          </w:p>
        </w:tc>
      </w:tr>
    </w:tbl>
    <w:p>
      <w:r>
        <w:br w:type="page"/>
      </w:r>
    </w:p>
    <w:p>
      <w:pPr>
        <w:spacing w:after="60"/>
      </w:pPr>
      <w:r>
        <w:rPr>
          <w:rFonts w:ascii="Aptos Display" w:hAnsi="Aptos Display"/>
          <w:b/>
          <w:color w:val="2AA6A4"/>
          <w:sz w:val="16"/>
        </w:rPr>
        <w:t>05 • PLAN</w:t>
      </w:r>
    </w:p>
    <w:p>
      <w:pPr>
        <w:pStyle w:val="Heading1"/>
      </w:pPr>
      <w:r>
        <w:t>Implementation approach</w:t>
      </w:r>
    </w:p>
    <w:p>
      <w:r>
        <w:t>The standard rollout is planned over six weeks, subject to timely access, clean source data and stakeholder availability. The timeline begins after purchase order, kickoff and environment readiness.</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rHeight w:val="408"/>
          <w:tblHeader w:val="true"/>
        </w:trPr>
        <w:tc>
          <w:tcPr>
            <w:tcW w:type="dxa" w:w="708"/>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Week</w:t>
            </w:r>
          </w:p>
        </w:tc>
        <w:tc>
          <w:tcPr>
            <w:tcW w:type="dxa" w:w="2097"/>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Phase</w:t>
            </w:r>
          </w:p>
        </w:tc>
        <w:tc>
          <w:tcPr>
            <w:tcW w:type="dxa" w:w="4422"/>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Key activities</w:t>
            </w:r>
          </w:p>
        </w:tc>
        <w:tc>
          <w:tcPr>
            <w:tcW w:type="dxa" w:w="2324"/>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Output</w:t>
            </w:r>
          </w:p>
        </w:tc>
      </w:tr>
      <w:tr>
        <w:trPr>
          <w:cantSplit/>
        </w:trPr>
        <w:tc>
          <w:tcPr>
            <w:tcW w:type="dxa" w:w="708"/>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1</w:t>
            </w:r>
          </w:p>
        </w:tc>
        <w:tc>
          <w:tcPr>
            <w:tcW w:type="dxa" w:w="209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Discovery &amp; design</w:t>
            </w:r>
          </w:p>
        </w:tc>
        <w:tc>
          <w:tcPr>
            <w:tcW w:type="dxa" w:w="4422"/>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Confirm data, roles, approval stages, reminders, reports and acceptance criteria</w:t>
            </w:r>
          </w:p>
        </w:tc>
        <w:tc>
          <w:tcPr>
            <w:tcW w:type="dxa" w:w="232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Signed configuration brief</w:t>
            </w:r>
          </w:p>
        </w:tc>
      </w:tr>
      <w:tr>
        <w:trPr>
          <w:cantSplit/>
        </w:trPr>
        <w:tc>
          <w:tcPr>
            <w:tcW w:type="dxa" w:w="708"/>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2</w:t>
            </w:r>
          </w:p>
        </w:tc>
        <w:tc>
          <w:tcPr>
            <w:tcW w:type="dxa" w:w="209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Environment &amp; foundation</w:t>
            </w:r>
          </w:p>
        </w:tc>
        <w:tc>
          <w:tcPr>
            <w:tcW w:type="dxa" w:w="4422"/>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Install the app; establish users, roles, masters and baseline settings</w:t>
            </w:r>
          </w:p>
        </w:tc>
        <w:tc>
          <w:tcPr>
            <w:tcW w:type="dxa" w:w="2324"/>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Configured staging site</w:t>
            </w:r>
          </w:p>
        </w:tc>
      </w:tr>
      <w:tr>
        <w:trPr>
          <w:cantSplit/>
        </w:trPr>
        <w:tc>
          <w:tcPr>
            <w:tcW w:type="dxa" w:w="708"/>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3</w:t>
            </w:r>
          </w:p>
        </w:tc>
        <w:tc>
          <w:tcPr>
            <w:tcW w:type="dxa" w:w="209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Workflow &amp; migration</w:t>
            </w:r>
          </w:p>
        </w:tc>
        <w:tc>
          <w:tcPr>
            <w:tcW w:type="dxa" w:w="4422"/>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Configure governance; import validated property, landlord and lease records</w:t>
            </w:r>
          </w:p>
        </w:tc>
        <w:tc>
          <w:tcPr>
            <w:tcW w:type="dxa" w:w="232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UAT data set</w:t>
            </w:r>
          </w:p>
        </w:tc>
      </w:tr>
      <w:tr>
        <w:trPr>
          <w:cantSplit/>
        </w:trPr>
        <w:tc>
          <w:tcPr>
            <w:tcW w:type="dxa" w:w="708"/>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4</w:t>
            </w:r>
          </w:p>
        </w:tc>
        <w:tc>
          <w:tcPr>
            <w:tcW w:type="dxa" w:w="209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Reports &amp; validation</w:t>
            </w:r>
          </w:p>
        </w:tc>
        <w:tc>
          <w:tcPr>
            <w:tcW w:type="dxa" w:w="4422"/>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Validate reminders, reports, permissions, documents and operational views</w:t>
            </w:r>
          </w:p>
        </w:tc>
        <w:tc>
          <w:tcPr>
            <w:tcW w:type="dxa" w:w="2324"/>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Test evidence and issue log</w:t>
            </w:r>
          </w:p>
        </w:tc>
      </w:tr>
      <w:tr>
        <w:trPr>
          <w:cantSplit/>
        </w:trPr>
        <w:tc>
          <w:tcPr>
            <w:tcW w:type="dxa" w:w="708"/>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5</w:t>
            </w:r>
          </w:p>
        </w:tc>
        <w:tc>
          <w:tcPr>
            <w:tcW w:type="dxa" w:w="209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UAT &amp; training</w:t>
            </w:r>
          </w:p>
        </w:tc>
        <w:tc>
          <w:tcPr>
            <w:tcW w:type="dxa" w:w="4422"/>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Run role-based acceptance tests and remote administrator/end-user training</w:t>
            </w:r>
          </w:p>
        </w:tc>
        <w:tc>
          <w:tcPr>
            <w:tcW w:type="dxa" w:w="232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UAT sign-off</w:t>
            </w:r>
          </w:p>
        </w:tc>
      </w:tr>
      <w:tr>
        <w:trPr>
          <w:cantSplit/>
        </w:trPr>
        <w:tc>
          <w:tcPr>
            <w:tcW w:type="dxa" w:w="708"/>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6</w:t>
            </w:r>
          </w:p>
        </w:tc>
        <w:tc>
          <w:tcPr>
            <w:tcW w:type="dxa" w:w="209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Go-live &amp; handover</w:t>
            </w:r>
          </w:p>
        </w:tc>
        <w:tc>
          <w:tcPr>
            <w:tcW w:type="dxa" w:w="4422"/>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Production migration, smoke test, handover and hypercare commencement</w:t>
            </w:r>
          </w:p>
        </w:tc>
        <w:tc>
          <w:tcPr>
            <w:tcW w:type="dxa" w:w="2324"/>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Live service</w:t>
            </w:r>
          </w:p>
        </w:tc>
      </w:tr>
    </w:tbl>
    <w:p>
      <w:pPr>
        <w:pStyle w:val="Heading2"/>
      </w:pPr>
      <w:r>
        <w:t>Client responsibilities</w:t>
      </w:r>
    </w:p>
    <w:p>
      <w:pPr>
        <w:pStyle w:val="ListBullet"/>
        <w:spacing w:after="40"/>
      </w:pPr>
      <w:r>
        <w:t>Nominate a project owner and empowered reviewers from Administration, Finance, Legal and Management.</w:t>
      </w:r>
    </w:p>
    <w:p>
      <w:pPr>
        <w:pStyle w:val="ListBullet"/>
        <w:spacing w:after="40"/>
      </w:pPr>
      <w:r>
        <w:t>Provide a supported Frappe environment, or approve separately quoted hosting services.</w:t>
      </w:r>
    </w:p>
    <w:p>
      <w:pPr>
        <w:pStyle w:val="ListBullet"/>
        <w:spacing w:after="40"/>
      </w:pPr>
      <w:r>
        <w:t>Supply clean source data, sample documents and approved workflow/reminder decisions.</w:t>
      </w:r>
    </w:p>
    <w:p>
      <w:pPr>
        <w:pStyle w:val="ListBullet"/>
        <w:spacing w:after="40"/>
      </w:pPr>
      <w:r>
        <w:t>Configure an approved email account and support infrastructure access for testing.</w:t>
      </w:r>
    </w:p>
    <w:p>
      <w:pPr>
        <w:pStyle w:val="ListBullet"/>
        <w:spacing w:after="40"/>
      </w:pPr>
      <w:r>
        <w:t>Complete UAT and provide consolidated feedback within agreed review windows.</w:t>
      </w:r>
    </w:p>
    <w:p>
      <w:pPr>
        <w:pStyle w:val="Heading2"/>
      </w:pPr>
      <w:r>
        <w:t>Acceptance basis</w:t>
      </w:r>
    </w:p>
    <w:p>
      <w:r>
        <w:t>Acceptance will be based on successful installation, authorized access, correct core calculations, approved workflow transitions, reminder behavior without unintended duplication, reconciled standard reports, validated migration results and signed UAT completion.</w:t>
      </w:r>
    </w:p>
    <w:p>
      <w:r>
        <w:br w:type="page"/>
      </w:r>
    </w:p>
    <w:p>
      <w:pPr>
        <w:spacing w:after="60"/>
      </w:pPr>
      <w:r>
        <w:rPr>
          <w:rFonts w:ascii="Aptos Display" w:hAnsi="Aptos Display"/>
          <w:b/>
          <w:color w:val="2AA6A4"/>
          <w:sz w:val="16"/>
        </w:rPr>
        <w:t>06 • COMMERCIALS</w:t>
      </w:r>
    </w:p>
    <w:p>
      <w:pPr>
        <w:pStyle w:val="Heading1"/>
      </w:pPr>
      <w:r>
        <w:t>Pricing</w:t>
      </w:r>
    </w:p>
    <w:tbl>
      <w:tblPr>
        <w:tblW w:type="auto" w:w="0"/>
        <w:jc w:val="center"/>
        <w:tblLook w:firstColumn="1" w:firstRow="1" w:lastColumn="0" w:lastRow="0" w:noHBand="0" w:noVBand="1" w:val="04A0"/>
      </w:tblPr>
      <w:tblGrid>
        <w:gridCol w:w="9922"/>
      </w:tblGrid>
      <w:tr>
        <w:tc>
          <w:tcPr>
            <w:tcW w:type="dxa" w:w="9922"/>
            <w:shd w:fill="EAF4F7"/>
            <w:tcMar>
              <w:top w:w="180" w:type="dxa"/>
              <w:start w:w="220" w:type="dxa"/>
              <w:bottom w:w="180" w:type="dxa"/>
              <w:end w:w="220" w:type="dxa"/>
            </w:tcMar>
            <w:tcBorders>
              <w:start w:val="single" w:sz="10" w:space="0" w:color="2AA6A4"/>
            </w:tcBorders>
          </w:tcPr>
          <w:p>
            <w:pPr>
              <w:spacing w:after="40"/>
            </w:pPr>
            <w:r>
              <w:rPr>
                <w:b/>
                <w:color w:val="17324D"/>
              </w:rPr>
              <w:t>Five-user minimum</w:t>
            </w:r>
          </w:p>
          <w:p>
            <w:pPr>
              <w:spacing w:after="0"/>
            </w:pPr>
            <w:r>
              <w:t>The managed application service starts at five named users. Pricing below is in United States dollars (USD), exclusive of applicable taxes.</w:t>
            </w:r>
          </w:p>
        </w:tc>
      </w:tr>
    </w:tbl>
    <w:p>
      <w:pPr>
        <w:pStyle w:val="Heading2"/>
      </w:pPr>
      <w:r>
        <w:t>User-based managed service</w:t>
      </w:r>
    </w:p>
    <w:p>
      <w:r>
        <w:t>The monthly service includes application access, standard product updates, routine maintenance and remote email support during business hours. The relevant band rate applies to all named users in that band.</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rHeight w:val="408"/>
          <w:tblHeader w:val="true"/>
        </w:trPr>
        <w:tc>
          <w:tcPr>
            <w:tcW w:type="dxa" w:w="1871"/>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Named users</w:t>
            </w:r>
          </w:p>
        </w:tc>
        <w:tc>
          <w:tcPr>
            <w:tcW w:type="dxa" w:w="1757"/>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Rate / user / month</w:t>
            </w:r>
          </w:p>
        </w:tc>
        <w:tc>
          <w:tcPr>
            <w:tcW w:type="dxa" w:w="1701"/>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Monthly total</w:t>
            </w:r>
          </w:p>
        </w:tc>
        <w:tc>
          <w:tcPr>
            <w:tcW w:type="dxa" w:w="1701"/>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Annual total*</w:t>
            </w:r>
          </w:p>
        </w:tc>
        <w:tc>
          <w:tcPr>
            <w:tcW w:type="dxa" w:w="2551"/>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Typical fit</w:t>
            </w:r>
          </w:p>
        </w:tc>
      </w:tr>
      <w:tr>
        <w:trPr>
          <w:cantSplit/>
        </w:trPr>
        <w:tc>
          <w:tcPr>
            <w:tcW w:type="dxa" w:w="187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5 users (minimum)</w:t>
            </w:r>
          </w:p>
        </w:tc>
        <w:tc>
          <w:tcPr>
            <w:tcW w:type="dxa" w:w="175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$24</w:t>
            </w:r>
          </w:p>
        </w:tc>
        <w:tc>
          <w:tcPr>
            <w:tcW w:type="dxa" w:w="170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$120</w:t>
            </w:r>
          </w:p>
        </w:tc>
        <w:tc>
          <w:tcPr>
            <w:tcW w:type="dxa" w:w="170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$1,296</w:t>
            </w:r>
          </w:p>
        </w:tc>
        <w:tc>
          <w:tcPr>
            <w:tcW w:type="dxa" w:w="255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Controlled launch team</w:t>
            </w:r>
          </w:p>
        </w:tc>
      </w:tr>
      <w:tr>
        <w:trPr>
          <w:cantSplit/>
        </w:trPr>
        <w:tc>
          <w:tcPr>
            <w:tcW w:type="dxa" w:w="187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10 users</w:t>
            </w:r>
          </w:p>
        </w:tc>
        <w:tc>
          <w:tcPr>
            <w:tcW w:type="dxa" w:w="175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$24</w:t>
            </w:r>
          </w:p>
        </w:tc>
        <w:tc>
          <w:tcPr>
            <w:tcW w:type="dxa" w:w="170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$240</w:t>
            </w:r>
          </w:p>
        </w:tc>
        <w:tc>
          <w:tcPr>
            <w:tcW w:type="dxa" w:w="170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$2,592</w:t>
            </w:r>
          </w:p>
        </w:tc>
        <w:tc>
          <w:tcPr>
            <w:tcW w:type="dxa" w:w="255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Core cross-functional team</w:t>
            </w:r>
          </w:p>
        </w:tc>
      </w:tr>
      <w:tr>
        <w:trPr>
          <w:cantSplit/>
        </w:trPr>
        <w:tc>
          <w:tcPr>
            <w:tcW w:type="dxa" w:w="187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15 users</w:t>
            </w:r>
          </w:p>
        </w:tc>
        <w:tc>
          <w:tcPr>
            <w:tcW w:type="dxa" w:w="175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$22</w:t>
            </w:r>
          </w:p>
        </w:tc>
        <w:tc>
          <w:tcPr>
            <w:tcW w:type="dxa" w:w="170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$330</w:t>
            </w:r>
          </w:p>
        </w:tc>
        <w:tc>
          <w:tcPr>
            <w:tcW w:type="dxa" w:w="170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$3,564</w:t>
            </w:r>
          </w:p>
        </w:tc>
        <w:tc>
          <w:tcPr>
            <w:tcW w:type="dxa" w:w="255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Department adoption</w:t>
            </w:r>
          </w:p>
        </w:tc>
      </w:tr>
      <w:tr>
        <w:trPr>
          <w:cantSplit/>
        </w:trPr>
        <w:tc>
          <w:tcPr>
            <w:tcW w:type="dxa" w:w="187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25 users</w:t>
            </w:r>
          </w:p>
        </w:tc>
        <w:tc>
          <w:tcPr>
            <w:tcW w:type="dxa" w:w="175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$22</w:t>
            </w:r>
          </w:p>
        </w:tc>
        <w:tc>
          <w:tcPr>
            <w:tcW w:type="dxa" w:w="170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$550</w:t>
            </w:r>
          </w:p>
        </w:tc>
        <w:tc>
          <w:tcPr>
            <w:tcW w:type="dxa" w:w="170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$5,940</w:t>
            </w:r>
          </w:p>
        </w:tc>
        <w:tc>
          <w:tcPr>
            <w:tcW w:type="dxa" w:w="255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Broader operational use</w:t>
            </w:r>
          </w:p>
        </w:tc>
      </w:tr>
      <w:tr>
        <w:trPr>
          <w:cantSplit/>
        </w:trPr>
        <w:tc>
          <w:tcPr>
            <w:tcW w:type="dxa" w:w="187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50 users</w:t>
            </w:r>
          </w:p>
        </w:tc>
        <w:tc>
          <w:tcPr>
            <w:tcW w:type="dxa" w:w="1757"/>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$20</w:t>
            </w:r>
          </w:p>
        </w:tc>
        <w:tc>
          <w:tcPr>
            <w:tcW w:type="dxa" w:w="170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$1,000</w:t>
            </w:r>
          </w:p>
        </w:tc>
        <w:tc>
          <w:tcPr>
            <w:tcW w:type="dxa" w:w="170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$10,800</w:t>
            </w:r>
          </w:p>
        </w:tc>
        <w:tc>
          <w:tcPr>
            <w:tcW w:type="dxa" w:w="255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Organization-wide rollout</w:t>
            </w:r>
          </w:p>
        </w:tc>
      </w:tr>
      <w:tr>
        <w:trPr>
          <w:cantSplit/>
        </w:trPr>
        <w:tc>
          <w:tcPr>
            <w:tcW w:type="dxa" w:w="187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51+ users</w:t>
            </w:r>
          </w:p>
        </w:tc>
        <w:tc>
          <w:tcPr>
            <w:tcW w:type="dxa" w:w="1757"/>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Custom</w:t>
            </w:r>
          </w:p>
        </w:tc>
        <w:tc>
          <w:tcPr>
            <w:tcW w:type="dxa" w:w="170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Custom</w:t>
            </w:r>
          </w:p>
        </w:tc>
        <w:tc>
          <w:tcPr>
            <w:tcW w:type="dxa" w:w="170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Custom</w:t>
            </w:r>
          </w:p>
        </w:tc>
        <w:tc>
          <w:tcPr>
            <w:tcW w:type="dxa" w:w="255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Volume agreement</w:t>
            </w:r>
          </w:p>
        </w:tc>
      </w:tr>
    </w:tbl>
    <w:p>
      <w:pPr>
        <w:spacing w:after="160"/>
      </w:pPr>
      <w:r>
        <w:rPr>
          <w:i/>
          <w:sz w:val="16"/>
        </w:rPr>
        <w:t>* Annual totals reflect a 10% discount and are billed annually in advance.</w:t>
      </w:r>
    </w:p>
    <w:p>
      <w:pPr>
        <w:pStyle w:val="Heading2"/>
      </w:pPr>
      <w:r>
        <w:t>One-time implementation</w:t>
      </w:r>
    </w:p>
    <w:tbl>
      <w:tblPr>
        <w:tblStyle w:val="TableGrid"/>
        <w:tblW w:type="auto" w:w="0"/>
        <w:jc w:val="center"/>
        <w:tblLayout w:type="fixed"/>
        <w:tblLook w:firstColumn="1" w:firstRow="1" w:lastColumn="0" w:lastRow="0" w:noHBand="0" w:noVBand="1" w:val="04A0"/>
      </w:tblPr>
      <w:tblGrid>
        <w:gridCol w:w="3307"/>
        <w:gridCol w:w="3307"/>
        <w:gridCol w:w="3307"/>
      </w:tblGrid>
      <w:tr>
        <w:trPr>
          <w:trHeight w:val="408"/>
          <w:tblHeader w:val="true"/>
        </w:trPr>
        <w:tc>
          <w:tcPr>
            <w:tcW w:type="dxa" w:w="2494"/>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Item</w:t>
            </w:r>
          </w:p>
        </w:tc>
        <w:tc>
          <w:tcPr>
            <w:tcW w:type="dxa" w:w="1701"/>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Price</w:t>
            </w:r>
          </w:p>
        </w:tc>
        <w:tc>
          <w:tcPr>
            <w:tcW w:type="dxa" w:w="5273"/>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Inclusions / basis</w:t>
            </w:r>
          </w:p>
        </w:tc>
      </w:tr>
      <w:tr>
        <w:trPr>
          <w:cantSplit/>
        </w:trPr>
        <w:tc>
          <w:tcPr>
            <w:tcW w:type="dxa" w:w="249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Standard implementation package</w:t>
            </w:r>
          </w:p>
        </w:tc>
        <w:tc>
          <w:tcPr>
            <w:tcW w:type="dxa" w:w="170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$4,500</w:t>
            </w:r>
          </w:p>
        </w:tc>
        <w:tc>
          <w:tcPr>
            <w:tcW w:type="dxa" w:w="5273"/>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Discovery, installation, baseline configuration, migration up to 250 records, UAT support, remote training, handover and 30-day hypercare</w:t>
            </w:r>
          </w:p>
        </w:tc>
      </w:tr>
      <w:tr>
        <w:trPr>
          <w:cantSplit/>
        </w:trPr>
        <w:tc>
          <w:tcPr>
            <w:tcW w:type="dxa" w:w="2494"/>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Additional data migration</w:t>
            </w:r>
          </w:p>
        </w:tc>
        <w:tc>
          <w:tcPr>
            <w:tcW w:type="dxa" w:w="170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$1.50 / record</w:t>
            </w:r>
          </w:p>
        </w:tc>
        <w:tc>
          <w:tcPr>
            <w:tcW w:type="dxa" w:w="5273"/>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Validated records beyond the included 250; complex cleansing quoted separately</w:t>
            </w:r>
          </w:p>
        </w:tc>
      </w:tr>
      <w:tr>
        <w:trPr>
          <w:cantSplit/>
        </w:trPr>
        <w:tc>
          <w:tcPr>
            <w:tcW w:type="dxa" w:w="249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Additional remote training</w:t>
            </w:r>
          </w:p>
        </w:tc>
        <w:tc>
          <w:tcPr>
            <w:tcW w:type="dxa" w:w="170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$450 / session</w:t>
            </w:r>
          </w:p>
        </w:tc>
        <w:tc>
          <w:tcPr>
            <w:tcW w:type="dxa" w:w="5273"/>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Up to two hours for a defined audience</w:t>
            </w:r>
          </w:p>
        </w:tc>
      </w:tr>
      <w:tr>
        <w:trPr>
          <w:cantSplit/>
        </w:trPr>
        <w:tc>
          <w:tcPr>
            <w:tcW w:type="dxa" w:w="2494"/>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Custom development / integration</w:t>
            </w:r>
          </w:p>
        </w:tc>
        <w:tc>
          <w:tcPr>
            <w:tcW w:type="dxa" w:w="170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$95 / hour</w:t>
            </w:r>
          </w:p>
        </w:tc>
        <w:tc>
          <w:tcPr>
            <w:tcW w:type="dxa" w:w="5273"/>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Only after approved estimate or change request</w:t>
            </w:r>
          </w:p>
        </w:tc>
      </w:tr>
    </w:tbl>
    <w:p>
      <w:pPr>
        <w:pStyle w:val="Heading2"/>
      </w:pPr>
      <w:r>
        <w:t>Illustrative first-year investment</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rHeight w:val="408"/>
          <w:tblHeader w:val="true"/>
        </w:trPr>
        <w:tc>
          <w:tcPr>
            <w:tcW w:type="dxa" w:w="2551"/>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Configuration</w:t>
            </w:r>
          </w:p>
        </w:tc>
        <w:tc>
          <w:tcPr>
            <w:tcW w:type="dxa" w:w="2211"/>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Implementation</w:t>
            </w:r>
          </w:p>
        </w:tc>
        <w:tc>
          <w:tcPr>
            <w:tcW w:type="dxa" w:w="2268"/>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Annual service</w:t>
            </w:r>
          </w:p>
        </w:tc>
        <w:tc>
          <w:tcPr>
            <w:tcW w:type="dxa" w:w="2438"/>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Year-one total</w:t>
            </w:r>
          </w:p>
        </w:tc>
      </w:tr>
      <w:tr>
        <w:trPr>
          <w:cantSplit/>
        </w:trPr>
        <w:tc>
          <w:tcPr>
            <w:tcW w:type="dxa" w:w="255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5-user launch</w:t>
            </w:r>
          </w:p>
        </w:tc>
        <w:tc>
          <w:tcPr>
            <w:tcW w:type="dxa" w:w="221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$4,500</w:t>
            </w:r>
          </w:p>
        </w:tc>
        <w:tc>
          <w:tcPr>
            <w:tcW w:type="dxa" w:w="2268"/>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$1,296</w:t>
            </w:r>
          </w:p>
        </w:tc>
        <w:tc>
          <w:tcPr>
            <w:tcW w:type="dxa" w:w="2438"/>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$5,796</w:t>
            </w:r>
          </w:p>
        </w:tc>
      </w:tr>
      <w:tr>
        <w:trPr>
          <w:cantSplit/>
        </w:trPr>
        <w:tc>
          <w:tcPr>
            <w:tcW w:type="dxa" w:w="255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10-user launch</w:t>
            </w:r>
          </w:p>
        </w:tc>
        <w:tc>
          <w:tcPr>
            <w:tcW w:type="dxa" w:w="2211"/>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$4,500</w:t>
            </w:r>
          </w:p>
        </w:tc>
        <w:tc>
          <w:tcPr>
            <w:tcW w:type="dxa" w:w="2268"/>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$2,592</w:t>
            </w:r>
          </w:p>
        </w:tc>
        <w:tc>
          <w:tcPr>
            <w:tcW w:type="dxa" w:w="2438"/>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$7,092</w:t>
            </w:r>
          </w:p>
        </w:tc>
      </w:tr>
      <w:tr>
        <w:trPr>
          <w:cantSplit/>
        </w:trPr>
        <w:tc>
          <w:tcPr>
            <w:tcW w:type="dxa" w:w="255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25-user launch</w:t>
            </w:r>
          </w:p>
        </w:tc>
        <w:tc>
          <w:tcPr>
            <w:tcW w:type="dxa" w:w="2211"/>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$4,500</w:t>
            </w:r>
          </w:p>
        </w:tc>
        <w:tc>
          <w:tcPr>
            <w:tcW w:type="dxa" w:w="2268"/>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$5,940</w:t>
            </w:r>
          </w:p>
        </w:tc>
        <w:tc>
          <w:tcPr>
            <w:tcW w:type="dxa" w:w="2438"/>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jc w:val="right"/>
            </w:pPr>
            <w:r>
              <w:rPr>
                <w:rFonts w:ascii="Aptos" w:hAnsi="Aptos"/>
                <w:color w:val="4D5B66"/>
                <w:sz w:val="17"/>
              </w:rPr>
              <w:t>$10,440</w:t>
            </w:r>
          </w:p>
        </w:tc>
      </w:tr>
    </w:tbl>
    <w:p>
      <w:r>
        <w:br w:type="page"/>
      </w:r>
    </w:p>
    <w:p>
      <w:pPr>
        <w:spacing w:after="60"/>
      </w:pPr>
      <w:r>
        <w:rPr>
          <w:rFonts w:ascii="Aptos Display" w:hAnsi="Aptos Display"/>
          <w:b/>
          <w:color w:val="2AA6A4"/>
          <w:sz w:val="16"/>
        </w:rPr>
        <w:t>07 • TERMS</w:t>
      </w:r>
    </w:p>
    <w:p>
      <w:pPr>
        <w:pStyle w:val="Heading1"/>
      </w:pPr>
      <w:r>
        <w:t>Support and commercial terms</w:t>
      </w:r>
    </w:p>
    <w:p>
      <w:pPr>
        <w:pStyle w:val="Heading2"/>
      </w:pPr>
      <w:r>
        <w:t>Standard support</w:t>
      </w:r>
    </w:p>
    <w:tbl>
      <w:tblPr>
        <w:tblStyle w:val="TableGrid"/>
        <w:tblW w:type="auto" w:w="0"/>
        <w:jc w:val="center"/>
        <w:tblLayout w:type="fixed"/>
        <w:tblLook w:firstColumn="1" w:firstRow="1" w:lastColumn="0" w:lastRow="0" w:noHBand="0" w:noVBand="1" w:val="04A0"/>
      </w:tblPr>
      <w:tblGrid>
        <w:gridCol w:w="3307"/>
        <w:gridCol w:w="3307"/>
        <w:gridCol w:w="3307"/>
      </w:tblGrid>
      <w:tr>
        <w:trPr>
          <w:trHeight w:val="408"/>
          <w:tblHeader w:val="true"/>
        </w:trPr>
        <w:tc>
          <w:tcPr>
            <w:tcW w:type="dxa" w:w="1474"/>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Priority</w:t>
            </w:r>
          </w:p>
        </w:tc>
        <w:tc>
          <w:tcPr>
            <w:tcW w:type="dxa" w:w="4082"/>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Example</w:t>
            </w:r>
          </w:p>
        </w:tc>
        <w:tc>
          <w:tcPr>
            <w:tcW w:type="dxa" w:w="3969"/>
            <w:shd w:fill="17324D"/>
            <w:tcMar>
              <w:top w:w="110" w:type="dxa"/>
              <w:start w:w="140" w:type="dxa"/>
              <w:bottom w:w="110" w:type="dxa"/>
              <w:end w:w="140" w:type="dxa"/>
            </w:tcMar>
            <w:vAlign w:val="center"/>
            <w:tcBorders>
              <w:top w:val="single" w:sz="6" w:space="0" w:color="D9E2E8"/>
              <w:start w:val="single" w:sz="6" w:space="0" w:color="D9E2E8"/>
              <w:bottom w:val="single" w:sz="6" w:space="0" w:color="D9E2E8"/>
              <w:end w:val="single" w:sz="6" w:space="0" w:color="D9E2E8"/>
            </w:tcBorders>
          </w:tcPr>
          <w:p>
            <w:r>
              <w:rPr>
                <w:rFonts w:ascii="Aptos" w:hAnsi="Aptos"/>
                <w:b/>
                <w:color w:val="FFFFFF"/>
                <w:sz w:val="18"/>
              </w:rPr>
              <w:t>Target acknowledgement</w:t>
            </w:r>
          </w:p>
        </w:tc>
      </w:tr>
      <w:tr>
        <w:trPr>
          <w:cantSplit/>
        </w:trPr>
        <w:tc>
          <w:tcPr>
            <w:tcW w:type="dxa" w:w="147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Critical</w:t>
            </w:r>
          </w:p>
        </w:tc>
        <w:tc>
          <w:tcPr>
            <w:tcW w:type="dxa" w:w="4082"/>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Service unavailable or material security incident</w:t>
            </w:r>
          </w:p>
        </w:tc>
        <w:tc>
          <w:tcPr>
            <w:tcW w:type="dxa" w:w="3969"/>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Acknowledgement within 4 business hours; continuous triage during support hours</w:t>
            </w:r>
          </w:p>
        </w:tc>
      </w:tr>
      <w:tr>
        <w:trPr>
          <w:cantSplit/>
        </w:trPr>
        <w:tc>
          <w:tcPr>
            <w:tcW w:type="dxa" w:w="1474"/>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High</w:t>
            </w:r>
          </w:p>
        </w:tc>
        <w:tc>
          <w:tcPr>
            <w:tcW w:type="dxa" w:w="4082"/>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Major feature unavailable with no reasonable workaround</w:t>
            </w:r>
          </w:p>
        </w:tc>
        <w:tc>
          <w:tcPr>
            <w:tcW w:type="dxa" w:w="3969"/>
            <w:shd w:fill="F5F8FA"/>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Acknowledgement within 1 business day</w:t>
            </w:r>
          </w:p>
        </w:tc>
      </w:tr>
      <w:tr>
        <w:trPr>
          <w:cantSplit/>
        </w:trPr>
        <w:tc>
          <w:tcPr>
            <w:tcW w:type="dxa" w:w="1474"/>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Normal</w:t>
            </w:r>
          </w:p>
        </w:tc>
        <w:tc>
          <w:tcPr>
            <w:tcW w:type="dxa" w:w="4082"/>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How-to request, minor defect or configuration question</w:t>
            </w:r>
          </w:p>
        </w:tc>
        <w:tc>
          <w:tcPr>
            <w:tcW w:type="dxa" w:w="3969"/>
            <w:shd w:fill="FFFFFF"/>
            <w:tcMar>
              <w:top w:w="120" w:type="dxa"/>
              <w:start w:w="140" w:type="dxa"/>
              <w:bottom w:w="120" w:type="dxa"/>
              <w:end w:w="140" w:type="dxa"/>
            </w:tcMar>
            <w:vAlign w:val="center"/>
            <w:tcBorders>
              <w:top w:val="single" w:sz="6" w:space="0" w:color="D9E2E8"/>
              <w:start w:val="single" w:sz="6" w:space="0" w:color="D9E2E8"/>
              <w:bottom w:val="single" w:sz="6" w:space="0" w:color="D9E2E8"/>
              <w:end w:val="single" w:sz="6" w:space="0" w:color="D9E2E8"/>
            </w:tcBorders>
          </w:tcPr>
          <w:p>
            <w:pPr>
              <w:spacing w:after="0"/>
            </w:pPr>
            <w:r>
              <w:rPr>
                <w:rFonts w:ascii="Aptos" w:hAnsi="Aptos"/>
                <w:color w:val="4D5B66"/>
                <w:sz w:val="17"/>
              </w:rPr>
              <w:t>Acknowledgement within 2 business days</w:t>
            </w:r>
          </w:p>
        </w:tc>
      </w:tr>
    </w:tbl>
    <w:p>
      <w:r>
        <w:t>Support targets are acknowledgements, not guaranteed resolution times. Standard support is remote and provided Monday–Friday during IChannel Technologies business hours, excluding public holidays. A separate SLA can be quoted for extended coverage.</w:t>
      </w:r>
    </w:p>
    <w:p>
      <w:pPr>
        <w:pStyle w:val="Heading2"/>
      </w:pPr>
      <w:r>
        <w:t>Commercial terms</w:t>
      </w:r>
    </w:p>
    <w:p>
      <w:pPr>
        <w:pStyle w:val="ListBullet"/>
      </w:pPr>
      <w:r>
        <w:t>Proposal validity: 30 calendar days from 18 July 2026.</w:t>
      </w:r>
    </w:p>
    <w:p>
      <w:pPr>
        <w:pStyle w:val="ListBullet"/>
      </w:pPr>
      <w:r>
        <w:t>Implementation payment: 50% on purchase order and 50% at production go-live.</w:t>
      </w:r>
    </w:p>
    <w:p>
      <w:pPr>
        <w:pStyle w:val="ListBullet"/>
      </w:pPr>
      <w:r>
        <w:t>Service fees: billed monthly in advance, or annually in advance with the stated 10% discount.</w:t>
      </w:r>
    </w:p>
    <w:p>
      <w:pPr>
        <w:pStyle w:val="ListBullet"/>
      </w:pPr>
      <w:r>
        <w:t>Licensed access: named users; minimum five active users. Users may be added at any time and decreases take effect at renewal.</w:t>
      </w:r>
    </w:p>
    <w:p>
      <w:pPr>
        <w:pStyle w:val="ListBullet"/>
      </w:pPr>
      <w:r>
        <w:t>Taxes: all prices exclude withholding tax, VAT, sales tax and similar statutory charges.</w:t>
      </w:r>
    </w:p>
    <w:p>
      <w:pPr>
        <w:pStyle w:val="ListBullet"/>
      </w:pPr>
      <w:r>
        <w:t>Hosting and third-party charges: infrastructure, domains, email delivery, messaging providers and third-party licences are excluded unless expressly listed.</w:t>
      </w:r>
    </w:p>
    <w:p>
      <w:pPr>
        <w:pStyle w:val="ListBullet"/>
      </w:pPr>
      <w:r>
        <w:t>Travel: on-site travel and accommodation require prior approval and are billed at cost.</w:t>
      </w:r>
    </w:p>
    <w:p>
      <w:pPr>
        <w:pStyle w:val="ListBullet"/>
      </w:pPr>
      <w:r>
        <w:t>Change requests: scope additions require written approval before work begins.</w:t>
      </w:r>
    </w:p>
    <w:p>
      <w:pPr>
        <w:pStyle w:val="Heading2"/>
      </w:pPr>
      <w:r>
        <w:t>Key assumptions</w:t>
      </w:r>
    </w:p>
    <w:p>
      <w:pPr>
        <w:pStyle w:val="ListBullet"/>
        <w:spacing w:after="40"/>
      </w:pPr>
      <w:r>
        <w:t>XYZ Limited will provide timely stakeholder decisions, suitable test users and clean migration data.</w:t>
      </w:r>
    </w:p>
    <w:p>
      <w:pPr>
        <w:pStyle w:val="ListBullet"/>
        <w:spacing w:after="40"/>
      </w:pPr>
      <w:r>
        <w:t>A supported Frappe v16 environment, backups, email configuration and network access will be available before UAT.</w:t>
      </w:r>
    </w:p>
    <w:p>
      <w:pPr>
        <w:pStyle w:val="ListBullet"/>
        <w:spacing w:after="40"/>
      </w:pPr>
      <w:r>
        <w:t>The standard approval sequence and reminder thresholds will be confirmed during discovery.</w:t>
      </w:r>
    </w:p>
    <w:p>
      <w:pPr>
        <w:pStyle w:val="ListBullet"/>
        <w:spacing w:after="40"/>
      </w:pPr>
      <w:r>
        <w:t>Currency reports will remain separated unless XYZ Limited approves an exchange-rate rule.</w:t>
      </w:r>
    </w:p>
    <w:p>
      <w:pPr>
        <w:pStyle w:val="ListBullet"/>
        <w:spacing w:after="40"/>
      </w:pPr>
      <w:r>
        <w:t>The managed service covers the Rent Tracker Application and associated support; it does not transfer ownership of IChannel Technologies' proprietary delivery materials or third-party software.</w:t>
      </w:r>
    </w:p>
    <w:p>
      <w:r>
        <w:br w:type="page"/>
      </w:r>
    </w:p>
    <w:p>
      <w:pPr>
        <w:spacing w:after="60"/>
      </w:pPr>
      <w:r>
        <w:rPr>
          <w:rFonts w:ascii="Aptos Display" w:hAnsi="Aptos Display"/>
          <w:b/>
          <w:color w:val="2AA6A4"/>
          <w:sz w:val="16"/>
        </w:rPr>
        <w:t>08 • APPROVAL</w:t>
      </w:r>
    </w:p>
    <w:p>
      <w:pPr>
        <w:pStyle w:val="Heading1"/>
      </w:pPr>
      <w:r>
        <w:t>Acceptance and next steps</w:t>
      </w:r>
    </w:p>
    <w:p>
      <w:r>
        <w:t>IChannel Technologies appreciates the opportunity to support XYZ Limited. On acceptance, the parties will confirm the final user count, deployment model, project contacts and kickoff date in the statement of work or purchase order.</w:t>
      </w:r>
    </w:p>
    <w:p>
      <w:pPr>
        <w:pStyle w:val="Heading2"/>
      </w:pPr>
      <w:r>
        <w:t>Recommended next steps</w:t>
      </w:r>
    </w:p>
    <w:p>
      <w:pPr>
        <w:pStyle w:val="ListNumber"/>
      </w:pPr>
      <w:r>
        <w:t>Select the initial named-user quantity (minimum five users) and preferred billing cycle.</w:t>
      </w:r>
    </w:p>
    <w:p>
      <w:pPr>
        <w:pStyle w:val="ListNumber"/>
      </w:pPr>
      <w:r>
        <w:t>Confirm the deployment environment and nominate the XYZ Limited project owner.</w:t>
      </w:r>
    </w:p>
    <w:p>
      <w:pPr>
        <w:pStyle w:val="ListNumber"/>
      </w:pPr>
      <w:r>
        <w:t>Issue a purchase order or sign the acceptance section below.</w:t>
      </w:r>
    </w:p>
    <w:p>
      <w:pPr>
        <w:pStyle w:val="ListNumber"/>
      </w:pPr>
      <w:r>
        <w:t>Schedule the discovery workshop and agree the six-week delivery calendar.</w:t>
      </w:r>
    </w:p>
    <w:p>
      <w:pPr>
        <w:pStyle w:val="Heading2"/>
      </w:pPr>
      <w:r>
        <w:t>Proposal acceptance</w:t>
      </w:r>
    </w:p>
    <w:p>
      <w:r>
        <w:t>By signing below, XYZ Limited confirms its intention to proceed subject to any mutually executed purchase order, statement of work and applicable contractual terms.</w:t>
      </w:r>
    </w:p>
    <w:tbl>
      <w:tblPr>
        <w:tblW w:type="auto" w:w="0"/>
        <w:jc w:val="center"/>
        <w:tblLayout w:type="fixed"/>
        <w:tblLook w:firstColumn="1" w:firstRow="1" w:lastColumn="0" w:lastRow="0" w:noHBand="0" w:noVBand="1" w:val="04A0"/>
      </w:tblPr>
      <w:tblGrid>
        <w:gridCol w:w="4961"/>
        <w:gridCol w:w="4961"/>
      </w:tblGrid>
      <w:tr>
        <w:tc>
          <w:tcPr>
            <w:tcW w:type="dxa" w:w="4734"/>
            <w:tcMar>
              <w:top w:w="150" w:type="dxa"/>
              <w:start w:w="170" w:type="dxa"/>
              <w:bottom w:w="150" w:type="dxa"/>
              <w:end w:w="170" w:type="dxa"/>
            </w:tcMar>
            <w:shd w:fill="17324D"/>
            <w:tcBorders>
              <w:top w:val="single" w:sz="6" w:space="0" w:color="D9E2E8"/>
              <w:start w:val="single" w:sz="6" w:space="0" w:color="D9E2E8"/>
              <w:bottom w:val="single" w:sz="6" w:space="0" w:color="D9E2E8"/>
              <w:end w:val="single" w:sz="6" w:space="0" w:color="D9E2E8"/>
            </w:tcBorders>
          </w:tcPr>
          <w:p>
            <w:r>
              <w:rPr>
                <w:b/>
                <w:color w:val="FFFFFF"/>
                <w:sz w:val="18"/>
              </w:rPr>
              <w:t>For XYZ Limited</w:t>
            </w:r>
          </w:p>
        </w:tc>
        <w:tc>
          <w:tcPr>
            <w:tcW w:type="dxa" w:w="4734"/>
            <w:tcMar>
              <w:top w:w="150" w:type="dxa"/>
              <w:start w:w="170" w:type="dxa"/>
              <w:bottom w:w="150" w:type="dxa"/>
              <w:end w:w="170" w:type="dxa"/>
            </w:tcMar>
            <w:shd w:fill="17324D"/>
            <w:tcBorders>
              <w:top w:val="single" w:sz="6" w:space="0" w:color="D9E2E8"/>
              <w:start w:val="single" w:sz="6" w:space="0" w:color="D9E2E8"/>
              <w:bottom w:val="single" w:sz="6" w:space="0" w:color="D9E2E8"/>
              <w:end w:val="single" w:sz="6" w:space="0" w:color="D9E2E8"/>
            </w:tcBorders>
          </w:tcPr>
          <w:p>
            <w:r>
              <w:rPr>
                <w:b/>
                <w:color w:val="FFFFFF"/>
                <w:sz w:val="18"/>
              </w:rPr>
              <w:t>For IChannel Technologies</w:t>
            </w:r>
          </w:p>
        </w:tc>
      </w:tr>
      <w:tr>
        <w:tc>
          <w:tcPr>
            <w:tcW w:type="dxa" w:w="4734"/>
            <w:tcMar>
              <w:top w:w="210" w:type="dxa"/>
              <w:start w:w="170" w:type="dxa"/>
              <w:bottom w:w="210" w:type="dxa"/>
              <w:end w:w="170" w:type="dxa"/>
            </w:tcMar>
            <w:shd w:fill="FFFFFF"/>
            <w:tcBorders>
              <w:top w:val="single" w:sz="6" w:space="0" w:color="D9E2E8"/>
              <w:start w:val="single" w:sz="6" w:space="0" w:color="D9E2E8"/>
              <w:bottom w:val="single" w:sz="6" w:space="0" w:color="D9E2E8"/>
              <w:end w:val="single" w:sz="6" w:space="0" w:color="D9E2E8"/>
            </w:tcBorders>
          </w:tcPr>
          <w:p>
            <w:r>
              <w:rPr>
                <w:b w:val="0"/>
                <w:color w:val="4D5B66"/>
                <w:sz w:val="18"/>
              </w:rPr>
              <w:t>Name:</w:t>
            </w:r>
          </w:p>
        </w:tc>
        <w:tc>
          <w:tcPr>
            <w:tcW w:type="dxa" w:w="4734"/>
            <w:tcMar>
              <w:top w:w="210" w:type="dxa"/>
              <w:start w:w="170" w:type="dxa"/>
              <w:bottom w:w="210" w:type="dxa"/>
              <w:end w:w="170" w:type="dxa"/>
            </w:tcMar>
            <w:shd w:fill="FFFFFF"/>
            <w:tcBorders>
              <w:top w:val="single" w:sz="6" w:space="0" w:color="D9E2E8"/>
              <w:start w:val="single" w:sz="6" w:space="0" w:color="D9E2E8"/>
              <w:bottom w:val="single" w:sz="6" w:space="0" w:color="D9E2E8"/>
              <w:end w:val="single" w:sz="6" w:space="0" w:color="D9E2E8"/>
            </w:tcBorders>
          </w:tcPr>
          <w:p>
            <w:r>
              <w:rPr>
                <w:b w:val="0"/>
                <w:color w:val="4D5B66"/>
                <w:sz w:val="18"/>
              </w:rPr>
              <w:t>Name:</w:t>
            </w:r>
          </w:p>
        </w:tc>
      </w:tr>
      <w:tr>
        <w:tc>
          <w:tcPr>
            <w:tcW w:type="dxa" w:w="4734"/>
            <w:tcMar>
              <w:top w:w="210" w:type="dxa"/>
              <w:start w:w="170" w:type="dxa"/>
              <w:bottom w:w="210" w:type="dxa"/>
              <w:end w:w="170" w:type="dxa"/>
            </w:tcMar>
            <w:shd w:fill="FFFFFF"/>
            <w:tcBorders>
              <w:top w:val="single" w:sz="6" w:space="0" w:color="D9E2E8"/>
              <w:start w:val="single" w:sz="6" w:space="0" w:color="D9E2E8"/>
              <w:bottom w:val="single" w:sz="6" w:space="0" w:color="D9E2E8"/>
              <w:end w:val="single" w:sz="6" w:space="0" w:color="D9E2E8"/>
            </w:tcBorders>
          </w:tcPr>
          <w:p>
            <w:r>
              <w:rPr>
                <w:b w:val="0"/>
                <w:color w:val="4D5B66"/>
                <w:sz w:val="18"/>
              </w:rPr>
              <w:t>Title:</w:t>
            </w:r>
          </w:p>
        </w:tc>
        <w:tc>
          <w:tcPr>
            <w:tcW w:type="dxa" w:w="4734"/>
            <w:tcMar>
              <w:top w:w="210" w:type="dxa"/>
              <w:start w:w="170" w:type="dxa"/>
              <w:bottom w:w="210" w:type="dxa"/>
              <w:end w:w="170" w:type="dxa"/>
            </w:tcMar>
            <w:shd w:fill="FFFFFF"/>
            <w:tcBorders>
              <w:top w:val="single" w:sz="6" w:space="0" w:color="D9E2E8"/>
              <w:start w:val="single" w:sz="6" w:space="0" w:color="D9E2E8"/>
              <w:bottom w:val="single" w:sz="6" w:space="0" w:color="D9E2E8"/>
              <w:end w:val="single" w:sz="6" w:space="0" w:color="D9E2E8"/>
            </w:tcBorders>
          </w:tcPr>
          <w:p>
            <w:r>
              <w:rPr>
                <w:b w:val="0"/>
                <w:color w:val="4D5B66"/>
                <w:sz w:val="18"/>
              </w:rPr>
              <w:t>Title:</w:t>
            </w:r>
          </w:p>
        </w:tc>
      </w:tr>
      <w:tr>
        <w:tc>
          <w:tcPr>
            <w:tcW w:type="dxa" w:w="4734"/>
            <w:tcMar>
              <w:top w:w="210" w:type="dxa"/>
              <w:start w:w="170" w:type="dxa"/>
              <w:bottom w:w="210" w:type="dxa"/>
              <w:end w:w="170" w:type="dxa"/>
            </w:tcMar>
            <w:shd w:fill="FFFFFF"/>
            <w:tcBorders>
              <w:top w:val="single" w:sz="6" w:space="0" w:color="D9E2E8"/>
              <w:start w:val="single" w:sz="6" w:space="0" w:color="D9E2E8"/>
              <w:bottom w:val="single" w:sz="6" w:space="0" w:color="D9E2E8"/>
              <w:end w:val="single" w:sz="6" w:space="0" w:color="D9E2E8"/>
            </w:tcBorders>
          </w:tcPr>
          <w:p>
            <w:r>
              <w:rPr>
                <w:b w:val="0"/>
                <w:color w:val="4D5B66"/>
                <w:sz w:val="18"/>
              </w:rPr>
              <w:t>Signature:</w:t>
            </w:r>
          </w:p>
        </w:tc>
        <w:tc>
          <w:tcPr>
            <w:tcW w:type="dxa" w:w="4734"/>
            <w:tcMar>
              <w:top w:w="210" w:type="dxa"/>
              <w:start w:w="170" w:type="dxa"/>
              <w:bottom w:w="210" w:type="dxa"/>
              <w:end w:w="170" w:type="dxa"/>
            </w:tcMar>
            <w:shd w:fill="FFFFFF"/>
            <w:tcBorders>
              <w:top w:val="single" w:sz="6" w:space="0" w:color="D9E2E8"/>
              <w:start w:val="single" w:sz="6" w:space="0" w:color="D9E2E8"/>
              <w:bottom w:val="single" w:sz="6" w:space="0" w:color="D9E2E8"/>
              <w:end w:val="single" w:sz="6" w:space="0" w:color="D9E2E8"/>
            </w:tcBorders>
          </w:tcPr>
          <w:p>
            <w:r>
              <w:rPr>
                <w:b w:val="0"/>
                <w:color w:val="4D5B66"/>
                <w:sz w:val="18"/>
              </w:rPr>
              <w:t>Signature:</w:t>
            </w:r>
          </w:p>
        </w:tc>
      </w:tr>
      <w:tr>
        <w:tc>
          <w:tcPr>
            <w:tcW w:type="dxa" w:w="4734"/>
            <w:tcMar>
              <w:top w:w="210" w:type="dxa"/>
              <w:start w:w="170" w:type="dxa"/>
              <w:bottom w:w="210" w:type="dxa"/>
              <w:end w:w="170" w:type="dxa"/>
            </w:tcMar>
            <w:shd w:fill="FFFFFF"/>
            <w:tcBorders>
              <w:top w:val="single" w:sz="6" w:space="0" w:color="D9E2E8"/>
              <w:start w:val="single" w:sz="6" w:space="0" w:color="D9E2E8"/>
              <w:bottom w:val="single" w:sz="6" w:space="0" w:color="D9E2E8"/>
              <w:end w:val="single" w:sz="6" w:space="0" w:color="D9E2E8"/>
            </w:tcBorders>
          </w:tcPr>
          <w:p>
            <w:r>
              <w:rPr>
                <w:b w:val="0"/>
                <w:color w:val="4D5B66"/>
                <w:sz w:val="18"/>
              </w:rPr>
              <w:t>Date:</w:t>
            </w:r>
          </w:p>
        </w:tc>
        <w:tc>
          <w:tcPr>
            <w:tcW w:type="dxa" w:w="4734"/>
            <w:tcMar>
              <w:top w:w="210" w:type="dxa"/>
              <w:start w:w="170" w:type="dxa"/>
              <w:bottom w:w="210" w:type="dxa"/>
              <w:end w:w="170" w:type="dxa"/>
            </w:tcMar>
            <w:shd w:fill="FFFFFF"/>
            <w:tcBorders>
              <w:top w:val="single" w:sz="6" w:space="0" w:color="D9E2E8"/>
              <w:start w:val="single" w:sz="6" w:space="0" w:color="D9E2E8"/>
              <w:bottom w:val="single" w:sz="6" w:space="0" w:color="D9E2E8"/>
              <w:end w:val="single" w:sz="6" w:space="0" w:color="D9E2E8"/>
            </w:tcBorders>
          </w:tcPr>
          <w:p>
            <w:r>
              <w:rPr>
                <w:b w:val="0"/>
                <w:color w:val="4D5B66"/>
                <w:sz w:val="18"/>
              </w:rPr>
              <w:t>Date:</w:t>
            </w:r>
          </w:p>
        </w:tc>
      </w:tr>
      <w:tr>
        <w:tc>
          <w:tcPr>
            <w:tcW w:type="dxa" w:w="4734"/>
            <w:tcMar>
              <w:top w:w="210" w:type="dxa"/>
              <w:start w:w="170" w:type="dxa"/>
              <w:bottom w:w="210" w:type="dxa"/>
              <w:end w:w="170" w:type="dxa"/>
            </w:tcMar>
            <w:shd w:fill="FFFFFF"/>
            <w:tcBorders>
              <w:top w:val="single" w:sz="6" w:space="0" w:color="D9E2E8"/>
              <w:start w:val="single" w:sz="6" w:space="0" w:color="D9E2E8"/>
              <w:bottom w:val="single" w:sz="6" w:space="0" w:color="D9E2E8"/>
              <w:end w:val="single" w:sz="6" w:space="0" w:color="D9E2E8"/>
            </w:tcBorders>
          </w:tcPr>
          <w:p>
            <w:r>
              <w:rPr>
                <w:b w:val="0"/>
                <w:color w:val="4D5B66"/>
                <w:sz w:val="18"/>
              </w:rPr>
              <w:t>Selected users / billing:</w:t>
            </w:r>
          </w:p>
        </w:tc>
        <w:tc>
          <w:tcPr>
            <w:tcW w:type="dxa" w:w="4734"/>
            <w:tcMar>
              <w:top w:w="210" w:type="dxa"/>
              <w:start w:w="170" w:type="dxa"/>
              <w:bottom w:w="210" w:type="dxa"/>
              <w:end w:w="170" w:type="dxa"/>
            </w:tcMar>
            <w:shd w:fill="FFFFFF"/>
            <w:tcBorders>
              <w:top w:val="single" w:sz="6" w:space="0" w:color="D9E2E8"/>
              <w:start w:val="single" w:sz="6" w:space="0" w:color="D9E2E8"/>
              <w:bottom w:val="single" w:sz="6" w:space="0" w:color="D9E2E8"/>
              <w:end w:val="single" w:sz="6" w:space="0" w:color="D9E2E8"/>
            </w:tcBorders>
          </w:tcPr>
          <w:p>
            <w:r>
              <w:rPr>
                <w:b w:val="0"/>
                <w:color w:val="4D5B66"/>
                <w:sz w:val="18"/>
              </w:rPr>
              <w:t>Proposal reference: ICT/XYZ/RTA/2026-0718</w:t>
            </w:r>
          </w:p>
        </w:tc>
      </w:tr>
    </w:tbl>
    <w:tbl>
      <w:tblPr>
        <w:tblW w:type="auto" w:w="0"/>
        <w:jc w:val="center"/>
        <w:tblLook w:firstColumn="1" w:firstRow="1" w:lastColumn="0" w:lastRow="0" w:noHBand="0" w:noVBand="1" w:val="04A0"/>
      </w:tblPr>
      <w:tblGrid>
        <w:gridCol w:w="9922"/>
      </w:tblGrid>
      <w:tr>
        <w:tc>
          <w:tcPr>
            <w:tcW w:type="dxa" w:w="9922"/>
            <w:shd w:fill="F5F8FA"/>
            <w:tcMar>
              <w:top w:w="180" w:type="dxa"/>
              <w:start w:w="220" w:type="dxa"/>
              <w:bottom w:w="180" w:type="dxa"/>
              <w:end w:w="220" w:type="dxa"/>
            </w:tcMar>
            <w:tcBorders>
              <w:start w:val="single" w:sz="10" w:space="0" w:color="2AA6A4"/>
            </w:tcBorders>
          </w:tcPr>
          <w:p>
            <w:pPr>
              <w:spacing w:after="40"/>
            </w:pPr>
            <w:r>
              <w:rPr>
                <w:b/>
                <w:color w:val="17324D"/>
              </w:rPr>
              <w:t>Primary commercial contact</w:t>
            </w:r>
          </w:p>
          <w:p>
            <w:pPr>
              <w:spacing w:after="0"/>
            </w:pPr>
            <w:r>
              <w:t>IChannel Technologies • Commercial enquiries may be directed through the company's authorized account representative.</w:t>
            </w:r>
          </w:p>
        </w:tc>
      </w:tr>
    </w:tbl>
    <w:p>
      <w:pPr>
        <w:pStyle w:val="Heading2"/>
      </w:pPr>
      <w:r>
        <w:t>Confidentiality</w:t>
      </w:r>
    </w:p>
    <w:p>
      <w:r>
        <w:t>This proposal is confidential and intended solely for XYZ Limited's evaluation. Commercial terms may not be shared outside the evaluation and approval process without written consent from IChannel Technologies, except where disclosure is required by law.</w:t>
      </w:r>
    </w:p>
    <w:sectPr w:rsidR="00FC693F" w:rsidRPr="0006063C" w:rsidSect="00034616">
      <w:headerReference w:type="default" r:id="rId9"/>
      <w:footerReference w:type="default" r:id="rId10"/>
      <w:footerReference w:type="first" r:id="rId11"/>
      <w:pgSz w:w="11906" w:h="16838"/>
      <w:pgMar w:top="935" w:right="992" w:bottom="850"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Aptos" w:hAnsi="Aptos"/>
        <w:color w:val="4D5B66"/>
        <w:sz w:val="15"/>
      </w:rPr>
      <w:t>Confidential  |  Prepared for XYZ Limited</w:t>
    </w:r>
    <w:r>
      <w:rPr>
        <w:sz w:val="15"/>
      </w:rPr>
      <w:t xml:space="preserve">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D5B66"/>
        <w:sz w:val="15"/>
      </w:rPr>
      <w:t>Confidential • IChannel Technologies • XYZ Limited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961"/>
      <w:gridCol w:w="4961"/>
    </w:tblGrid>
    <w:tr>
      <w:tc>
        <w:tcPr>
          <w:tcW w:type="dxa" w:w="5329"/>
          <w:tcMar>
            <w:top w:w="0" w:type="dxa"/>
            <w:start w:w="0" w:type="dxa"/>
            <w:bottom w:w="70" w:type="dxa"/>
            <w:end w:w="0" w:type="dxa"/>
          </w:tcMar>
          <w:tcBorders>
            <w:bottom w:val="single" w:sz="8" w:space="0" w:color="2AA6A4"/>
          </w:tcBorders>
        </w:tcPr>
        <w:p>
          <w:pPr>
            <w:spacing w:after="0"/>
          </w:pPr>
          <w:r>
            <w:rPr>
              <w:rFonts w:ascii="Aptos Display" w:hAnsi="Aptos Display"/>
              <w:b/>
              <w:color w:val="17324D"/>
              <w:sz w:val="16"/>
            </w:rPr>
            <w:t>ICHANNEL TECHNOLOGIES</w:t>
          </w:r>
        </w:p>
      </w:tc>
      <w:tc>
        <w:tcPr>
          <w:tcW w:type="dxa" w:w="4592"/>
          <w:tcMar>
            <w:top w:w="0" w:type="dxa"/>
            <w:start w:w="0" w:type="dxa"/>
            <w:bottom w:w="70" w:type="dxa"/>
            <w:end w:w="0" w:type="dxa"/>
          </w:tcMar>
          <w:tcBorders>
            <w:bottom w:val="single" w:sz="8" w:space="0" w:color="2AA6A4"/>
          </w:tcBorders>
        </w:tcPr>
        <w:p>
          <w:pPr>
            <w:spacing w:after="0"/>
            <w:jc w:val="right"/>
          </w:pPr>
          <w:r>
            <w:rPr>
              <w:rFonts w:ascii="Aptos" w:hAnsi="Aptos"/>
              <w:color w:val="176B87"/>
              <w:sz w:val="15"/>
            </w:rPr>
            <w:t>RENT TRACKER APPLICATION PROPOSAL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4D5B6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Display" w:hAnsi="Aptos Display"/>
      <w:b/>
      <w:bCs/>
      <w:color w:val="17324D"/>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2" w:hanging="17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340" w:hanging="198"/>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 Tracker Application Proposal for XYZ Limited</dc:title>
  <dc:subject>Commercial and technical proposal</dc:subject>
  <dc:creator>IChannel Technologies</dc:creator>
  <cp:keywords>Rent Tracker, Frappe, lease management, proposal, IChannel Technologies</cp:keywords>
  <dc:description>Editable commercial proposal prepared for XYZ Limited.</dc:description>
  <cp:lastModifiedBy/>
  <cp:revision>1</cp:revision>
  <dcterms:created xsi:type="dcterms:W3CDTF">2013-12-23T23:15:00Z</dcterms:created>
  <dcterms:modified xsi:type="dcterms:W3CDTF">2013-12-23T23:15:00Z</dcterms:modified>
  <cp:category/>
</cp:coreProperties>
</file>