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F07A7" w14:textId="20B987B4" w:rsidR="0003578E" w:rsidRDefault="0003578E">
      <w:pPr>
        <w:rPr>
          <w:b/>
          <w:bCs/>
          <w:sz w:val="24"/>
          <w:szCs w:val="24"/>
        </w:rPr>
      </w:pPr>
      <w:r>
        <w:rPr>
          <w:noProof/>
        </w:rPr>
        <w:drawing>
          <wp:anchor distT="0" distB="0" distL="114300" distR="114300" simplePos="0" relativeHeight="251659264" behindDoc="1" locked="0" layoutInCell="1" allowOverlap="1" wp14:anchorId="0EBFB076" wp14:editId="6C899375">
            <wp:simplePos x="0" y="0"/>
            <wp:positionH relativeFrom="column">
              <wp:posOffset>1232535</wp:posOffset>
            </wp:positionH>
            <wp:positionV relativeFrom="paragraph">
              <wp:posOffset>64974</wp:posOffset>
            </wp:positionV>
            <wp:extent cx="3495675" cy="457200"/>
            <wp:effectExtent l="0" t="0" r="0" b="0"/>
            <wp:wrapNone/>
            <wp:docPr id="2" name="Picture 2" descr="Description: sps_long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sps_long_colo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9567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089BCE" w14:textId="00E85F69" w:rsidR="0003578E" w:rsidRDefault="0003578E">
      <w:pPr>
        <w:rPr>
          <w:b/>
          <w:bCs/>
          <w:sz w:val="24"/>
          <w:szCs w:val="24"/>
        </w:rPr>
      </w:pPr>
    </w:p>
    <w:p w14:paraId="26B15C33" w14:textId="42FA8B29" w:rsidR="0003578E" w:rsidRDefault="0003578E" w:rsidP="0003578E">
      <w:pPr>
        <w:jc w:val="center"/>
        <w:rPr>
          <w:b/>
          <w:bCs/>
          <w:sz w:val="24"/>
          <w:szCs w:val="24"/>
        </w:rPr>
      </w:pPr>
    </w:p>
    <w:p w14:paraId="71FDCEDC" w14:textId="77777777" w:rsidR="0003578E" w:rsidRDefault="0003578E">
      <w:pPr>
        <w:rPr>
          <w:b/>
          <w:bCs/>
          <w:sz w:val="24"/>
          <w:szCs w:val="24"/>
        </w:rPr>
      </w:pPr>
    </w:p>
    <w:p w14:paraId="21507CA2" w14:textId="7D2AE771" w:rsidR="00DA6E2E" w:rsidRDefault="00000000" w:rsidP="0003578E">
      <w:pPr>
        <w:jc w:val="center"/>
      </w:pPr>
      <w:r>
        <w:rPr>
          <w:b/>
          <w:bCs/>
          <w:sz w:val="24"/>
          <w:szCs w:val="24"/>
        </w:rPr>
        <w:t>MASTER OF SCIENCE IN MANAGEMENT AND SYSTEMS</w:t>
      </w:r>
    </w:p>
    <w:p w14:paraId="27CA0641" w14:textId="77777777" w:rsidR="00DA6E2E" w:rsidRDefault="00000000" w:rsidP="0003578E">
      <w:pPr>
        <w:jc w:val="center"/>
      </w:pPr>
      <w:r>
        <w:rPr>
          <w:b/>
          <w:bCs/>
          <w:sz w:val="24"/>
          <w:szCs w:val="24"/>
        </w:rPr>
        <w:t>Applied Project Capstone</w:t>
      </w:r>
    </w:p>
    <w:p w14:paraId="0C5EB652" w14:textId="77777777" w:rsidR="00DA6E2E" w:rsidRDefault="00000000" w:rsidP="0003578E">
      <w:pPr>
        <w:jc w:val="center"/>
      </w:pPr>
      <w:r>
        <w:rPr>
          <w:b/>
          <w:bCs/>
          <w:sz w:val="24"/>
          <w:szCs w:val="24"/>
        </w:rPr>
        <w:t>MASY GC-4100</w:t>
      </w:r>
    </w:p>
    <w:p w14:paraId="28851EF0" w14:textId="77777777" w:rsidR="00DA6E2E" w:rsidRDefault="00DA6E2E" w:rsidP="0003578E">
      <w:pPr>
        <w:jc w:val="center"/>
      </w:pPr>
    </w:p>
    <w:p w14:paraId="1600AB0A" w14:textId="77777777" w:rsidR="00DA6E2E" w:rsidRDefault="00000000">
      <w:r>
        <w:rPr>
          <w:b/>
          <w:bCs/>
          <w:sz w:val="24"/>
          <w:szCs w:val="24"/>
        </w:rPr>
        <w:t>MEMORANDUM</w:t>
      </w:r>
    </w:p>
    <w:p w14:paraId="32AE6DE8" w14:textId="77777777" w:rsidR="00DA6E2E" w:rsidRDefault="00DA6E2E"/>
    <w:p w14:paraId="68BB3DDD" w14:textId="77777777" w:rsidR="00DA6E2E" w:rsidRDefault="00000000">
      <w:pPr>
        <w:spacing w:line="480" w:lineRule="auto"/>
      </w:pPr>
      <w:r>
        <w:rPr>
          <w:b/>
          <w:bCs/>
          <w:sz w:val="24"/>
          <w:szCs w:val="24"/>
        </w:rPr>
        <w:t>TO:</w:t>
      </w:r>
      <w:r>
        <w:rPr>
          <w:b/>
          <w:bCs/>
          <w:sz w:val="24"/>
          <w:szCs w:val="24"/>
        </w:rPr>
        <w:tab/>
      </w:r>
      <w:r>
        <w:rPr>
          <w:sz w:val="24"/>
          <w:szCs w:val="24"/>
        </w:rPr>
        <w:t>Dan Stone</w:t>
      </w:r>
    </w:p>
    <w:p w14:paraId="7241264B" w14:textId="77777777" w:rsidR="00DA6E2E" w:rsidRDefault="00000000">
      <w:pPr>
        <w:spacing w:line="480" w:lineRule="auto"/>
      </w:pPr>
      <w:r>
        <w:rPr>
          <w:b/>
          <w:bCs/>
          <w:sz w:val="24"/>
          <w:szCs w:val="24"/>
        </w:rPr>
        <w:t>FROM:</w:t>
      </w:r>
      <w:r>
        <w:rPr>
          <w:b/>
          <w:bCs/>
          <w:sz w:val="24"/>
          <w:szCs w:val="24"/>
        </w:rPr>
        <w:tab/>
      </w:r>
      <w:r>
        <w:rPr>
          <w:sz w:val="24"/>
          <w:szCs w:val="24"/>
        </w:rPr>
        <w:t>Karen Lin</w:t>
      </w:r>
    </w:p>
    <w:p w14:paraId="4866F160" w14:textId="77777777" w:rsidR="00DA6E2E" w:rsidRDefault="00000000">
      <w:pPr>
        <w:spacing w:line="480" w:lineRule="auto"/>
      </w:pPr>
      <w:r>
        <w:rPr>
          <w:b/>
          <w:bCs/>
          <w:sz w:val="24"/>
          <w:szCs w:val="24"/>
        </w:rPr>
        <w:t>DATE:</w:t>
      </w:r>
      <w:r>
        <w:rPr>
          <w:b/>
          <w:bCs/>
          <w:sz w:val="24"/>
          <w:szCs w:val="24"/>
        </w:rPr>
        <w:tab/>
      </w:r>
      <w:r>
        <w:rPr>
          <w:sz w:val="24"/>
          <w:szCs w:val="24"/>
        </w:rPr>
        <w:t>May 1, 2026</w:t>
      </w:r>
    </w:p>
    <w:p w14:paraId="3046B988" w14:textId="77777777" w:rsidR="00DA6E2E" w:rsidRDefault="00000000">
      <w:pPr>
        <w:spacing w:line="480" w:lineRule="auto"/>
      </w:pPr>
      <w:r>
        <w:rPr>
          <w:b/>
          <w:bCs/>
          <w:sz w:val="24"/>
          <w:szCs w:val="24"/>
        </w:rPr>
        <w:t>PROJECT:</w:t>
      </w:r>
      <w:r>
        <w:rPr>
          <w:b/>
          <w:bCs/>
          <w:sz w:val="24"/>
          <w:szCs w:val="24"/>
        </w:rPr>
        <w:tab/>
      </w:r>
      <w:r>
        <w:rPr>
          <w:sz w:val="24"/>
          <w:szCs w:val="24"/>
        </w:rPr>
        <w:t>Optimizing Clinical Operations Through Enterprise Business Analytics at Aquila Health Network</w:t>
      </w:r>
    </w:p>
    <w:p w14:paraId="24485F17" w14:textId="77777777" w:rsidR="00DA6E2E" w:rsidRDefault="00000000">
      <w:pPr>
        <w:spacing w:line="480" w:lineRule="auto"/>
      </w:pPr>
      <w:r>
        <w:rPr>
          <w:b/>
          <w:bCs/>
          <w:sz w:val="24"/>
          <w:szCs w:val="24"/>
        </w:rPr>
        <w:t>RE:</w:t>
      </w:r>
      <w:r>
        <w:rPr>
          <w:b/>
          <w:bCs/>
          <w:sz w:val="24"/>
          <w:szCs w:val="24"/>
        </w:rPr>
        <w:tab/>
      </w:r>
      <w:r>
        <w:rPr>
          <w:sz w:val="24"/>
          <w:szCs w:val="24"/>
        </w:rPr>
        <w:t>Assignment 6A: Annotated Bibliography</w:t>
      </w:r>
    </w:p>
    <w:p w14:paraId="0774B02E" w14:textId="77777777" w:rsidR="00DA6E2E" w:rsidRDefault="00DA6E2E"/>
    <w:p w14:paraId="22977861" w14:textId="77777777" w:rsidR="00DA6E2E" w:rsidRDefault="00DA6E2E"/>
    <w:p w14:paraId="27F1E666" w14:textId="77777777" w:rsidR="00DA6E2E" w:rsidRDefault="00000000">
      <w:pPr>
        <w:spacing w:before="240" w:after="120"/>
      </w:pPr>
      <w:r>
        <w:rPr>
          <w:b/>
          <w:bCs/>
          <w:sz w:val="24"/>
          <w:szCs w:val="24"/>
          <w:u w:val="single"/>
        </w:rPr>
        <w:t>References</w:t>
      </w:r>
    </w:p>
    <w:p w14:paraId="0620A3A3" w14:textId="77777777" w:rsidR="00DA6E2E" w:rsidRDefault="00DA6E2E"/>
    <w:p w14:paraId="2D3249C1" w14:textId="77777777" w:rsidR="00DA6E2E" w:rsidRDefault="00000000">
      <w:pPr>
        <w:spacing w:line="480" w:lineRule="auto"/>
        <w:ind w:left="720" w:hanging="720"/>
      </w:pPr>
      <w:r>
        <w:rPr>
          <w:sz w:val="24"/>
          <w:szCs w:val="24"/>
        </w:rPr>
        <w:t>Carreras-Garcia, D., Delgado-Gomez, D., Llorente-Fernandez, F., &amp; Arribas-Gil, A. (2020). Patient no-show prediction: A systematic literature review. Entropy, 22(6), 675. https://doi.org/10.3390/e22060675</w:t>
      </w:r>
    </w:p>
    <w:p w14:paraId="7D444B06" w14:textId="77777777" w:rsidR="00DA6E2E" w:rsidRDefault="00DA6E2E"/>
    <w:p w14:paraId="3FFF242F" w14:textId="77777777" w:rsidR="00DA6E2E" w:rsidRDefault="00000000">
      <w:pPr>
        <w:spacing w:line="480" w:lineRule="auto"/>
        <w:ind w:left="720"/>
      </w:pPr>
      <w:r>
        <w:rPr>
          <w:sz w:val="24"/>
          <w:szCs w:val="24"/>
        </w:rPr>
        <w:t>Abstract</w:t>
      </w:r>
    </w:p>
    <w:p w14:paraId="3A1BF46B" w14:textId="77777777" w:rsidR="00DA6E2E" w:rsidRDefault="00000000">
      <w:pPr>
        <w:spacing w:line="480" w:lineRule="auto"/>
        <w:ind w:left="720"/>
      </w:pPr>
      <w:r>
        <w:rPr>
          <w:sz w:val="24"/>
          <w:szCs w:val="24"/>
        </w:rPr>
        <w:t xml:space="preserve">The existence of patients who do not attend their appointments is among the most important problems faced by health centers, causing loss of revenue and increasing patient waiting lists. This systematic review analyzes studies published between January 1980 and January 2020 on the prediction of patient no-shows using quantitative modeling and machine learning approaches. The review identifies the most commonly used predictor variables across studies — including prior no-show history, appointment lead </w:t>
      </w:r>
      <w:r>
        <w:rPr>
          <w:sz w:val="24"/>
          <w:szCs w:val="24"/>
        </w:rPr>
        <w:lastRenderedPageBreak/>
        <w:t>time, appointment type, patient age, and socioeconomic factors — and evaluates the performance of various classification methods including logistic regression, decision trees, random forests, and neural networks. The authors provide a comprehensive synthesis of the state of the art in no-show prediction modeling.</w:t>
      </w:r>
    </w:p>
    <w:p w14:paraId="5D7C8270" w14:textId="77777777" w:rsidR="00DA6E2E" w:rsidRDefault="00DA6E2E"/>
    <w:p w14:paraId="0CA4ED2A" w14:textId="77777777" w:rsidR="00DA6E2E" w:rsidRDefault="00000000">
      <w:pPr>
        <w:spacing w:line="480" w:lineRule="auto"/>
        <w:ind w:left="720"/>
      </w:pPr>
      <w:r>
        <w:rPr>
          <w:b/>
          <w:bCs/>
          <w:sz w:val="24"/>
          <w:szCs w:val="24"/>
        </w:rPr>
        <w:t>This systematic review directly supports the predictive analytics proof-of-concept in Objective 4 of the Aquila Health Network project. It validates the feature set used in the synthetic dataset's fact_noshow_risk table — particularly prior no-show history, appointment lead time, and appointment type — and provides comparative evidence on model performance across classification approaches. The review's finding that logistic regression remains a competitive and interpretable baseline for no-show prediction supports its selection as the primary modeling approach in this proof-of-concept.</w:t>
      </w:r>
    </w:p>
    <w:p w14:paraId="2E2B1C02" w14:textId="77777777" w:rsidR="00DA6E2E" w:rsidRDefault="00DA6E2E"/>
    <w:p w14:paraId="46DE3199" w14:textId="77777777" w:rsidR="00DA6E2E" w:rsidRDefault="00000000">
      <w:pPr>
        <w:spacing w:line="480" w:lineRule="auto"/>
        <w:ind w:left="720" w:hanging="720"/>
      </w:pPr>
      <w:r>
        <w:rPr>
          <w:sz w:val="24"/>
          <w:szCs w:val="24"/>
        </w:rPr>
        <w:t>Dantas, L. F., Fleck, J. L., Cyrino Oliveira, F. L., &amp; Hamacher, S. (2018). No-shows in appointment scheduling: A systematic literature review. Health Policy, 122(4), 412-421. https://doi.org/10.1016/j.healthpol.2018.02.002</w:t>
      </w:r>
    </w:p>
    <w:p w14:paraId="55218F40" w14:textId="77777777" w:rsidR="00DA6E2E" w:rsidRDefault="00DA6E2E"/>
    <w:p w14:paraId="03816DD5" w14:textId="77777777" w:rsidR="00DA6E2E" w:rsidRDefault="00000000">
      <w:pPr>
        <w:spacing w:line="480" w:lineRule="auto"/>
        <w:ind w:left="720"/>
      </w:pPr>
      <w:r>
        <w:rPr>
          <w:sz w:val="24"/>
          <w:szCs w:val="24"/>
        </w:rPr>
        <w:t>Abstract</w:t>
      </w:r>
    </w:p>
    <w:p w14:paraId="175F4738" w14:textId="77777777" w:rsidR="00DA6E2E" w:rsidRDefault="00000000">
      <w:pPr>
        <w:spacing w:line="480" w:lineRule="auto"/>
        <w:ind w:left="720"/>
      </w:pPr>
      <w:r>
        <w:rPr>
          <w:sz w:val="24"/>
          <w:szCs w:val="24"/>
        </w:rPr>
        <w:t xml:space="preserve">No-show appointments significantly impact the functioning of healthcare institutions. This systematic literature review analyzes 105 selected studies on no-show behavior in appointment scheduling, synthesizing findings on which factors most strongly influence missed appointment rates across all medical specialties. The authors find that the main determinants of no-show are high appointment lead time and prior no-show history. Adults of younger age and lower socioeconomic status are most likely to no-show. Lack </w:t>
      </w:r>
      <w:r>
        <w:rPr>
          <w:sz w:val="24"/>
          <w:szCs w:val="24"/>
        </w:rPr>
        <w:lastRenderedPageBreak/>
        <w:t>of private insurance and greater distance to the clinic also increase no-show likelihood. Across all specialties reviewed, the average no-show rate is on the order of 23%.</w:t>
      </w:r>
    </w:p>
    <w:p w14:paraId="3D3BE3B8" w14:textId="77777777" w:rsidR="00DA6E2E" w:rsidRDefault="00DA6E2E"/>
    <w:p w14:paraId="3D9BE269" w14:textId="77777777" w:rsidR="00DA6E2E" w:rsidRDefault="00000000">
      <w:pPr>
        <w:spacing w:line="480" w:lineRule="auto"/>
        <w:ind w:left="720"/>
      </w:pPr>
      <w:r>
        <w:rPr>
          <w:b/>
          <w:bCs/>
          <w:sz w:val="24"/>
          <w:szCs w:val="24"/>
        </w:rPr>
        <w:t>This systematic review provides the primary empirical foundation for the no-show problem framing in the Aquila Health Network project. The predictor variables identified across 105 studies — particularly prior no-show history and appointment lead time — directly validate the feature design of the synthetic dataset's fact_noshow_risk table. The 23% average no-show rate benchmark also informed the no-show rate distributions built into the synthetic dataset, and the review's scope across all specialties makes it directly applicable to Aquila's multi-specialty outpatient network.</w:t>
      </w:r>
    </w:p>
    <w:p w14:paraId="2049A472" w14:textId="77777777" w:rsidR="00DA6E2E" w:rsidRDefault="00DA6E2E"/>
    <w:p w14:paraId="44367C23" w14:textId="77777777" w:rsidR="00DA6E2E" w:rsidRDefault="00000000">
      <w:pPr>
        <w:spacing w:line="480" w:lineRule="auto"/>
        <w:ind w:left="720" w:hanging="720"/>
      </w:pPr>
      <w:r>
        <w:rPr>
          <w:sz w:val="24"/>
          <w:szCs w:val="24"/>
        </w:rPr>
        <w:t>Haque, W., Urquhart, B., Berg, E., &amp; Dhanoa, R. (2014). Using business intelligence to analyze and share health system infrastructure data in a rural health authority. JMIR Medical Informatics, 2(2), e16. https://doi.org/10.2196/medinform.3590</w:t>
      </w:r>
    </w:p>
    <w:p w14:paraId="79451291" w14:textId="77777777" w:rsidR="00DA6E2E" w:rsidRDefault="00DA6E2E"/>
    <w:p w14:paraId="69E64C4B" w14:textId="77777777" w:rsidR="00DA6E2E" w:rsidRDefault="00000000">
      <w:pPr>
        <w:spacing w:line="480" w:lineRule="auto"/>
        <w:ind w:left="720"/>
      </w:pPr>
      <w:r>
        <w:rPr>
          <w:sz w:val="24"/>
          <w:szCs w:val="24"/>
        </w:rPr>
        <w:t>Abstract</w:t>
      </w:r>
    </w:p>
    <w:p w14:paraId="4309D09B" w14:textId="77777777" w:rsidR="00DA6E2E" w:rsidRDefault="00000000">
      <w:pPr>
        <w:spacing w:line="480" w:lineRule="auto"/>
        <w:ind w:left="720"/>
      </w:pPr>
      <w:r>
        <w:rPr>
          <w:sz w:val="24"/>
          <w:szCs w:val="24"/>
        </w:rPr>
        <w:t xml:space="preserve">Health care organizations gather large volumes of data that have traditionally been stored in legacy formats making it difficult to analyze or use effectively. The intent of this study was to propose how business intelligence techniques can be applied to health system infrastructure data to make information more accessible and comprehensible for a broader group of stakeholders. The authors developed an integration process to cleanse and consolidate data from disparate sources into a data warehouse, then applied BI visualization tools to produce dashboards for operational monitoring. The study </w:t>
      </w:r>
      <w:r>
        <w:rPr>
          <w:sz w:val="24"/>
          <w:szCs w:val="24"/>
        </w:rPr>
        <w:lastRenderedPageBreak/>
        <w:t>demonstrates that BI techniques can meaningfully improve the accessibility and interpretability of complex health system data for non-technical decision-makers.</w:t>
      </w:r>
    </w:p>
    <w:p w14:paraId="6A94B1B5" w14:textId="77777777" w:rsidR="00DA6E2E" w:rsidRDefault="00DA6E2E"/>
    <w:p w14:paraId="65726011" w14:textId="77777777" w:rsidR="00DA6E2E" w:rsidRDefault="00000000">
      <w:pPr>
        <w:spacing w:line="480" w:lineRule="auto"/>
        <w:ind w:left="720"/>
      </w:pPr>
      <w:r>
        <w:rPr>
          <w:b/>
          <w:bCs/>
          <w:sz w:val="24"/>
          <w:szCs w:val="24"/>
        </w:rPr>
        <w:t>This study provides peer-reviewed evidence supporting the use of business intelligence platforms and data warehousing for health system operational monitoring — the core technical approach of the Aquila Health Network project. The authors' integration process, which consolidates data from multiple source systems into a centralized warehouse feeding BI dashboards, mirrors the data mart and dashboard architecture designed in Objectives 2 and 3 of this capstone. The emphasis on making data accessible to non-technical decision-makers also aligns with the executive dashboard design goals defined in the Aquila FRS.</w:t>
      </w:r>
    </w:p>
    <w:p w14:paraId="6FDC5AEB" w14:textId="77777777" w:rsidR="00DA6E2E" w:rsidRDefault="00DA6E2E"/>
    <w:p w14:paraId="7398D50A" w14:textId="77777777" w:rsidR="00DA6E2E" w:rsidRDefault="00000000">
      <w:pPr>
        <w:spacing w:line="480" w:lineRule="auto"/>
        <w:ind w:left="720" w:hanging="720"/>
      </w:pPr>
      <w:r>
        <w:rPr>
          <w:sz w:val="24"/>
          <w:szCs w:val="24"/>
        </w:rPr>
        <w:t>Kimball, R., &amp; Ross, M. (2013). The data warehouse toolkit: The definitive guide to dimensional modeling (3rd ed.). Wiley.</w:t>
      </w:r>
    </w:p>
    <w:p w14:paraId="4931E196" w14:textId="77777777" w:rsidR="00DA6E2E" w:rsidRDefault="00DA6E2E"/>
    <w:p w14:paraId="19A80233" w14:textId="77777777" w:rsidR="00DA6E2E" w:rsidRDefault="00000000">
      <w:pPr>
        <w:spacing w:line="480" w:lineRule="auto"/>
        <w:ind w:left="720"/>
      </w:pPr>
      <w:r>
        <w:rPr>
          <w:sz w:val="24"/>
          <w:szCs w:val="24"/>
        </w:rPr>
        <w:t>Abstract</w:t>
      </w:r>
    </w:p>
    <w:p w14:paraId="5D6915AC" w14:textId="77777777" w:rsidR="00DA6E2E" w:rsidRDefault="00000000">
      <w:pPr>
        <w:spacing w:line="480" w:lineRule="auto"/>
        <w:ind w:left="720"/>
      </w:pPr>
      <w:r>
        <w:rPr>
          <w:sz w:val="24"/>
          <w:szCs w:val="24"/>
        </w:rPr>
        <w:t>This foundational reference provides the most comprehensive collection of dimensional modeling techniques ever assembled, covering star schema and snowflake schema design patterns, fact table grain selection, slowly changing dimensions, conformed dimensions, and ETL design considerations. The authors introduce and formalize the principles of dimensional modeling for business intelligence environments, illustrating each technique with real-world case studies drawn from industries including healthcare, retail, financial services, and telecommunications. The third edition adds two new chapters on ETL subsystems and expands coverage of advanced dimensional patterns including bridge tables, multivalued attributes, and variable-depth hierarchies.</w:t>
      </w:r>
    </w:p>
    <w:p w14:paraId="23715BB3" w14:textId="77777777" w:rsidR="00DA6E2E" w:rsidRDefault="00DA6E2E"/>
    <w:p w14:paraId="4ED7B14D" w14:textId="77777777" w:rsidR="00DA6E2E" w:rsidRDefault="00000000">
      <w:pPr>
        <w:spacing w:line="480" w:lineRule="auto"/>
        <w:ind w:left="720"/>
      </w:pPr>
      <w:r>
        <w:rPr>
          <w:b/>
          <w:bCs/>
          <w:sz w:val="24"/>
          <w:szCs w:val="24"/>
        </w:rPr>
        <w:t>This text is the primary methodological reference for the logical and physical data modeling work completed in Objective 2 of the capstone. The star schema design of the Aquila data mart — with FactAppointment as the central fact table and surrounding dimension tables for patients, providers, clinics, dates, and referrals — follows the dimensional modeling principles described by Kimball and Ross. The grain selection decisions, surrogate key conventions, and conformed dimension patterns applied in this project are all grounded in this reference, which is the authoritative standard for data warehouse design in analytics environments.</w:t>
      </w:r>
    </w:p>
    <w:p w14:paraId="43B9B78E" w14:textId="77777777" w:rsidR="00DA6E2E" w:rsidRDefault="00DA6E2E"/>
    <w:p w14:paraId="46C3A198" w14:textId="77777777" w:rsidR="00DA6E2E" w:rsidRDefault="00000000">
      <w:pPr>
        <w:spacing w:line="480" w:lineRule="auto"/>
        <w:ind w:left="720" w:hanging="720"/>
      </w:pPr>
      <w:r>
        <w:rPr>
          <w:sz w:val="24"/>
          <w:szCs w:val="24"/>
        </w:rPr>
        <w:t>LaGanga, L. R., &amp; Lawrence, S. R. (2012). Appointment overbooking in health care clinics to improve patient service and clinic performance. Production and Operations Management, 21(5), 874-888. https://doi.org/10.1111/j.1937-5956.2011.01308.x</w:t>
      </w:r>
    </w:p>
    <w:p w14:paraId="5A1B2A58" w14:textId="77777777" w:rsidR="00DA6E2E" w:rsidRDefault="00DA6E2E"/>
    <w:p w14:paraId="5F3461E9" w14:textId="77777777" w:rsidR="00DA6E2E" w:rsidRDefault="00000000">
      <w:pPr>
        <w:spacing w:line="480" w:lineRule="auto"/>
        <w:ind w:left="720"/>
      </w:pPr>
      <w:r>
        <w:rPr>
          <w:sz w:val="24"/>
          <w:szCs w:val="24"/>
        </w:rPr>
        <w:t>Abstract</w:t>
      </w:r>
    </w:p>
    <w:p w14:paraId="779D0FB8" w14:textId="77777777" w:rsidR="00DA6E2E" w:rsidRDefault="00000000">
      <w:pPr>
        <w:spacing w:line="480" w:lineRule="auto"/>
        <w:ind w:left="720"/>
      </w:pPr>
      <w:r>
        <w:rPr>
          <w:sz w:val="24"/>
          <w:szCs w:val="24"/>
        </w:rPr>
        <w:t>The problem of no-shows is particularly significant for health care clinics, with reported no-show rates varying widely from 3% to 80%. No-shows reduce revenues and provider productivity, increase costs, and limit patient access by reducing effective clinic capacity. This article constructs a flexible appointment scheduling model to mitigate the detrimental effects of patient no-shows, and develops a solution procedure that constructs near-optimal overbooked appointment schedules balancing the benefits of serving additional patients with the potential costs of patient waiting and clinic overtime. Computational results demonstrate the model's efficacy and provide guidance on when overbooking provides greater clinic utility.</w:t>
      </w:r>
    </w:p>
    <w:p w14:paraId="5F70EB25" w14:textId="77777777" w:rsidR="00DA6E2E" w:rsidRDefault="00DA6E2E"/>
    <w:p w14:paraId="09F9DA76" w14:textId="77777777" w:rsidR="00DA6E2E" w:rsidRDefault="00000000">
      <w:pPr>
        <w:spacing w:line="480" w:lineRule="auto"/>
        <w:ind w:left="720"/>
      </w:pPr>
      <w:r>
        <w:rPr>
          <w:b/>
          <w:bCs/>
          <w:sz w:val="24"/>
          <w:szCs w:val="24"/>
        </w:rPr>
        <w:lastRenderedPageBreak/>
        <w:t>This study connects no-show prediction to scheduling optimization, demonstrating analytically that no-show risk scores can guide appointment slot reallocation to improve both provider utilization and patient access. This bridges the predictive model in Objective 4 and the operational dashboard layer in Objective 3, showing how risk scores translate into the operational improvements — particularly the 82% provider utilization target and the 20% patient access wait time reduction goal — defined in the Aquila project's performance framework. The scheduling efficiency metrics discussed also informed KPI definitions in the Functional Requirements Specification.</w:t>
      </w:r>
    </w:p>
    <w:p w14:paraId="513EA98C" w14:textId="77777777" w:rsidR="00DA6E2E" w:rsidRDefault="00DA6E2E"/>
    <w:p w14:paraId="6BFB410A" w14:textId="77777777" w:rsidR="00DA6E2E" w:rsidRDefault="00000000">
      <w:pPr>
        <w:spacing w:line="480" w:lineRule="auto"/>
        <w:ind w:left="720" w:hanging="720"/>
      </w:pPr>
      <w:r>
        <w:rPr>
          <w:sz w:val="24"/>
          <w:szCs w:val="24"/>
        </w:rPr>
        <w:t>Mohammadi, I., Wu, H., Turkcan, A., Toscos, T., &amp; Doebbeling, B. N. (2018). Data analytics and modeling for appointment no-show in community health centers. Journal of Primary Care &amp; Community Health, 9, Article 2150132718811692. https://doi.org/10.1177/2150132718811692</w:t>
      </w:r>
    </w:p>
    <w:p w14:paraId="20FB0D07" w14:textId="77777777" w:rsidR="00DA6E2E" w:rsidRDefault="00DA6E2E"/>
    <w:p w14:paraId="5A2F8AB3" w14:textId="77777777" w:rsidR="00DA6E2E" w:rsidRDefault="00000000">
      <w:pPr>
        <w:spacing w:line="480" w:lineRule="auto"/>
        <w:ind w:left="720"/>
      </w:pPr>
      <w:r>
        <w:rPr>
          <w:sz w:val="24"/>
          <w:szCs w:val="24"/>
        </w:rPr>
        <w:t>Abstract</w:t>
      </w:r>
    </w:p>
    <w:p w14:paraId="6CE8E7F7" w14:textId="77777777" w:rsidR="00DA6E2E" w:rsidRDefault="00000000">
      <w:pPr>
        <w:spacing w:line="480" w:lineRule="auto"/>
        <w:ind w:left="720"/>
      </w:pPr>
      <w:r>
        <w:rPr>
          <w:sz w:val="24"/>
          <w:szCs w:val="24"/>
        </w:rPr>
        <w:t>Using predictive modeling techniques, this study developed and compared appointment no-show prediction models to better understand appointment adherence in underserved populations served by community health centers. The authors collected electronic health record and appointment data over a three-year period from an urban system of 10 community health centers. Logistic regression, artificial neural network, and naive Bayes classifier models were applied to identify critical predictors of missed appointments, using 10-fold cross-validation to assess model performance. Key predictors identified include patient demographics, prior appointment history, provider characteristics, and appointment type.</w:t>
      </w:r>
    </w:p>
    <w:p w14:paraId="3E17E0FF" w14:textId="77777777" w:rsidR="00DA6E2E" w:rsidRDefault="00DA6E2E"/>
    <w:p w14:paraId="351F70A0" w14:textId="77777777" w:rsidR="00DA6E2E" w:rsidRDefault="00000000">
      <w:pPr>
        <w:spacing w:line="480" w:lineRule="auto"/>
        <w:ind w:left="720"/>
      </w:pPr>
      <w:r>
        <w:rPr>
          <w:b/>
          <w:bCs/>
          <w:sz w:val="24"/>
          <w:szCs w:val="24"/>
        </w:rPr>
        <w:t>This study provides direct empirical support for the predictive modeling approach in Objective 4 of the Aquila Health Network project. Its application of logistic regression, neural network, and naive Bayes classifiers to real outpatient appointment data from a multi-site community health center system closely parallels the analytical context of this capstone. The predictor variables identified — prior appointment history, patient demographics, appointment type, and provider characteristics — map directly to fields in the synthetic dataset, validating the feature design of the fact_noshow_risk and fact_appointments tables.</w:t>
      </w:r>
    </w:p>
    <w:p w14:paraId="123089BD" w14:textId="77777777" w:rsidR="00DA6E2E" w:rsidRDefault="00DA6E2E"/>
    <w:p w14:paraId="6B20C271" w14:textId="77777777" w:rsidR="00DA6E2E" w:rsidRDefault="00000000">
      <w:pPr>
        <w:spacing w:line="480" w:lineRule="auto"/>
        <w:ind w:left="720" w:hanging="720"/>
      </w:pPr>
      <w:r>
        <w:rPr>
          <w:sz w:val="24"/>
          <w:szCs w:val="24"/>
        </w:rPr>
        <w:t>Nguyen, D. L., DeJesus, R. S., &amp; Wieland, M. L. (2011). Missed appointments in resident continuity clinic: Patient characteristics and health care outcomes. Journal of Graduate Medical Education, 3(3), 350-355. https://doi.org/10.4300/JGME-D-10-00199.1</w:t>
      </w:r>
    </w:p>
    <w:p w14:paraId="62D05E63" w14:textId="77777777" w:rsidR="00DA6E2E" w:rsidRDefault="00DA6E2E"/>
    <w:p w14:paraId="6EC1E709" w14:textId="77777777" w:rsidR="00DA6E2E" w:rsidRDefault="00000000">
      <w:pPr>
        <w:spacing w:line="480" w:lineRule="auto"/>
        <w:ind w:left="720"/>
      </w:pPr>
      <w:r>
        <w:rPr>
          <w:sz w:val="24"/>
          <w:szCs w:val="24"/>
        </w:rPr>
        <w:t>Abstract</w:t>
      </w:r>
    </w:p>
    <w:p w14:paraId="1FC933C4" w14:textId="77777777" w:rsidR="00DA6E2E" w:rsidRDefault="00000000">
      <w:pPr>
        <w:spacing w:line="480" w:lineRule="auto"/>
        <w:ind w:left="720"/>
      </w:pPr>
      <w:r>
        <w:rPr>
          <w:sz w:val="24"/>
          <w:szCs w:val="24"/>
        </w:rPr>
        <w:t>Frequent missed patient appointments in resident continuity clinic is a well-documented problem. This study examined patient characteristics associated with high rates of missed appointments and their relationship to downstream health care outcomes. The authors found that patients who frequently missed appointments were more likely to have certain demographic and socioeconomic characteristics, and were associated with increased utilization of emergency department services. The study highlights the clinical and operational consequences of appointment non-adherence and underscores the importance of understanding patient-level factors in primary care scheduling.</w:t>
      </w:r>
    </w:p>
    <w:p w14:paraId="04D3A479" w14:textId="77777777" w:rsidR="00DA6E2E" w:rsidRDefault="00DA6E2E"/>
    <w:p w14:paraId="46596743" w14:textId="77777777" w:rsidR="00DA6E2E" w:rsidRDefault="00000000">
      <w:pPr>
        <w:spacing w:line="480" w:lineRule="auto"/>
        <w:ind w:left="720"/>
      </w:pPr>
      <w:r>
        <w:rPr>
          <w:b/>
          <w:bCs/>
          <w:sz w:val="24"/>
          <w:szCs w:val="24"/>
        </w:rPr>
        <w:t xml:space="preserve">This study provides clinical context for the consequences of appointment no-shows at the patient and system level, supporting the business case framing in the Aquila </w:t>
      </w:r>
      <w:r>
        <w:rPr>
          <w:b/>
          <w:bCs/>
          <w:sz w:val="24"/>
          <w:szCs w:val="24"/>
        </w:rPr>
        <w:lastRenderedPageBreak/>
        <w:t>Health Network Project Charter. The finding that missed appointments correlate with adverse downstream care patterns — including higher emergency department utilization — reinforces the operational and public health rationale for the no-show risk scoring model developed in Objective 4. The patient characteristic findings also informed the demographic predictor variables included in the synthetic dataset's patient dimension and no-show risk tables.</w:t>
      </w:r>
    </w:p>
    <w:p w14:paraId="6EDB3CBE" w14:textId="77777777" w:rsidR="00DA6E2E" w:rsidRDefault="00DA6E2E"/>
    <w:p w14:paraId="6BB64932" w14:textId="77777777" w:rsidR="00DA6E2E" w:rsidRDefault="00000000">
      <w:pPr>
        <w:spacing w:line="480" w:lineRule="auto"/>
        <w:ind w:left="720" w:hanging="720"/>
      </w:pPr>
      <w:r>
        <w:rPr>
          <w:sz w:val="24"/>
          <w:szCs w:val="24"/>
        </w:rPr>
        <w:t>Powell, A. A., White, K. M., Partin, M. R., Halek, K., Christianson, J. B., Neil, B., Hysong, S. J., Zarling, E. J., &amp; Bloomfield, H. E. (2012). Unintended consequences of implementing a national performance measurement system into local practice. Journal of General Internal Medicine, 27(4), 405-412. https://doi.org/10.1007/s11606-011-1906-3</w:t>
      </w:r>
    </w:p>
    <w:p w14:paraId="4B22ECE3" w14:textId="77777777" w:rsidR="00DA6E2E" w:rsidRDefault="00DA6E2E"/>
    <w:p w14:paraId="15E6A5B2" w14:textId="77777777" w:rsidR="00DA6E2E" w:rsidRDefault="00000000">
      <w:pPr>
        <w:spacing w:line="480" w:lineRule="auto"/>
        <w:ind w:left="720"/>
      </w:pPr>
      <w:r>
        <w:rPr>
          <w:sz w:val="24"/>
          <w:szCs w:val="24"/>
        </w:rPr>
        <w:t>Abstract</w:t>
      </w:r>
    </w:p>
    <w:p w14:paraId="4C6F605A" w14:textId="77777777" w:rsidR="00DA6E2E" w:rsidRDefault="00000000">
      <w:pPr>
        <w:spacing w:line="480" w:lineRule="auto"/>
        <w:ind w:left="720"/>
      </w:pPr>
      <w:r>
        <w:rPr>
          <w:sz w:val="24"/>
          <w:szCs w:val="24"/>
        </w:rPr>
        <w:t>Although benefits of performance measurement systems have been well documented, there is little research on the negative unintended consequences of such systems in primary care. This qualitative study, based on 59 semi-structured interviews at four Veterans Health Administration facilities, identifies types of negative unintended consequences for patients resulting from performance measurement implementation. The authors find that performance measurement can lead to inappropriate clinical care, decrease provider focus on patient concerns, compromise patient education and autonomy, and generate negative consequences on primary care team dynamics. A conceptual framework of hypothesized relationships between performance measurement systems, facility-level variables, and unintended negative effects is developed.</w:t>
      </w:r>
    </w:p>
    <w:p w14:paraId="67D0297F" w14:textId="77777777" w:rsidR="00DA6E2E" w:rsidRDefault="00DA6E2E"/>
    <w:p w14:paraId="37D4CDF2" w14:textId="77777777" w:rsidR="00DA6E2E" w:rsidRDefault="00000000">
      <w:pPr>
        <w:spacing w:line="480" w:lineRule="auto"/>
        <w:ind w:left="720"/>
      </w:pPr>
      <w:r>
        <w:rPr>
          <w:b/>
          <w:bCs/>
          <w:sz w:val="24"/>
          <w:szCs w:val="24"/>
        </w:rPr>
        <w:lastRenderedPageBreak/>
        <w:t>This study provides important critical perspective on the implementation of clinical analytics dashboards, directly informing the risk considerations and KPI design of the Aquila Health Network project. The finding that performance dashboards can produce measurement gaming and misaligned provider behavior is directly relevant to how the project frames its KPI targets — particularly the 82% provider utilization threshold — as network-level operational signals rather than individual provider performance metrics. This reference shaped the project's emphasis on aggregate, executive-level visibility over individual-level monitoring in the FRS and dashboard design.</w:t>
      </w:r>
    </w:p>
    <w:p w14:paraId="79ED8A76" w14:textId="77777777" w:rsidR="00DA6E2E" w:rsidRDefault="00DA6E2E"/>
    <w:sectPr w:rsidR="00DA6E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D22F9"/>
    <w:multiLevelType w:val="hybridMultilevel"/>
    <w:tmpl w:val="B644C066"/>
    <w:lvl w:ilvl="0" w:tplc="A1E66422">
      <w:start w:val="1"/>
      <w:numFmt w:val="bullet"/>
      <w:lvlText w:val="●"/>
      <w:lvlJc w:val="left"/>
      <w:pPr>
        <w:ind w:left="720" w:hanging="360"/>
      </w:pPr>
    </w:lvl>
    <w:lvl w:ilvl="1" w:tplc="09426ACA">
      <w:start w:val="1"/>
      <w:numFmt w:val="bullet"/>
      <w:lvlText w:val="○"/>
      <w:lvlJc w:val="left"/>
      <w:pPr>
        <w:ind w:left="1440" w:hanging="360"/>
      </w:pPr>
    </w:lvl>
    <w:lvl w:ilvl="2" w:tplc="2BAA9FF2">
      <w:start w:val="1"/>
      <w:numFmt w:val="bullet"/>
      <w:lvlText w:val="■"/>
      <w:lvlJc w:val="left"/>
      <w:pPr>
        <w:ind w:left="2160" w:hanging="360"/>
      </w:pPr>
    </w:lvl>
    <w:lvl w:ilvl="3" w:tplc="7ACE964E">
      <w:start w:val="1"/>
      <w:numFmt w:val="bullet"/>
      <w:lvlText w:val="●"/>
      <w:lvlJc w:val="left"/>
      <w:pPr>
        <w:ind w:left="2880" w:hanging="360"/>
      </w:pPr>
    </w:lvl>
    <w:lvl w:ilvl="4" w:tplc="9FEA48A6">
      <w:start w:val="1"/>
      <w:numFmt w:val="bullet"/>
      <w:lvlText w:val="○"/>
      <w:lvlJc w:val="left"/>
      <w:pPr>
        <w:ind w:left="3600" w:hanging="360"/>
      </w:pPr>
    </w:lvl>
    <w:lvl w:ilvl="5" w:tplc="9126EDD0">
      <w:start w:val="1"/>
      <w:numFmt w:val="bullet"/>
      <w:lvlText w:val="■"/>
      <w:lvlJc w:val="left"/>
      <w:pPr>
        <w:ind w:left="4320" w:hanging="360"/>
      </w:pPr>
    </w:lvl>
    <w:lvl w:ilvl="6" w:tplc="D85CE518">
      <w:start w:val="1"/>
      <w:numFmt w:val="bullet"/>
      <w:lvlText w:val="●"/>
      <w:lvlJc w:val="left"/>
      <w:pPr>
        <w:ind w:left="5040" w:hanging="360"/>
      </w:pPr>
    </w:lvl>
    <w:lvl w:ilvl="7" w:tplc="7F404982">
      <w:start w:val="1"/>
      <w:numFmt w:val="bullet"/>
      <w:lvlText w:val="●"/>
      <w:lvlJc w:val="left"/>
      <w:pPr>
        <w:ind w:left="5760" w:hanging="360"/>
      </w:pPr>
    </w:lvl>
    <w:lvl w:ilvl="8" w:tplc="7B362370">
      <w:start w:val="1"/>
      <w:numFmt w:val="bullet"/>
      <w:lvlText w:val="●"/>
      <w:lvlJc w:val="left"/>
      <w:pPr>
        <w:ind w:left="6480" w:hanging="360"/>
      </w:pPr>
    </w:lvl>
  </w:abstractNum>
  <w:num w:numId="1" w16cid:durableId="1868521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E2E"/>
    <w:rsid w:val="0003578E"/>
    <w:rsid w:val="00174261"/>
    <w:rsid w:val="00DA6E2E"/>
    <w:rsid w:val="00EA7472"/>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48A10BF"/>
  <w15:docId w15:val="{ADED4B2B-D56B-6246-B58C-29DCAB648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TW"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1748</Words>
  <Characters>11524</Characters>
  <Application>Microsoft Office Word</Application>
  <DocSecurity>0</DocSecurity>
  <Lines>213</Lines>
  <Paragraphs>48</Paragraphs>
  <ScaleCrop>false</ScaleCrop>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Karen Lin</cp:lastModifiedBy>
  <cp:revision>3</cp:revision>
  <dcterms:created xsi:type="dcterms:W3CDTF">2026-05-01T20:17:00Z</dcterms:created>
  <dcterms:modified xsi:type="dcterms:W3CDTF">2026-05-01T20:39:00Z</dcterms:modified>
</cp:coreProperties>
</file>