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1CDB" w14:textId="77777777" w:rsidR="0030191F" w:rsidRDefault="0030191F">
      <w:pPr>
        <w:pStyle w:val="BodyA"/>
        <w:pBdr>
          <w:bottom w:val="single" w:sz="12" w:space="0" w:color="808080"/>
        </w:pBdr>
        <w:spacing w:line="276" w:lineRule="auto"/>
        <w:rPr>
          <w:rFonts w:ascii="Cambria" w:hAnsi="Cambria"/>
        </w:rPr>
      </w:pPr>
    </w:p>
    <w:p w14:paraId="10C6EFD4" w14:textId="77777777" w:rsidR="0030191F" w:rsidRDefault="000828FB">
      <w:pPr>
        <w:pStyle w:val="BodyA"/>
        <w:spacing w:line="276" w:lineRule="auto"/>
        <w:jc w:val="center"/>
        <w:rPr>
          <w:rFonts w:ascii="Cambria" w:hAnsi="Cambria"/>
        </w:rPr>
      </w:pPr>
      <w:r>
        <w:rPr>
          <w:rFonts w:ascii="Cambria" w:hAnsi="Cambria"/>
          <w:noProof/>
        </w:rPr>
        <w:drawing>
          <wp:anchor distT="0" distB="0" distL="0" distR="0" simplePos="0" relativeHeight="251659264" behindDoc="0" locked="0" layoutInCell="1" allowOverlap="1" wp14:anchorId="7BFCEEBD" wp14:editId="315FB53C">
            <wp:simplePos x="0" y="0"/>
            <wp:positionH relativeFrom="column">
              <wp:posOffset>1259205</wp:posOffset>
            </wp:positionH>
            <wp:positionV relativeFrom="line">
              <wp:posOffset>114935</wp:posOffset>
            </wp:positionV>
            <wp:extent cx="3495675" cy="457200"/>
            <wp:effectExtent l="0" t="0" r="0" b="0"/>
            <wp:wrapSquare wrapText="bothSides" distT="0" distB="0" distL="0" distR="0"/>
            <wp:docPr id="1073741825" name="officeArt object"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picture containing drawingDescription automatically generated" descr="A picture containing drawingDescription automatically generated"/>
                    <pic:cNvPicPr>
                      <a:picLocks noChangeAspect="1"/>
                    </pic:cNvPicPr>
                  </pic:nvPicPr>
                  <pic:blipFill>
                    <a:blip r:embed="rId7"/>
                    <a:stretch>
                      <a:fillRect/>
                    </a:stretch>
                  </pic:blipFill>
                  <pic:spPr>
                    <a:xfrm>
                      <a:off x="0" y="0"/>
                      <a:ext cx="3495675" cy="457200"/>
                    </a:xfrm>
                    <a:prstGeom prst="rect">
                      <a:avLst/>
                    </a:prstGeom>
                    <a:ln w="12700" cap="flat">
                      <a:noFill/>
                      <a:miter lim="400000"/>
                    </a:ln>
                    <a:effectLst/>
                  </pic:spPr>
                </pic:pic>
              </a:graphicData>
            </a:graphic>
          </wp:anchor>
        </w:drawing>
      </w:r>
    </w:p>
    <w:p w14:paraId="3AEB4BA4" w14:textId="77777777" w:rsidR="0030191F" w:rsidRDefault="0030191F">
      <w:pPr>
        <w:pStyle w:val="BodyA"/>
        <w:spacing w:line="276" w:lineRule="auto"/>
        <w:rPr>
          <w:rFonts w:ascii="Cambria" w:hAnsi="Cambria"/>
          <w:b/>
          <w:bCs/>
        </w:rPr>
      </w:pPr>
    </w:p>
    <w:p w14:paraId="6FC1B22F" w14:textId="77777777" w:rsidR="0030191F" w:rsidRDefault="0030191F">
      <w:pPr>
        <w:pStyle w:val="BodyA"/>
        <w:spacing w:line="276" w:lineRule="auto"/>
        <w:jc w:val="center"/>
        <w:rPr>
          <w:rFonts w:ascii="Cambria" w:hAnsi="Cambria"/>
          <w:b/>
          <w:bCs/>
        </w:rPr>
      </w:pPr>
    </w:p>
    <w:p w14:paraId="74DDAC95" w14:textId="77777777" w:rsidR="0030191F" w:rsidRDefault="0030191F">
      <w:pPr>
        <w:pStyle w:val="BodyA"/>
        <w:spacing w:line="276" w:lineRule="auto"/>
        <w:jc w:val="center"/>
        <w:rPr>
          <w:b/>
          <w:bCs/>
        </w:rPr>
      </w:pPr>
    </w:p>
    <w:p w14:paraId="7732C58A" w14:textId="77777777" w:rsidR="0030191F" w:rsidRDefault="000828FB">
      <w:pPr>
        <w:pStyle w:val="BodyA"/>
        <w:spacing w:line="276" w:lineRule="auto"/>
        <w:jc w:val="center"/>
      </w:pPr>
      <w:r>
        <w:rPr>
          <w:b/>
          <w:bCs/>
          <w:lang w:val="de-DE"/>
        </w:rPr>
        <w:t>MASTER OF SCIENCE IN MANAGEMENT AND SYSTEMS</w:t>
      </w:r>
    </w:p>
    <w:p w14:paraId="71D1313F" w14:textId="77777777" w:rsidR="0030191F" w:rsidRDefault="000828FB">
      <w:pPr>
        <w:pStyle w:val="BodyA"/>
        <w:spacing w:line="276" w:lineRule="auto"/>
        <w:jc w:val="center"/>
      </w:pPr>
      <w:r>
        <w:rPr>
          <w:b/>
          <w:bCs/>
        </w:rPr>
        <w:t>Applied Project Capstone</w:t>
      </w:r>
    </w:p>
    <w:p w14:paraId="015B304E" w14:textId="77777777" w:rsidR="0030191F" w:rsidRDefault="000828FB">
      <w:pPr>
        <w:pStyle w:val="BodyA"/>
        <w:spacing w:line="276" w:lineRule="auto"/>
        <w:jc w:val="center"/>
      </w:pPr>
      <w:r>
        <w:rPr>
          <w:b/>
          <w:bCs/>
          <w:lang w:val="es-ES_tradnl"/>
        </w:rPr>
        <w:t>MASY GC- 4100</w:t>
      </w:r>
    </w:p>
    <w:p w14:paraId="2258E1E6" w14:textId="77777777" w:rsidR="0030191F" w:rsidRDefault="000828FB">
      <w:pPr>
        <w:pStyle w:val="BodyA"/>
        <w:spacing w:line="276" w:lineRule="auto"/>
        <w:jc w:val="center"/>
      </w:pPr>
      <w:r>
        <w:rPr>
          <w:b/>
          <w:bCs/>
          <w:lang w:val="de-DE"/>
        </w:rPr>
        <w:t>MEMORANDUM</w:t>
      </w:r>
    </w:p>
    <w:p w14:paraId="46DF0BEC" w14:textId="77777777" w:rsidR="0030191F" w:rsidRDefault="0030191F">
      <w:pPr>
        <w:pStyle w:val="BodyA"/>
        <w:spacing w:line="276" w:lineRule="auto"/>
      </w:pPr>
    </w:p>
    <w:p w14:paraId="18ED9155" w14:textId="0C66013F" w:rsidR="007E5C6A" w:rsidRPr="00AA6F53" w:rsidRDefault="000828FB">
      <w:pPr>
        <w:pStyle w:val="BodyA"/>
        <w:spacing w:line="276" w:lineRule="auto"/>
      </w:pPr>
      <w:r>
        <w:rPr>
          <w:lang w:val="da-DK"/>
        </w:rPr>
        <w:t>TO:</w:t>
      </w:r>
      <w:r>
        <w:rPr>
          <w:lang w:val="da-DK"/>
        </w:rPr>
        <w:tab/>
      </w:r>
      <w:r>
        <w:rPr>
          <w:b/>
          <w:bCs/>
        </w:rPr>
        <w:tab/>
      </w:r>
      <w:r w:rsidR="00AA6F53">
        <w:t>Damark Group, Dan Stone</w:t>
      </w:r>
    </w:p>
    <w:p w14:paraId="299800F8" w14:textId="42062A4D" w:rsidR="0030191F" w:rsidRDefault="000828FB">
      <w:pPr>
        <w:pStyle w:val="BodyA"/>
        <w:spacing w:line="276" w:lineRule="auto"/>
      </w:pPr>
      <w:r>
        <w:rPr>
          <w:lang w:val="de-DE"/>
        </w:rPr>
        <w:t>FROM:</w:t>
      </w:r>
      <w:r>
        <w:rPr>
          <w:lang w:val="de-DE"/>
        </w:rPr>
        <w:tab/>
      </w:r>
      <w:r w:rsidR="00AA6F53">
        <w:rPr>
          <w:lang w:val="de-DE"/>
        </w:rPr>
        <w:t>Karen Lin</w:t>
      </w:r>
    </w:p>
    <w:p w14:paraId="476A0309" w14:textId="19BED613" w:rsidR="0030191F" w:rsidRDefault="000828FB">
      <w:pPr>
        <w:pStyle w:val="BodyA"/>
        <w:spacing w:line="276" w:lineRule="auto"/>
      </w:pPr>
      <w:r>
        <w:rPr>
          <w:lang w:val="de-DE"/>
        </w:rPr>
        <w:t>DATE:</w:t>
      </w:r>
      <w:r>
        <w:rPr>
          <w:lang w:val="de-DE"/>
        </w:rPr>
        <w:tab/>
      </w:r>
      <w:r>
        <w:rPr>
          <w:lang w:val="de-DE"/>
        </w:rPr>
        <w:tab/>
      </w:r>
      <w:r w:rsidR="00AA6F53">
        <w:t>March 2026</w:t>
      </w:r>
    </w:p>
    <w:p w14:paraId="49033B0C" w14:textId="085EF542" w:rsidR="0030191F" w:rsidRDefault="000828FB">
      <w:pPr>
        <w:pStyle w:val="BodyA"/>
        <w:spacing w:line="276" w:lineRule="auto"/>
        <w:rPr>
          <w:b/>
          <w:bCs/>
        </w:rPr>
      </w:pPr>
      <w:r>
        <w:t>RE:</w:t>
      </w:r>
      <w:r>
        <w:tab/>
      </w:r>
      <w:r>
        <w:tab/>
      </w:r>
      <w:r w:rsidR="0042588C">
        <w:rPr>
          <w:b/>
          <w:bCs/>
        </w:rPr>
        <w:t>Project Requirements Specification</w:t>
      </w:r>
    </w:p>
    <w:p w14:paraId="3DF39FDF" w14:textId="7887E2CE" w:rsidR="0042588C" w:rsidRPr="00AA6F53" w:rsidRDefault="00AA6F53" w:rsidP="00AA6F53">
      <w:pPr>
        <w:pStyle w:val="BodyA"/>
        <w:spacing w:line="276" w:lineRule="auto"/>
        <w:ind w:left="1440"/>
        <w:rPr>
          <w:b/>
          <w:bCs/>
        </w:rPr>
      </w:pPr>
      <w:r w:rsidRPr="00AA6F53">
        <w:rPr>
          <w:b/>
          <w:bCs/>
        </w:rPr>
        <w:t>Optimizing Clinical Operations Through Enterprise Business Analytics at Aquila Health Network</w:t>
      </w:r>
      <w:r w:rsidR="0042588C">
        <w:rPr>
          <w:b/>
          <w:bCs/>
        </w:rPr>
        <w:t xml:space="preserve"> project</w:t>
      </w:r>
    </w:p>
    <w:p w14:paraId="1BFD1FD7" w14:textId="77777777" w:rsidR="0030191F" w:rsidRPr="00AA6F53" w:rsidRDefault="0030191F">
      <w:pPr>
        <w:pStyle w:val="BodyA"/>
        <w:pBdr>
          <w:bottom w:val="single" w:sz="12" w:space="0" w:color="808080"/>
        </w:pBdr>
        <w:spacing w:line="276" w:lineRule="auto"/>
        <w:rPr>
          <w:b/>
          <w:bCs/>
        </w:rPr>
      </w:pPr>
    </w:p>
    <w:p w14:paraId="58BB44D5" w14:textId="263B9105" w:rsidR="0030191F" w:rsidRDefault="0030191F">
      <w:pPr>
        <w:pStyle w:val="BodyA"/>
        <w:spacing w:line="276" w:lineRule="auto"/>
      </w:pPr>
    </w:p>
    <w:p w14:paraId="56373C34" w14:textId="46358EB7" w:rsidR="0042588C" w:rsidRPr="007E5C6A" w:rsidRDefault="007E5C6A">
      <w:pPr>
        <w:pStyle w:val="BodyA"/>
        <w:spacing w:line="276" w:lineRule="auto"/>
        <w:rPr>
          <w:b/>
          <w:bCs/>
        </w:rPr>
      </w:pPr>
      <w:r w:rsidRPr="007E5C6A">
        <w:rPr>
          <w:b/>
          <w:bCs/>
        </w:rPr>
        <w:t>Project Goal</w:t>
      </w:r>
    </w:p>
    <w:p w14:paraId="0FB0E9E3" w14:textId="67AB6C8A" w:rsidR="007E5C6A" w:rsidRDefault="007E5C6A">
      <w:pPr>
        <w:pStyle w:val="BodyA"/>
        <w:spacing w:line="276" w:lineRule="auto"/>
      </w:pPr>
    </w:p>
    <w:p w14:paraId="336D5D49" w14:textId="77777777" w:rsidR="00AA6F53" w:rsidRPr="00AA6F53" w:rsidRDefault="00AA6F53" w:rsidP="00AA6F53">
      <w:pPr>
        <w:spacing w:before="60" w:after="60"/>
      </w:pPr>
      <w:r w:rsidRPr="00AA6F53">
        <w:rPr>
          <w:rFonts w:eastAsia="Arial"/>
          <w:sz w:val="22"/>
          <w:szCs w:val="22"/>
        </w:rPr>
        <w:t>Aquila Health Network is a multi-state outpatient healthcare provider operating 40 clinics across the Northeast United States. The organization serves more than 850,000 patients annually and processes over 3.5 million appointments per year across primary care, urgent care, diagnostic imaging, and specialty consultation services.</w:t>
      </w:r>
    </w:p>
    <w:p w14:paraId="05A09370" w14:textId="77777777" w:rsidR="00AA6F53" w:rsidRPr="00AA6F53" w:rsidRDefault="00AA6F53" w:rsidP="00AA6F53">
      <w:pPr>
        <w:spacing w:before="60" w:after="60"/>
      </w:pPr>
    </w:p>
    <w:p w14:paraId="7C44E1F6" w14:textId="77777777" w:rsidR="00AA6F53" w:rsidRPr="00AA6F53" w:rsidRDefault="00AA6F53" w:rsidP="00AA6F53">
      <w:pPr>
        <w:spacing w:before="60" w:after="60"/>
      </w:pPr>
      <w:r w:rsidRPr="00AA6F53">
        <w:rPr>
          <w:rFonts w:eastAsia="Arial"/>
          <w:sz w:val="22"/>
          <w:szCs w:val="22"/>
        </w:rPr>
        <w:t>Aquila currently lacks a centralized analytics capability, limiting leadership's ability to monitor clinical operations, identify inefficiencies, and act proactively on issues such as high appointment no-show rates, underutilized providers, and delayed patient access.</w:t>
      </w:r>
    </w:p>
    <w:p w14:paraId="799D95FF" w14:textId="77777777" w:rsidR="00AA6F53" w:rsidRPr="00AA6F53" w:rsidRDefault="00AA6F53" w:rsidP="00AA6F53">
      <w:pPr>
        <w:spacing w:before="60" w:after="60"/>
      </w:pPr>
    </w:p>
    <w:p w14:paraId="2D904C9A" w14:textId="77777777" w:rsidR="00AA6F53" w:rsidRPr="00AA6F53" w:rsidRDefault="00AA6F53" w:rsidP="00AA6F53">
      <w:pPr>
        <w:spacing w:before="60" w:after="60"/>
      </w:pPr>
      <w:r w:rsidRPr="00AA6F53">
        <w:rPr>
          <w:rFonts w:eastAsia="Arial"/>
          <w:sz w:val="22"/>
          <w:szCs w:val="22"/>
        </w:rPr>
        <w:t>This project aims to establish a centralized business analytics platform that enables Aquila Health Network leadership to monitor clinical operations, optimize appointment utilization, and proactively manage patient access risk. The platform will be built on a structured data mart using synthetic but realistic clinical operations data and will deliver actionable insights through Power BI executive dashboards and a predictive analytics proof-of-concept.</w:t>
      </w:r>
    </w:p>
    <w:p w14:paraId="44E15298" w14:textId="77777777" w:rsidR="007E5C6A" w:rsidRPr="00AA6F53" w:rsidRDefault="007E5C6A">
      <w:pPr>
        <w:pStyle w:val="BodyA"/>
        <w:spacing w:line="276" w:lineRule="auto"/>
        <w:rPr>
          <w:rFonts w:cs="Times New Roman"/>
        </w:rPr>
      </w:pPr>
    </w:p>
    <w:p w14:paraId="2D50F178" w14:textId="00737064" w:rsidR="007E5C6A" w:rsidRPr="00AA6F53" w:rsidRDefault="007E5C6A">
      <w:pPr>
        <w:pStyle w:val="BodyA"/>
        <w:spacing w:line="276" w:lineRule="auto"/>
        <w:rPr>
          <w:rFonts w:cs="Times New Roman"/>
          <w:b/>
          <w:bCs/>
        </w:rPr>
      </w:pPr>
      <w:r w:rsidRPr="00AA6F53">
        <w:rPr>
          <w:rFonts w:cs="Times New Roman"/>
          <w:b/>
          <w:bCs/>
        </w:rPr>
        <w:t>Requirements Specifications</w:t>
      </w:r>
    </w:p>
    <w:p w14:paraId="12FCD395" w14:textId="132A77B9" w:rsidR="007E5C6A" w:rsidRPr="00AA6F53" w:rsidRDefault="007E5C6A">
      <w:pPr>
        <w:pStyle w:val="BodyA"/>
        <w:spacing w:line="276" w:lineRule="auto"/>
        <w:rPr>
          <w:rFonts w:cs="Times New Roman"/>
        </w:rPr>
      </w:pPr>
    </w:p>
    <w:p w14:paraId="33D90219"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allow consultants (Aquila clinical operations staff) to log into the platform using role-based credentials.</w:t>
      </w:r>
    </w:p>
    <w:p w14:paraId="27323E64"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provide an Executive Summary Dashboard displaying network-level KPIs including no-show rate, provider utilization, referral completion rate, average patient wait time, and appointment revenue.</w:t>
      </w:r>
    </w:p>
    <w:p w14:paraId="4D905CD7"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allow users to filter all dashboards by clinic, specialty, provider, and date range.</w:t>
      </w:r>
    </w:p>
    <w:p w14:paraId="36468E21"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lastRenderedPageBreak/>
        <w:t>The system will display appointment volume, booking patterns, cancellation rates, and no-show rates on the Appointment Analytics Dashboard.</w:t>
      </w:r>
    </w:p>
    <w:p w14:paraId="4BC762A7"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 xml:space="preserve">The system will </w:t>
      </w:r>
      <w:proofErr w:type="gramStart"/>
      <w:r w:rsidRPr="00AA6F53">
        <w:rPr>
          <w:rFonts w:ascii="Times New Roman" w:eastAsia="Arial" w:hAnsi="Times New Roman" w:cs="Times New Roman"/>
          <w:sz w:val="22"/>
          <w:szCs w:val="22"/>
        </w:rPr>
        <w:t>track</w:t>
      </w:r>
      <w:proofErr w:type="gramEnd"/>
      <w:r w:rsidRPr="00AA6F53">
        <w:rPr>
          <w:rFonts w:ascii="Times New Roman" w:eastAsia="Arial" w:hAnsi="Times New Roman" w:cs="Times New Roman"/>
          <w:sz w:val="22"/>
          <w:szCs w:val="22"/>
        </w:rPr>
        <w:t xml:space="preserve"> and display scheduled versus available appointment slots per provider, calculating utilization rates at the provider, clinic, and network levels.</w:t>
      </w:r>
    </w:p>
    <w:p w14:paraId="3B207244"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flag providers whose utilization falls below the 82% target threshold.</w:t>
      </w:r>
    </w:p>
    <w:p w14:paraId="66CC6D1F"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display referral origination, conversion, and completion rates by referral source, specialty, and clinic on the Referral Performance Dashboard.</w:t>
      </w:r>
    </w:p>
    <w:p w14:paraId="4B8336F9"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highlight incomplete referral pathways, including referrals that were initiated but not scheduled, or scheduled but not completed.</w:t>
      </w:r>
    </w:p>
    <w:p w14:paraId="03E0B9D7"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calculate and display average patient wait times from appointment request to first available slot, segmented by clinic, specialty, and urgency category.</w:t>
      </w:r>
    </w:p>
    <w:p w14:paraId="5F46163D"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report appointment-related revenue by service line, clinic, and period, and will link no-show and cancellation rates to estimated revenue impact.</w:t>
      </w:r>
    </w:p>
    <w:p w14:paraId="1ED017A6"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implement a predictive no-show risk scoring model that estimates the probability of appointment no-show based on patient history, appointment type, day and time of appointment, and clinic-level factors.</w:t>
      </w:r>
    </w:p>
    <w:p w14:paraId="30280DF4" w14:textId="77777777" w:rsidR="00AA6F53" w:rsidRPr="00AA6F53" w:rsidRDefault="00AA6F53" w:rsidP="00AA6F53">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no-show risk scores will be visualized in Power BI as a ranked list of upcoming appointments with associated risk factors.</w:t>
      </w:r>
    </w:p>
    <w:p w14:paraId="0BAC0A88"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allow executive users to drill through from the Executive Summary Dashboard to any underlying detail dashboard.</w:t>
      </w:r>
    </w:p>
    <w:p w14:paraId="621CC26B" w14:textId="77777777" w:rsidR="00AA6F53" w:rsidRPr="00AA6F53" w:rsidRDefault="00AA6F53" w:rsidP="00AA6F53">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will allow supervisors to display and export dashboard data to Excel for offline analysis.</w:t>
      </w:r>
    </w:p>
    <w:p w14:paraId="22D8D47A" w14:textId="77777777" w:rsidR="007E5C6A" w:rsidRPr="00AA6F53" w:rsidRDefault="007E5C6A">
      <w:pPr>
        <w:pStyle w:val="BodyA"/>
        <w:spacing w:line="276" w:lineRule="auto"/>
        <w:rPr>
          <w:rFonts w:cs="Times New Roman"/>
        </w:rPr>
      </w:pPr>
    </w:p>
    <w:p w14:paraId="2B0475E2" w14:textId="31AA9882" w:rsidR="007E5C6A" w:rsidRPr="00AA6F53" w:rsidRDefault="007E5C6A">
      <w:pPr>
        <w:pStyle w:val="BodyA"/>
        <w:spacing w:line="276" w:lineRule="auto"/>
        <w:rPr>
          <w:rFonts w:cs="Times New Roman"/>
          <w:b/>
          <w:bCs/>
        </w:rPr>
      </w:pPr>
      <w:r w:rsidRPr="00AA6F53">
        <w:rPr>
          <w:rFonts w:cs="Times New Roman"/>
          <w:b/>
          <w:bCs/>
        </w:rPr>
        <w:t>Use Case</w:t>
      </w:r>
    </w:p>
    <w:p w14:paraId="78A971F0" w14:textId="735C0051" w:rsidR="007E5C6A" w:rsidRPr="00AA6F53" w:rsidRDefault="007E5C6A">
      <w:pPr>
        <w:pStyle w:val="BodyA"/>
        <w:spacing w:line="276" w:lineRule="auto"/>
        <w:rPr>
          <w:rFonts w:cs="Times New Roman"/>
        </w:rPr>
      </w:pPr>
    </w:p>
    <w:p w14:paraId="4A926326" w14:textId="77777777" w:rsidR="00AA6F53" w:rsidRPr="00AA6F53" w:rsidRDefault="00AA6F53" w:rsidP="00AA6F53">
      <w:pPr>
        <w:spacing w:before="200" w:after="100"/>
      </w:pPr>
      <w:r w:rsidRPr="00AA6F53">
        <w:rPr>
          <w:rFonts w:eastAsia="Arial"/>
          <w:b/>
          <w:bCs/>
        </w:rPr>
        <w:t>UC1: Executive Reviews Network Clinical Performance</w:t>
      </w:r>
    </w:p>
    <w:p w14:paraId="6CF28198" w14:textId="77777777" w:rsidR="00AA6F53" w:rsidRPr="00AA6F53" w:rsidRDefault="00AA6F53" w:rsidP="00AA6F53">
      <w:pPr>
        <w:spacing w:before="200" w:after="100"/>
      </w:pPr>
      <w:r w:rsidRPr="00AA6F53">
        <w:rPr>
          <w:rFonts w:eastAsia="Arial"/>
          <w:b/>
          <w:bCs/>
          <w:sz w:val="22"/>
          <w:szCs w:val="22"/>
        </w:rPr>
        <w:t>Actors</w:t>
      </w:r>
    </w:p>
    <w:p w14:paraId="2E62876D" w14:textId="77777777" w:rsidR="00AA6F53" w:rsidRPr="00AA6F53" w:rsidRDefault="00AA6F53" w:rsidP="00AA6F53">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Executive User (Aquila Health Network Senior Leadership)</w:t>
      </w:r>
    </w:p>
    <w:p w14:paraId="14F226F5" w14:textId="77777777" w:rsidR="00AA6F53" w:rsidRPr="00AA6F53" w:rsidRDefault="00AA6F53" w:rsidP="00AA6F53">
      <w:pPr>
        <w:spacing w:before="200" w:after="100"/>
      </w:pPr>
      <w:r w:rsidRPr="00AA6F53">
        <w:rPr>
          <w:rFonts w:eastAsia="Arial"/>
          <w:b/>
          <w:bCs/>
          <w:sz w:val="22"/>
          <w:szCs w:val="22"/>
        </w:rPr>
        <w:t>Purpose and Objectives</w:t>
      </w:r>
    </w:p>
    <w:p w14:paraId="28CD4DFC" w14:textId="77777777" w:rsidR="00AA6F53" w:rsidRPr="00AA6F53" w:rsidRDefault="00AA6F53" w:rsidP="00AA6F53">
      <w:pPr>
        <w:spacing w:before="60" w:after="60"/>
      </w:pPr>
      <w:r w:rsidRPr="00AA6F53">
        <w:rPr>
          <w:rFonts w:eastAsia="Arial"/>
          <w:sz w:val="22"/>
          <w:szCs w:val="22"/>
        </w:rPr>
        <w:t>The executive user reviews the network-wide clinical performance dashboard to monitor KPI status, identify underperforming clinics or providers, and make data-driven operational decisions.</w:t>
      </w:r>
    </w:p>
    <w:p w14:paraId="6735933D" w14:textId="77777777" w:rsidR="00AA6F53" w:rsidRPr="00AA6F53" w:rsidRDefault="00AA6F53" w:rsidP="00AA6F53">
      <w:pPr>
        <w:spacing w:before="200" w:after="100"/>
      </w:pPr>
      <w:r w:rsidRPr="00AA6F53">
        <w:rPr>
          <w:rFonts w:eastAsia="Arial"/>
          <w:b/>
          <w:bCs/>
          <w:sz w:val="22"/>
          <w:szCs w:val="22"/>
        </w:rPr>
        <w:t>Preconditions</w:t>
      </w:r>
    </w:p>
    <w:p w14:paraId="0D5E6B12" w14:textId="77777777" w:rsidR="00AA6F53" w:rsidRPr="00AA6F53" w:rsidRDefault="00AA6F53" w:rsidP="00AA6F53">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Executive user has an active account with appropriate role-based access credentials</w:t>
      </w:r>
    </w:p>
    <w:p w14:paraId="7A3E5831" w14:textId="77777777" w:rsidR="00AA6F53" w:rsidRPr="00AA6F53" w:rsidRDefault="00AA6F53" w:rsidP="00AA6F53">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data mart has been populated with synthetic clinical operations data</w:t>
      </w:r>
    </w:p>
    <w:p w14:paraId="44CA5B04" w14:textId="77777777" w:rsidR="00AA6F53" w:rsidRPr="00AA6F53" w:rsidRDefault="00AA6F53" w:rsidP="00AA6F53">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Power BI Executive Summary Dashboard has been published and is accessible</w:t>
      </w:r>
    </w:p>
    <w:p w14:paraId="22129507" w14:textId="77777777" w:rsidR="00AA6F53" w:rsidRPr="00AA6F53" w:rsidRDefault="00AA6F53" w:rsidP="00AA6F53">
      <w:pPr>
        <w:spacing w:before="200" w:after="100"/>
      </w:pPr>
      <w:r w:rsidRPr="00AA6F53">
        <w:rPr>
          <w:rFonts w:eastAsia="Arial"/>
          <w:b/>
          <w:bCs/>
          <w:sz w:val="22"/>
          <w:szCs w:val="22"/>
        </w:rPr>
        <w:t>Post Conditions</w:t>
      </w:r>
    </w:p>
    <w:p w14:paraId="3DEBE896" w14:textId="77777777" w:rsidR="00AA6F53" w:rsidRPr="00AA6F53" w:rsidRDefault="00AA6F53" w:rsidP="00AA6F53">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executive user has reviewed network-level KPIs and has navigated to at least one detail dashboard for follow-up action</w:t>
      </w:r>
    </w:p>
    <w:p w14:paraId="1E46A16E" w14:textId="77777777" w:rsidR="00AA6F53" w:rsidRPr="00AA6F53" w:rsidRDefault="00AA6F53" w:rsidP="00AA6F53">
      <w:pPr>
        <w:spacing w:before="200" w:after="100"/>
      </w:pPr>
      <w:r w:rsidRPr="00AA6F53">
        <w:rPr>
          <w:rFonts w:eastAsia="Arial"/>
          <w:b/>
          <w:bCs/>
          <w:sz w:val="22"/>
          <w:szCs w:val="22"/>
        </w:rPr>
        <w:t>Use Case Flow</w:t>
      </w:r>
    </w:p>
    <w:p w14:paraId="16ABB1C2" w14:textId="77777777" w:rsidR="00AA6F53" w:rsidRPr="00AA6F53" w:rsidRDefault="00AA6F53" w:rsidP="00AA6F5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Executive user logs into the Power BI analytics platform and opens the Executive Summary Dashboard</w:t>
      </w:r>
    </w:p>
    <w:p w14:paraId="53CF2D2D" w14:textId="77777777" w:rsidR="00AA6F53" w:rsidRPr="00AA6F53" w:rsidRDefault="00AA6F53" w:rsidP="00AA6F5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lastRenderedPageBreak/>
        <w:t>The system displays top-level KPIs: network no-show rate, average provider utilization, referral completion rate, average wait time, and appointment revenue</w:t>
      </w:r>
    </w:p>
    <w:p w14:paraId="4E04FF0C" w14:textId="77777777" w:rsidR="00AA6F53" w:rsidRPr="00AA6F53" w:rsidRDefault="00AA6F53" w:rsidP="00AA6F5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highlights any KPI that is below its target threshold</w:t>
      </w:r>
    </w:p>
    <w:p w14:paraId="30B9582F" w14:textId="77777777" w:rsidR="00AA6F53" w:rsidRPr="00AA6F53" w:rsidRDefault="00AA6F53" w:rsidP="00AA6F5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Executive user reviews performance trends versus prior period and versus targets</w:t>
      </w:r>
    </w:p>
    <w:p w14:paraId="5178E155" w14:textId="77777777" w:rsidR="00AA6F53" w:rsidRPr="00AA6F53" w:rsidRDefault="00AA6F53" w:rsidP="00AA6F5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Executive user selects a KPI tile to drill through to the corresponding detail dashboard</w:t>
      </w:r>
    </w:p>
    <w:p w14:paraId="2569670D" w14:textId="77777777" w:rsidR="00AA6F53" w:rsidRPr="00AA6F53" w:rsidRDefault="00AA6F53" w:rsidP="00AA6F5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loads the detail dashboard with filters pre-applied based on the selected KPI context</w:t>
      </w:r>
    </w:p>
    <w:p w14:paraId="57A32A26" w14:textId="77777777" w:rsidR="00AA6F53" w:rsidRPr="00AA6F53" w:rsidRDefault="00AA6F53" w:rsidP="00AA6F5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If a metric is below target, the system surfaces the lowest-performing clinic(s) for focused review</w:t>
      </w:r>
    </w:p>
    <w:p w14:paraId="2994D823" w14:textId="77777777" w:rsidR="00AA6F53" w:rsidRPr="00AA6F53" w:rsidRDefault="00AA6F53" w:rsidP="00AA6F53">
      <w:pPr>
        <w:spacing w:before="60" w:after="60"/>
      </w:pPr>
    </w:p>
    <w:p w14:paraId="4E347282" w14:textId="77777777" w:rsidR="00AA6F53" w:rsidRPr="00AA6F53" w:rsidRDefault="00AA6F53" w:rsidP="00AA6F53">
      <w:pPr>
        <w:spacing w:before="200" w:after="100"/>
      </w:pPr>
      <w:r w:rsidRPr="00AA6F53">
        <w:rPr>
          <w:rFonts w:eastAsia="Arial"/>
          <w:b/>
          <w:bCs/>
        </w:rPr>
        <w:t>UC2: Clinic Manager Identifies High No-Show Risk Appointments</w:t>
      </w:r>
    </w:p>
    <w:p w14:paraId="4D19BD1E" w14:textId="77777777" w:rsidR="00AA6F53" w:rsidRPr="00AA6F53" w:rsidRDefault="00AA6F53" w:rsidP="00AA6F53">
      <w:pPr>
        <w:spacing w:before="200" w:after="100"/>
      </w:pPr>
      <w:r w:rsidRPr="00AA6F53">
        <w:rPr>
          <w:rFonts w:eastAsia="Arial"/>
          <w:b/>
          <w:bCs/>
          <w:sz w:val="22"/>
          <w:szCs w:val="22"/>
        </w:rPr>
        <w:t>Actors</w:t>
      </w:r>
    </w:p>
    <w:p w14:paraId="6F790435" w14:textId="77777777" w:rsidR="00AA6F53" w:rsidRPr="00AA6F53" w:rsidRDefault="00AA6F53" w:rsidP="00AA6F53">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Clinic Manager</w:t>
      </w:r>
    </w:p>
    <w:p w14:paraId="10A35D11" w14:textId="77777777" w:rsidR="00AA6F53" w:rsidRPr="00AA6F53" w:rsidRDefault="00AA6F53" w:rsidP="00AA6F53">
      <w:pPr>
        <w:spacing w:before="200" w:after="100"/>
      </w:pPr>
      <w:r w:rsidRPr="00AA6F53">
        <w:rPr>
          <w:rFonts w:eastAsia="Arial"/>
          <w:b/>
          <w:bCs/>
          <w:sz w:val="22"/>
          <w:szCs w:val="22"/>
        </w:rPr>
        <w:t>Purpose and Objectives</w:t>
      </w:r>
    </w:p>
    <w:p w14:paraId="663619BC" w14:textId="77777777" w:rsidR="00AA6F53" w:rsidRPr="00AA6F53" w:rsidRDefault="00AA6F53" w:rsidP="00AA6F53">
      <w:pPr>
        <w:spacing w:before="60" w:after="60"/>
      </w:pPr>
      <w:r w:rsidRPr="00AA6F53">
        <w:rPr>
          <w:rFonts w:eastAsia="Arial"/>
          <w:sz w:val="22"/>
          <w:szCs w:val="22"/>
        </w:rPr>
        <w:t xml:space="preserve">The clinic manager reviews upcoming appointments ranked by predicted no-show risk </w:t>
      </w:r>
      <w:proofErr w:type="gramStart"/>
      <w:r w:rsidRPr="00AA6F53">
        <w:rPr>
          <w:rFonts w:eastAsia="Arial"/>
          <w:sz w:val="22"/>
          <w:szCs w:val="22"/>
        </w:rPr>
        <w:t>in order to</w:t>
      </w:r>
      <w:proofErr w:type="gramEnd"/>
      <w:r w:rsidRPr="00AA6F53">
        <w:rPr>
          <w:rFonts w:eastAsia="Arial"/>
          <w:sz w:val="22"/>
          <w:szCs w:val="22"/>
        </w:rPr>
        <w:t xml:space="preserve"> prioritize outreach and intervention efforts before appointments are missed.</w:t>
      </w:r>
    </w:p>
    <w:p w14:paraId="448622DB" w14:textId="77777777" w:rsidR="00AA6F53" w:rsidRPr="00AA6F53" w:rsidRDefault="00AA6F53" w:rsidP="00AA6F53">
      <w:pPr>
        <w:spacing w:before="200" w:after="100"/>
      </w:pPr>
      <w:r w:rsidRPr="00AA6F53">
        <w:rPr>
          <w:rFonts w:eastAsia="Arial"/>
          <w:b/>
          <w:bCs/>
          <w:sz w:val="22"/>
          <w:szCs w:val="22"/>
        </w:rPr>
        <w:t>Preconditions</w:t>
      </w:r>
    </w:p>
    <w:p w14:paraId="68F3F210" w14:textId="77777777" w:rsidR="00AA6F53" w:rsidRPr="00AA6F53" w:rsidRDefault="00AA6F53" w:rsidP="00AA6F53">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Clinic manager has an active account with role-based access to clinic-level dashboards</w:t>
      </w:r>
    </w:p>
    <w:p w14:paraId="719A4D17" w14:textId="77777777" w:rsidR="00AA6F53" w:rsidRPr="00AA6F53" w:rsidRDefault="00AA6F53" w:rsidP="00AA6F53">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 xml:space="preserve">The predictive no-show risk model has been </w:t>
      </w:r>
      <w:proofErr w:type="gramStart"/>
      <w:r w:rsidRPr="00AA6F53">
        <w:rPr>
          <w:rFonts w:ascii="Times New Roman" w:eastAsia="Arial" w:hAnsi="Times New Roman" w:cs="Times New Roman"/>
          <w:sz w:val="22"/>
          <w:szCs w:val="22"/>
        </w:rPr>
        <w:t>executed</w:t>
      </w:r>
      <w:proofErr w:type="gramEnd"/>
      <w:r w:rsidRPr="00AA6F53">
        <w:rPr>
          <w:rFonts w:ascii="Times New Roman" w:eastAsia="Arial" w:hAnsi="Times New Roman" w:cs="Times New Roman"/>
          <w:sz w:val="22"/>
          <w:szCs w:val="22"/>
        </w:rPr>
        <w:t xml:space="preserve"> and scores are loaded into the data mart</w:t>
      </w:r>
    </w:p>
    <w:p w14:paraId="478C602B" w14:textId="77777777" w:rsidR="00AA6F53" w:rsidRPr="00AA6F53" w:rsidRDefault="00AA6F53" w:rsidP="00AA6F53">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Upcoming appointment data for the relevant clinic is current in the system</w:t>
      </w:r>
    </w:p>
    <w:p w14:paraId="6F52325A" w14:textId="77777777" w:rsidR="00AA6F53" w:rsidRPr="00AA6F53" w:rsidRDefault="00AA6F53" w:rsidP="00AA6F53">
      <w:pPr>
        <w:spacing w:before="200" w:after="100"/>
      </w:pPr>
      <w:r w:rsidRPr="00AA6F53">
        <w:rPr>
          <w:rFonts w:eastAsia="Arial"/>
          <w:b/>
          <w:bCs/>
          <w:sz w:val="22"/>
          <w:szCs w:val="22"/>
        </w:rPr>
        <w:t>Post Conditions</w:t>
      </w:r>
    </w:p>
    <w:p w14:paraId="3F6293A4" w14:textId="77777777" w:rsidR="00AA6F53" w:rsidRPr="00AA6F53" w:rsidRDefault="00AA6F53" w:rsidP="00AA6F53">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Clinic manager has a ranked list of high-risk appointments with documented risk drivers available for outreach planning</w:t>
      </w:r>
    </w:p>
    <w:p w14:paraId="43C6D877" w14:textId="77777777" w:rsidR="00AA6F53" w:rsidRPr="00AA6F53" w:rsidRDefault="00AA6F53" w:rsidP="00AA6F53">
      <w:pPr>
        <w:spacing w:before="200" w:after="100"/>
      </w:pPr>
      <w:r w:rsidRPr="00AA6F53">
        <w:rPr>
          <w:rFonts w:eastAsia="Arial"/>
          <w:b/>
          <w:bCs/>
          <w:sz w:val="22"/>
          <w:szCs w:val="22"/>
        </w:rPr>
        <w:t>Use Case Flow</w:t>
      </w:r>
    </w:p>
    <w:p w14:paraId="3E6B178F" w14:textId="77777777" w:rsidR="00AA6F53" w:rsidRPr="00AA6F53" w:rsidRDefault="00AA6F53" w:rsidP="00AA6F53">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Clinic manager logs into the platform and opens the No-Show Risk Dashboard</w:t>
      </w:r>
    </w:p>
    <w:p w14:paraId="2D73A9FC" w14:textId="77777777" w:rsidR="00AA6F53" w:rsidRPr="00AA6F53" w:rsidRDefault="00AA6F53" w:rsidP="00AA6F53">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displays a list of upcoming appointments ranked by predicted no-show probability</w:t>
      </w:r>
    </w:p>
    <w:p w14:paraId="494CE4A4" w14:textId="77777777" w:rsidR="00AA6F53" w:rsidRPr="00AA6F53" w:rsidRDefault="00AA6F53" w:rsidP="00AA6F53">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Clinic manager applies filters for clinic, provider, or appointment date range</w:t>
      </w:r>
    </w:p>
    <w:p w14:paraId="25EC34FB" w14:textId="77777777" w:rsidR="00AA6F53" w:rsidRPr="00AA6F53" w:rsidRDefault="00AA6F53" w:rsidP="00AA6F53">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The system displays the key risk factors contributing to each appointment's risk score (e.g., prior no-show history, appointment type, lead time)</w:t>
      </w:r>
    </w:p>
    <w:p w14:paraId="71B94D02" w14:textId="77777777" w:rsidR="00AA6F53" w:rsidRPr="00AA6F53" w:rsidRDefault="00AA6F53" w:rsidP="00AA6F53">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Clinic manager identifies high-priority appointments for proactive reminder or outreach</w:t>
      </w:r>
    </w:p>
    <w:p w14:paraId="6CCC3F08" w14:textId="77777777" w:rsidR="00AA6F53" w:rsidRPr="00AA6F53" w:rsidRDefault="00AA6F53" w:rsidP="00AA6F53">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40" w:after="40"/>
        <w:rPr>
          <w:rFonts w:ascii="Times New Roman" w:hAnsi="Times New Roman" w:cs="Times New Roman"/>
        </w:rPr>
      </w:pPr>
      <w:r w:rsidRPr="00AA6F53">
        <w:rPr>
          <w:rFonts w:ascii="Times New Roman" w:eastAsia="Arial" w:hAnsi="Times New Roman" w:cs="Times New Roman"/>
          <w:sz w:val="22"/>
          <w:szCs w:val="22"/>
        </w:rPr>
        <w:t>EXPORT: Clinic manager can export the high-risk appointment list to Excel for use in outreach workflows outside of the platform</w:t>
      </w:r>
    </w:p>
    <w:p w14:paraId="74E31FBA" w14:textId="77777777" w:rsidR="007E5C6A" w:rsidRDefault="007E5C6A">
      <w:pPr>
        <w:pStyle w:val="BodyA"/>
        <w:spacing w:line="276" w:lineRule="auto"/>
      </w:pPr>
    </w:p>
    <w:sectPr w:rsidR="007E5C6A">
      <w:headerReference w:type="default" r:id="rId8"/>
      <w:footerReference w:type="default" r:id="rId9"/>
      <w:pgSz w:w="12240" w:h="15840"/>
      <w:pgMar w:top="1206" w:right="1260" w:bottom="123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7E7FC" w14:textId="77777777" w:rsidR="009906A3" w:rsidRDefault="009906A3">
      <w:r>
        <w:separator/>
      </w:r>
    </w:p>
  </w:endnote>
  <w:endnote w:type="continuationSeparator" w:id="0">
    <w:p w14:paraId="5F0DC0D6" w14:textId="77777777" w:rsidR="009906A3" w:rsidRDefault="00990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2C99" w14:textId="77777777" w:rsidR="0030191F" w:rsidRDefault="0030191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5C638" w14:textId="77777777" w:rsidR="009906A3" w:rsidRDefault="009906A3">
      <w:r>
        <w:separator/>
      </w:r>
    </w:p>
  </w:footnote>
  <w:footnote w:type="continuationSeparator" w:id="0">
    <w:p w14:paraId="53AA0865" w14:textId="77777777" w:rsidR="009906A3" w:rsidRDefault="00990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1FBEB" w14:textId="77777777" w:rsidR="0030191F" w:rsidRDefault="0030191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487"/>
    <w:multiLevelType w:val="hybridMultilevel"/>
    <w:tmpl w:val="8A4E77FA"/>
    <w:lvl w:ilvl="0" w:tplc="1E305F56">
      <w:start w:val="1"/>
      <w:numFmt w:val="lowerLetter"/>
      <w:lvlText w:val="%1."/>
      <w:lvlJc w:val="left"/>
      <w:pPr>
        <w:ind w:left="1080" w:hanging="360"/>
      </w:pPr>
    </w:lvl>
    <w:lvl w:ilvl="1" w:tplc="BEC8B302">
      <w:numFmt w:val="decimal"/>
      <w:lvlText w:val=""/>
      <w:lvlJc w:val="left"/>
    </w:lvl>
    <w:lvl w:ilvl="2" w:tplc="F044117C">
      <w:numFmt w:val="decimal"/>
      <w:lvlText w:val=""/>
      <w:lvlJc w:val="left"/>
    </w:lvl>
    <w:lvl w:ilvl="3" w:tplc="0004E338">
      <w:numFmt w:val="decimal"/>
      <w:lvlText w:val=""/>
      <w:lvlJc w:val="left"/>
    </w:lvl>
    <w:lvl w:ilvl="4" w:tplc="787CA390">
      <w:numFmt w:val="decimal"/>
      <w:lvlText w:val=""/>
      <w:lvlJc w:val="left"/>
    </w:lvl>
    <w:lvl w:ilvl="5" w:tplc="532C1704">
      <w:numFmt w:val="decimal"/>
      <w:lvlText w:val=""/>
      <w:lvlJc w:val="left"/>
    </w:lvl>
    <w:lvl w:ilvl="6" w:tplc="4BD0F65A">
      <w:numFmt w:val="decimal"/>
      <w:lvlText w:val=""/>
      <w:lvlJc w:val="left"/>
    </w:lvl>
    <w:lvl w:ilvl="7" w:tplc="5D5E6F4A">
      <w:numFmt w:val="decimal"/>
      <w:lvlText w:val=""/>
      <w:lvlJc w:val="left"/>
    </w:lvl>
    <w:lvl w:ilvl="8" w:tplc="D828F996">
      <w:numFmt w:val="decimal"/>
      <w:lvlText w:val=""/>
      <w:lvlJc w:val="left"/>
    </w:lvl>
  </w:abstractNum>
  <w:abstractNum w:abstractNumId="1" w15:restartNumberingAfterBreak="0">
    <w:nsid w:val="1F08287F"/>
    <w:multiLevelType w:val="hybridMultilevel"/>
    <w:tmpl w:val="8AB604D8"/>
    <w:lvl w:ilvl="0" w:tplc="1AB889F6">
      <w:start w:val="1"/>
      <w:numFmt w:val="lowerLetter"/>
      <w:lvlText w:val="%1."/>
      <w:lvlJc w:val="left"/>
      <w:pPr>
        <w:ind w:left="1080" w:hanging="360"/>
      </w:pPr>
    </w:lvl>
    <w:lvl w:ilvl="1" w:tplc="497C855E">
      <w:numFmt w:val="decimal"/>
      <w:lvlText w:val=""/>
      <w:lvlJc w:val="left"/>
    </w:lvl>
    <w:lvl w:ilvl="2" w:tplc="D072305E">
      <w:numFmt w:val="decimal"/>
      <w:lvlText w:val=""/>
      <w:lvlJc w:val="left"/>
    </w:lvl>
    <w:lvl w:ilvl="3" w:tplc="E31EA514">
      <w:numFmt w:val="decimal"/>
      <w:lvlText w:val=""/>
      <w:lvlJc w:val="left"/>
    </w:lvl>
    <w:lvl w:ilvl="4" w:tplc="77DEFD04">
      <w:numFmt w:val="decimal"/>
      <w:lvlText w:val=""/>
      <w:lvlJc w:val="left"/>
    </w:lvl>
    <w:lvl w:ilvl="5" w:tplc="12D00C82">
      <w:numFmt w:val="decimal"/>
      <w:lvlText w:val=""/>
      <w:lvlJc w:val="left"/>
    </w:lvl>
    <w:lvl w:ilvl="6" w:tplc="563CB60E">
      <w:numFmt w:val="decimal"/>
      <w:lvlText w:val=""/>
      <w:lvlJc w:val="left"/>
    </w:lvl>
    <w:lvl w:ilvl="7" w:tplc="A42258E0">
      <w:numFmt w:val="decimal"/>
      <w:lvlText w:val=""/>
      <w:lvlJc w:val="left"/>
    </w:lvl>
    <w:lvl w:ilvl="8" w:tplc="DE10CB0E">
      <w:numFmt w:val="decimal"/>
      <w:lvlText w:val=""/>
      <w:lvlJc w:val="left"/>
    </w:lvl>
  </w:abstractNum>
  <w:abstractNum w:abstractNumId="2" w15:restartNumberingAfterBreak="0">
    <w:nsid w:val="22FA09DF"/>
    <w:multiLevelType w:val="hybridMultilevel"/>
    <w:tmpl w:val="B38EF284"/>
    <w:styleLink w:val="ImportedStyle2"/>
    <w:lvl w:ilvl="0" w:tplc="6054E562">
      <w:start w:val="1"/>
      <w:numFmt w:val="decimal"/>
      <w:lvlText w:val="%1."/>
      <w:lvlJc w:val="left"/>
      <w:pPr>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1" w:tplc="9460B952">
      <w:start w:val="1"/>
      <w:numFmt w:val="lowerLetter"/>
      <w:lvlText w:val="%2."/>
      <w:lvlJc w:val="left"/>
      <w:pPr>
        <w:ind w:left="14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2" w:tplc="18A8231A">
      <w:start w:val="1"/>
      <w:numFmt w:val="lowerRoman"/>
      <w:lvlText w:val="%3."/>
      <w:lvlJc w:val="left"/>
      <w:pPr>
        <w:ind w:left="2160" w:hanging="300"/>
      </w:pPr>
      <w:rPr>
        <w:rFonts w:hAnsi="Arial Unicode MS"/>
        <w:i/>
        <w:iCs/>
        <w:caps w:val="0"/>
        <w:smallCaps w:val="0"/>
        <w:strike w:val="0"/>
        <w:dstrike w:val="0"/>
        <w:outline w:val="0"/>
        <w:emboss w:val="0"/>
        <w:imprint w:val="0"/>
        <w:spacing w:val="0"/>
        <w:w w:val="100"/>
        <w:kern w:val="0"/>
        <w:position w:val="0"/>
        <w:highlight w:val="none"/>
        <w:vertAlign w:val="baseline"/>
      </w:rPr>
    </w:lvl>
    <w:lvl w:ilvl="3" w:tplc="26CE2BFC">
      <w:start w:val="1"/>
      <w:numFmt w:val="decimal"/>
      <w:lvlText w:val="%4."/>
      <w:lvlJc w:val="left"/>
      <w:pPr>
        <w:ind w:left="288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4" w:tplc="BDDC3494">
      <w:start w:val="1"/>
      <w:numFmt w:val="lowerLetter"/>
      <w:lvlText w:val="%5."/>
      <w:lvlJc w:val="left"/>
      <w:pPr>
        <w:ind w:left="360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5" w:tplc="7EEA4CD4">
      <w:start w:val="1"/>
      <w:numFmt w:val="lowerRoman"/>
      <w:lvlText w:val="%6."/>
      <w:lvlJc w:val="left"/>
      <w:pPr>
        <w:ind w:left="4320" w:hanging="300"/>
      </w:pPr>
      <w:rPr>
        <w:rFonts w:hAnsi="Arial Unicode MS"/>
        <w:i/>
        <w:iCs/>
        <w:caps w:val="0"/>
        <w:smallCaps w:val="0"/>
        <w:strike w:val="0"/>
        <w:dstrike w:val="0"/>
        <w:outline w:val="0"/>
        <w:emboss w:val="0"/>
        <w:imprint w:val="0"/>
        <w:spacing w:val="0"/>
        <w:w w:val="100"/>
        <w:kern w:val="0"/>
        <w:position w:val="0"/>
        <w:highlight w:val="none"/>
        <w:vertAlign w:val="baseline"/>
      </w:rPr>
    </w:lvl>
    <w:lvl w:ilvl="6" w:tplc="CC28ACD4">
      <w:start w:val="1"/>
      <w:numFmt w:val="decimal"/>
      <w:lvlText w:val="%7."/>
      <w:lvlJc w:val="left"/>
      <w:pPr>
        <w:ind w:left="50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7" w:tplc="E11A4C3A">
      <w:start w:val="1"/>
      <w:numFmt w:val="lowerLetter"/>
      <w:lvlText w:val="%8."/>
      <w:lvlJc w:val="left"/>
      <w:pPr>
        <w:ind w:left="57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8" w:tplc="AC1081D2">
      <w:start w:val="1"/>
      <w:numFmt w:val="lowerRoman"/>
      <w:lvlText w:val="%9."/>
      <w:lvlJc w:val="left"/>
      <w:pPr>
        <w:ind w:left="6480" w:hanging="300"/>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6291B43"/>
    <w:multiLevelType w:val="hybridMultilevel"/>
    <w:tmpl w:val="EE445B54"/>
    <w:numStyleLink w:val="ImportedStyle1"/>
  </w:abstractNum>
  <w:abstractNum w:abstractNumId="4" w15:restartNumberingAfterBreak="0">
    <w:nsid w:val="33697D52"/>
    <w:multiLevelType w:val="hybridMultilevel"/>
    <w:tmpl w:val="EE445B54"/>
    <w:styleLink w:val="ImportedStyle1"/>
    <w:lvl w:ilvl="0" w:tplc="29E6C14C">
      <w:start w:val="1"/>
      <w:numFmt w:val="decimal"/>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3089BE">
      <w:start w:val="1"/>
      <w:numFmt w:val="lowerLetter"/>
      <w:lvlText w:val="%2."/>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C7C4EE8">
      <w:start w:val="1"/>
      <w:numFmt w:val="lowerRoman"/>
      <w:lvlText w:val="%3."/>
      <w:lvlJc w:val="left"/>
      <w:pPr>
        <w:ind w:left="288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B1F0CEA2">
      <w:start w:val="1"/>
      <w:numFmt w:val="decimal"/>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CBECCD8">
      <w:start w:val="1"/>
      <w:numFmt w:val="lowerLetter"/>
      <w:lvlText w:val="%5."/>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5DCC642">
      <w:start w:val="1"/>
      <w:numFmt w:val="lowerRoman"/>
      <w:lvlText w:val="%6."/>
      <w:lvlJc w:val="left"/>
      <w:pPr>
        <w:ind w:left="504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83C8FFCA">
      <w:start w:val="1"/>
      <w:numFmt w:val="decimal"/>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00C53E6">
      <w:start w:val="1"/>
      <w:numFmt w:val="lowerLetter"/>
      <w:lvlText w:val="%8."/>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55EC158">
      <w:start w:val="1"/>
      <w:numFmt w:val="lowerRoman"/>
      <w:lvlText w:val="%9."/>
      <w:lvlJc w:val="left"/>
      <w:pPr>
        <w:ind w:left="720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85F48D4"/>
    <w:multiLevelType w:val="hybridMultilevel"/>
    <w:tmpl w:val="7236EB06"/>
    <w:lvl w:ilvl="0" w:tplc="C346E160">
      <w:start w:val="1"/>
      <w:numFmt w:val="bullet"/>
      <w:lvlText w:val="•"/>
      <w:lvlJc w:val="left"/>
      <w:pPr>
        <w:ind w:left="720" w:hanging="360"/>
      </w:pPr>
    </w:lvl>
    <w:lvl w:ilvl="1" w:tplc="A1B8A574">
      <w:numFmt w:val="decimal"/>
      <w:lvlText w:val=""/>
      <w:lvlJc w:val="left"/>
    </w:lvl>
    <w:lvl w:ilvl="2" w:tplc="DAEAFE08">
      <w:numFmt w:val="decimal"/>
      <w:lvlText w:val=""/>
      <w:lvlJc w:val="left"/>
    </w:lvl>
    <w:lvl w:ilvl="3" w:tplc="44087742">
      <w:numFmt w:val="decimal"/>
      <w:lvlText w:val=""/>
      <w:lvlJc w:val="left"/>
    </w:lvl>
    <w:lvl w:ilvl="4" w:tplc="8C7CDA6E">
      <w:numFmt w:val="decimal"/>
      <w:lvlText w:val=""/>
      <w:lvlJc w:val="left"/>
    </w:lvl>
    <w:lvl w:ilvl="5" w:tplc="49BE6564">
      <w:numFmt w:val="decimal"/>
      <w:lvlText w:val=""/>
      <w:lvlJc w:val="left"/>
    </w:lvl>
    <w:lvl w:ilvl="6" w:tplc="34040D96">
      <w:numFmt w:val="decimal"/>
      <w:lvlText w:val=""/>
      <w:lvlJc w:val="left"/>
    </w:lvl>
    <w:lvl w:ilvl="7" w:tplc="6F06D86C">
      <w:numFmt w:val="decimal"/>
      <w:lvlText w:val=""/>
      <w:lvlJc w:val="left"/>
    </w:lvl>
    <w:lvl w:ilvl="8" w:tplc="54B28BCE">
      <w:numFmt w:val="decimal"/>
      <w:lvlText w:val=""/>
      <w:lvlJc w:val="left"/>
    </w:lvl>
  </w:abstractNum>
  <w:abstractNum w:abstractNumId="6" w15:restartNumberingAfterBreak="0">
    <w:nsid w:val="3D256257"/>
    <w:multiLevelType w:val="hybridMultilevel"/>
    <w:tmpl w:val="D2D24604"/>
    <w:styleLink w:val="ImportedStyle3"/>
    <w:lvl w:ilvl="0" w:tplc="7502470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630B3E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F028DF4">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410E45A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966D14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95C0688">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FFA664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22A442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5D4F1C0">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0FA6E4B"/>
    <w:multiLevelType w:val="hybridMultilevel"/>
    <w:tmpl w:val="E04E9C90"/>
    <w:lvl w:ilvl="0" w:tplc="C1267C8C">
      <w:start w:val="1"/>
      <w:numFmt w:val="decimal"/>
      <w:lvlText w:val="%1."/>
      <w:lvlJc w:val="left"/>
      <w:pPr>
        <w:ind w:left="720" w:hanging="360"/>
      </w:pPr>
    </w:lvl>
    <w:lvl w:ilvl="1" w:tplc="672C7DD2">
      <w:numFmt w:val="decimal"/>
      <w:lvlText w:val=""/>
      <w:lvlJc w:val="left"/>
    </w:lvl>
    <w:lvl w:ilvl="2" w:tplc="51FEF58E">
      <w:numFmt w:val="decimal"/>
      <w:lvlText w:val=""/>
      <w:lvlJc w:val="left"/>
    </w:lvl>
    <w:lvl w:ilvl="3" w:tplc="ECA07ACA">
      <w:numFmt w:val="decimal"/>
      <w:lvlText w:val=""/>
      <w:lvlJc w:val="left"/>
    </w:lvl>
    <w:lvl w:ilvl="4" w:tplc="165E5E46">
      <w:numFmt w:val="decimal"/>
      <w:lvlText w:val=""/>
      <w:lvlJc w:val="left"/>
    </w:lvl>
    <w:lvl w:ilvl="5" w:tplc="2E1406FA">
      <w:numFmt w:val="decimal"/>
      <w:lvlText w:val=""/>
      <w:lvlJc w:val="left"/>
    </w:lvl>
    <w:lvl w:ilvl="6" w:tplc="1606531E">
      <w:numFmt w:val="decimal"/>
      <w:lvlText w:val=""/>
      <w:lvlJc w:val="left"/>
    </w:lvl>
    <w:lvl w:ilvl="7" w:tplc="FCF6F62E">
      <w:numFmt w:val="decimal"/>
      <w:lvlText w:val=""/>
      <w:lvlJc w:val="left"/>
    </w:lvl>
    <w:lvl w:ilvl="8" w:tplc="FA4CDF02">
      <w:numFmt w:val="decimal"/>
      <w:lvlText w:val=""/>
      <w:lvlJc w:val="left"/>
    </w:lvl>
  </w:abstractNum>
  <w:abstractNum w:abstractNumId="8" w15:restartNumberingAfterBreak="0">
    <w:nsid w:val="48A35294"/>
    <w:multiLevelType w:val="hybridMultilevel"/>
    <w:tmpl w:val="78E0C6D6"/>
    <w:lvl w:ilvl="0" w:tplc="909072F2">
      <w:start w:val="1"/>
      <w:numFmt w:val="lowerLetter"/>
      <w:lvlText w:val="%1."/>
      <w:lvlJc w:val="left"/>
      <w:pPr>
        <w:ind w:left="1080" w:hanging="360"/>
      </w:pPr>
    </w:lvl>
    <w:lvl w:ilvl="1" w:tplc="0982F96E">
      <w:numFmt w:val="decimal"/>
      <w:lvlText w:val=""/>
      <w:lvlJc w:val="left"/>
    </w:lvl>
    <w:lvl w:ilvl="2" w:tplc="8FE4A34A">
      <w:numFmt w:val="decimal"/>
      <w:lvlText w:val=""/>
      <w:lvlJc w:val="left"/>
    </w:lvl>
    <w:lvl w:ilvl="3" w:tplc="D45661FE">
      <w:numFmt w:val="decimal"/>
      <w:lvlText w:val=""/>
      <w:lvlJc w:val="left"/>
    </w:lvl>
    <w:lvl w:ilvl="4" w:tplc="B0006290">
      <w:numFmt w:val="decimal"/>
      <w:lvlText w:val=""/>
      <w:lvlJc w:val="left"/>
    </w:lvl>
    <w:lvl w:ilvl="5" w:tplc="8A30FF50">
      <w:numFmt w:val="decimal"/>
      <w:lvlText w:val=""/>
      <w:lvlJc w:val="left"/>
    </w:lvl>
    <w:lvl w:ilvl="6" w:tplc="54D49C94">
      <w:numFmt w:val="decimal"/>
      <w:lvlText w:val=""/>
      <w:lvlJc w:val="left"/>
    </w:lvl>
    <w:lvl w:ilvl="7" w:tplc="5D9470DC">
      <w:numFmt w:val="decimal"/>
      <w:lvlText w:val=""/>
      <w:lvlJc w:val="left"/>
    </w:lvl>
    <w:lvl w:ilvl="8" w:tplc="296C9D24">
      <w:numFmt w:val="decimal"/>
      <w:lvlText w:val=""/>
      <w:lvlJc w:val="left"/>
    </w:lvl>
  </w:abstractNum>
  <w:abstractNum w:abstractNumId="9" w15:restartNumberingAfterBreak="0">
    <w:nsid w:val="6D064EA1"/>
    <w:multiLevelType w:val="hybridMultilevel"/>
    <w:tmpl w:val="B38EF284"/>
    <w:numStyleLink w:val="ImportedStyle2"/>
  </w:abstractNum>
  <w:abstractNum w:abstractNumId="10" w15:restartNumberingAfterBreak="0">
    <w:nsid w:val="72C71CD8"/>
    <w:multiLevelType w:val="hybridMultilevel"/>
    <w:tmpl w:val="9B0ED064"/>
    <w:styleLink w:val="ImportedStyle4"/>
    <w:lvl w:ilvl="0" w:tplc="16029C9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2E0934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D441C68">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38CEB17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5B6134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E167780">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044C504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10A2AA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3FA2CBC">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7141EA2"/>
    <w:multiLevelType w:val="hybridMultilevel"/>
    <w:tmpl w:val="C6ECDB5E"/>
    <w:lvl w:ilvl="0" w:tplc="377280A0">
      <w:start w:val="1"/>
      <w:numFmt w:val="decimal"/>
      <w:lvlText w:val="%1."/>
      <w:lvlJc w:val="left"/>
      <w:pPr>
        <w:ind w:left="720" w:hanging="360"/>
      </w:pPr>
    </w:lvl>
    <w:lvl w:ilvl="1" w:tplc="037ABE9C">
      <w:numFmt w:val="decimal"/>
      <w:lvlText w:val=""/>
      <w:lvlJc w:val="left"/>
    </w:lvl>
    <w:lvl w:ilvl="2" w:tplc="DE609A3E">
      <w:numFmt w:val="decimal"/>
      <w:lvlText w:val=""/>
      <w:lvlJc w:val="left"/>
    </w:lvl>
    <w:lvl w:ilvl="3" w:tplc="ECBEEABA">
      <w:numFmt w:val="decimal"/>
      <w:lvlText w:val=""/>
      <w:lvlJc w:val="left"/>
    </w:lvl>
    <w:lvl w:ilvl="4" w:tplc="9AD2CEE2">
      <w:numFmt w:val="decimal"/>
      <w:lvlText w:val=""/>
      <w:lvlJc w:val="left"/>
    </w:lvl>
    <w:lvl w:ilvl="5" w:tplc="3984E742">
      <w:numFmt w:val="decimal"/>
      <w:lvlText w:val=""/>
      <w:lvlJc w:val="left"/>
    </w:lvl>
    <w:lvl w:ilvl="6" w:tplc="527CD046">
      <w:numFmt w:val="decimal"/>
      <w:lvlText w:val=""/>
      <w:lvlJc w:val="left"/>
    </w:lvl>
    <w:lvl w:ilvl="7" w:tplc="C97C1E2A">
      <w:numFmt w:val="decimal"/>
      <w:lvlText w:val=""/>
      <w:lvlJc w:val="left"/>
    </w:lvl>
    <w:lvl w:ilvl="8" w:tplc="7FB0F496">
      <w:numFmt w:val="decimal"/>
      <w:lvlText w:val=""/>
      <w:lvlJc w:val="left"/>
    </w:lvl>
  </w:abstractNum>
  <w:abstractNum w:abstractNumId="12" w15:restartNumberingAfterBreak="0">
    <w:nsid w:val="77414490"/>
    <w:multiLevelType w:val="hybridMultilevel"/>
    <w:tmpl w:val="0EDEAC06"/>
    <w:lvl w:ilvl="0" w:tplc="178479BC">
      <w:start w:val="1"/>
      <w:numFmt w:val="decimal"/>
      <w:lvlText w:val="%1."/>
      <w:lvlJc w:val="left"/>
      <w:pPr>
        <w:ind w:left="720" w:hanging="360"/>
      </w:pPr>
    </w:lvl>
    <w:lvl w:ilvl="1" w:tplc="82F8CD88">
      <w:numFmt w:val="decimal"/>
      <w:lvlText w:val=""/>
      <w:lvlJc w:val="left"/>
    </w:lvl>
    <w:lvl w:ilvl="2" w:tplc="89E0D89A">
      <w:numFmt w:val="decimal"/>
      <w:lvlText w:val=""/>
      <w:lvlJc w:val="left"/>
    </w:lvl>
    <w:lvl w:ilvl="3" w:tplc="26C82C94">
      <w:numFmt w:val="decimal"/>
      <w:lvlText w:val=""/>
      <w:lvlJc w:val="left"/>
    </w:lvl>
    <w:lvl w:ilvl="4" w:tplc="B0B46A72">
      <w:numFmt w:val="decimal"/>
      <w:lvlText w:val=""/>
      <w:lvlJc w:val="left"/>
    </w:lvl>
    <w:lvl w:ilvl="5" w:tplc="018A8D72">
      <w:numFmt w:val="decimal"/>
      <w:lvlText w:val=""/>
      <w:lvlJc w:val="left"/>
    </w:lvl>
    <w:lvl w:ilvl="6" w:tplc="C74C59CA">
      <w:numFmt w:val="decimal"/>
      <w:lvlText w:val=""/>
      <w:lvlJc w:val="left"/>
    </w:lvl>
    <w:lvl w:ilvl="7" w:tplc="375AE044">
      <w:numFmt w:val="decimal"/>
      <w:lvlText w:val=""/>
      <w:lvlJc w:val="left"/>
    </w:lvl>
    <w:lvl w:ilvl="8" w:tplc="3D7E8502">
      <w:numFmt w:val="decimal"/>
      <w:lvlText w:val=""/>
      <w:lvlJc w:val="left"/>
    </w:lvl>
  </w:abstractNum>
  <w:abstractNum w:abstractNumId="13" w15:restartNumberingAfterBreak="0">
    <w:nsid w:val="7A4741ED"/>
    <w:multiLevelType w:val="hybridMultilevel"/>
    <w:tmpl w:val="D2D24604"/>
    <w:numStyleLink w:val="ImportedStyle3"/>
  </w:abstractNum>
  <w:abstractNum w:abstractNumId="14" w15:restartNumberingAfterBreak="0">
    <w:nsid w:val="7E612242"/>
    <w:multiLevelType w:val="hybridMultilevel"/>
    <w:tmpl w:val="9B0ED064"/>
    <w:numStyleLink w:val="ImportedStyle4"/>
  </w:abstractNum>
  <w:num w:numId="1" w16cid:durableId="843402559">
    <w:abstractNumId w:val="4"/>
  </w:num>
  <w:num w:numId="2" w16cid:durableId="398867207">
    <w:abstractNumId w:val="3"/>
  </w:num>
  <w:num w:numId="3" w16cid:durableId="846484635">
    <w:abstractNumId w:val="2"/>
  </w:num>
  <w:num w:numId="4" w16cid:durableId="1382829350">
    <w:abstractNumId w:val="9"/>
  </w:num>
  <w:num w:numId="5" w16cid:durableId="332076998">
    <w:abstractNumId w:val="6"/>
  </w:num>
  <w:num w:numId="6" w16cid:durableId="1327784812">
    <w:abstractNumId w:val="13"/>
  </w:num>
  <w:num w:numId="7" w16cid:durableId="1693916159">
    <w:abstractNumId w:val="10"/>
  </w:num>
  <w:num w:numId="8" w16cid:durableId="18161828">
    <w:abstractNumId w:val="14"/>
  </w:num>
  <w:num w:numId="9" w16cid:durableId="1225680835">
    <w:abstractNumId w:val="7"/>
    <w:lvlOverride w:ilvl="0">
      <w:startOverride w:val="1"/>
    </w:lvlOverride>
  </w:num>
  <w:num w:numId="10" w16cid:durableId="387998929">
    <w:abstractNumId w:val="8"/>
    <w:lvlOverride w:ilvl="0">
      <w:startOverride w:val="1"/>
    </w:lvlOverride>
  </w:num>
  <w:num w:numId="11" w16cid:durableId="2125880690">
    <w:abstractNumId w:val="5"/>
    <w:lvlOverride w:ilvl="0">
      <w:startOverride w:val="1"/>
    </w:lvlOverride>
  </w:num>
  <w:num w:numId="12" w16cid:durableId="1680348888">
    <w:abstractNumId w:val="12"/>
    <w:lvlOverride w:ilvl="0">
      <w:startOverride w:val="1"/>
    </w:lvlOverride>
  </w:num>
  <w:num w:numId="13" w16cid:durableId="1196163719">
    <w:abstractNumId w:val="1"/>
    <w:lvlOverride w:ilvl="0">
      <w:startOverride w:val="1"/>
    </w:lvlOverride>
  </w:num>
  <w:num w:numId="14" w16cid:durableId="2146193484">
    <w:abstractNumId w:val="11"/>
    <w:lvlOverride w:ilvl="0">
      <w:startOverride w:val="1"/>
    </w:lvlOverride>
  </w:num>
  <w:num w:numId="15" w16cid:durableId="1116484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91F"/>
    <w:rsid w:val="000828FB"/>
    <w:rsid w:val="001C2D18"/>
    <w:rsid w:val="00271CB3"/>
    <w:rsid w:val="0030191F"/>
    <w:rsid w:val="00374DE2"/>
    <w:rsid w:val="003E3539"/>
    <w:rsid w:val="0042588C"/>
    <w:rsid w:val="006C642E"/>
    <w:rsid w:val="006D4CC4"/>
    <w:rsid w:val="006E05FA"/>
    <w:rsid w:val="0073760D"/>
    <w:rsid w:val="007E35FF"/>
    <w:rsid w:val="007E5C6A"/>
    <w:rsid w:val="008A1449"/>
    <w:rsid w:val="00903799"/>
    <w:rsid w:val="009906A3"/>
    <w:rsid w:val="00A0593F"/>
    <w:rsid w:val="00A901B7"/>
    <w:rsid w:val="00AA6F53"/>
    <w:rsid w:val="00AC4680"/>
    <w:rsid w:val="00B8613C"/>
    <w:rsid w:val="00BE2389"/>
    <w:rsid w:val="00C60F8B"/>
    <w:rsid w:val="00C84630"/>
    <w:rsid w:val="00E44315"/>
    <w:rsid w:val="00E772B5"/>
    <w:rsid w:val="00F47AF6"/>
    <w:rsid w:val="00F51A42"/>
    <w:rsid w:val="00FD52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DE5BF"/>
  <w15:docId w15:val="{F69C4645-BD2A-684D-A9BB-EDA3593C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cs="Arial Unicode MS"/>
      <w:color w:val="000000"/>
      <w:sz w:val="24"/>
      <w:szCs w:val="24"/>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rPr>
  </w:style>
  <w:style w:type="paragraph" w:styleId="ListParagraph">
    <w:name w:val="List Paragraph"/>
    <w:qFormat/>
    <w:pPr>
      <w:ind w:left="720"/>
    </w:pPr>
    <w:rPr>
      <w:rFonts w:ascii="Calibri" w:hAnsi="Calibri" w:cs="Arial Unicode MS"/>
      <w:color w:val="000000"/>
      <w:sz w:val="24"/>
      <w:szCs w:val="24"/>
      <w:u w:color="000000"/>
    </w:rPr>
  </w:style>
  <w:style w:type="numbering" w:customStyle="1" w:styleId="ImportedStyle1">
    <w:name w:val="Imported Style 1"/>
    <w:pPr>
      <w:numPr>
        <w:numId w:val="1"/>
      </w:numPr>
    </w:p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628047">
      <w:bodyDiv w:val="1"/>
      <w:marLeft w:val="0"/>
      <w:marRight w:val="0"/>
      <w:marTop w:val="0"/>
      <w:marBottom w:val="0"/>
      <w:divBdr>
        <w:top w:val="none" w:sz="0" w:space="0" w:color="auto"/>
        <w:left w:val="none" w:sz="0" w:space="0" w:color="auto"/>
        <w:bottom w:val="none" w:sz="0" w:space="0" w:color="auto"/>
        <w:right w:val="none" w:sz="0" w:space="0" w:color="auto"/>
      </w:divBdr>
    </w:div>
    <w:div w:id="1256941907">
      <w:bodyDiv w:val="1"/>
      <w:marLeft w:val="0"/>
      <w:marRight w:val="0"/>
      <w:marTop w:val="0"/>
      <w:marBottom w:val="0"/>
      <w:divBdr>
        <w:top w:val="none" w:sz="0" w:space="0" w:color="auto"/>
        <w:left w:val="none" w:sz="0" w:space="0" w:color="auto"/>
        <w:bottom w:val="none" w:sz="0" w:space="0" w:color="auto"/>
        <w:right w:val="none" w:sz="0" w:space="0" w:color="auto"/>
      </w:divBdr>
    </w:div>
    <w:div w:id="2141217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878</Words>
  <Characters>5312</Characters>
  <Application>Microsoft Office Word</Application>
  <DocSecurity>0</DocSecurity>
  <Lines>123</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Stone</dc:creator>
  <cp:lastModifiedBy>Karen Lin</cp:lastModifiedBy>
  <cp:revision>2</cp:revision>
  <dcterms:created xsi:type="dcterms:W3CDTF">2026-03-09T08:18:00Z</dcterms:created>
  <dcterms:modified xsi:type="dcterms:W3CDTF">2026-03-09T08:18:00Z</dcterms:modified>
</cp:coreProperties>
</file>