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70F8CD" w14:textId="035D8E8C" w:rsidR="00F45C93" w:rsidRDefault="00F45C93">
      <w:pPr>
        <w:rPr>
          <w:b/>
          <w:bCs/>
          <w:sz w:val="24"/>
          <w:szCs w:val="24"/>
        </w:rPr>
      </w:pPr>
    </w:p>
    <w:p w14:paraId="5924D61C" w14:textId="373237E6" w:rsidR="00F45C93" w:rsidRDefault="00F45C93">
      <w:pPr>
        <w:rPr>
          <w:b/>
          <w:bCs/>
          <w:sz w:val="24"/>
          <w:szCs w:val="24"/>
        </w:rPr>
      </w:pPr>
      <w:r>
        <w:rPr>
          <w:noProof/>
        </w:rPr>
        <w:drawing>
          <wp:anchor distT="0" distB="0" distL="114300" distR="114300" simplePos="0" relativeHeight="251659264" behindDoc="1" locked="0" layoutInCell="1" allowOverlap="1" wp14:anchorId="20B66B41" wp14:editId="68637564">
            <wp:simplePos x="0" y="0"/>
            <wp:positionH relativeFrom="column">
              <wp:posOffset>1249680</wp:posOffset>
            </wp:positionH>
            <wp:positionV relativeFrom="paragraph">
              <wp:posOffset>50165</wp:posOffset>
            </wp:positionV>
            <wp:extent cx="3495675" cy="457200"/>
            <wp:effectExtent l="0" t="0" r="0" b="0"/>
            <wp:wrapNone/>
            <wp:docPr id="2" name="Picture 2" descr="Description: sps_long_co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scription: sps_long_color"/>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495675" cy="4572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2218490" w14:textId="77777777" w:rsidR="00F45C93" w:rsidRDefault="00F45C93">
      <w:pPr>
        <w:rPr>
          <w:b/>
          <w:bCs/>
          <w:sz w:val="24"/>
          <w:szCs w:val="24"/>
        </w:rPr>
      </w:pPr>
    </w:p>
    <w:p w14:paraId="4A9EB8FA" w14:textId="77777777" w:rsidR="00F45C93" w:rsidRDefault="00F45C93">
      <w:pPr>
        <w:rPr>
          <w:b/>
          <w:bCs/>
          <w:sz w:val="24"/>
          <w:szCs w:val="24"/>
        </w:rPr>
      </w:pPr>
    </w:p>
    <w:p w14:paraId="008FEF66" w14:textId="77777777" w:rsidR="00F45C93" w:rsidRDefault="00F45C93">
      <w:pPr>
        <w:rPr>
          <w:b/>
          <w:bCs/>
          <w:sz w:val="24"/>
          <w:szCs w:val="24"/>
        </w:rPr>
      </w:pPr>
    </w:p>
    <w:p w14:paraId="465D1F0D" w14:textId="462B2750" w:rsidR="00F20EDE" w:rsidRDefault="00000000" w:rsidP="00F45C93">
      <w:pPr>
        <w:jc w:val="center"/>
      </w:pPr>
      <w:r>
        <w:rPr>
          <w:b/>
          <w:bCs/>
          <w:sz w:val="24"/>
          <w:szCs w:val="24"/>
        </w:rPr>
        <w:t>MASTER OF SCIENCE IN MANAGEMENT AND SYSTEMS</w:t>
      </w:r>
    </w:p>
    <w:p w14:paraId="7D7D17BA" w14:textId="77777777" w:rsidR="00F20EDE" w:rsidRDefault="00000000" w:rsidP="00F45C93">
      <w:pPr>
        <w:jc w:val="center"/>
      </w:pPr>
      <w:r>
        <w:rPr>
          <w:b/>
          <w:bCs/>
          <w:sz w:val="24"/>
          <w:szCs w:val="24"/>
        </w:rPr>
        <w:t>Applied Project Capstone</w:t>
      </w:r>
    </w:p>
    <w:p w14:paraId="43042AE3" w14:textId="77777777" w:rsidR="00F20EDE" w:rsidRDefault="00000000" w:rsidP="00F45C93">
      <w:pPr>
        <w:jc w:val="center"/>
      </w:pPr>
      <w:r>
        <w:rPr>
          <w:b/>
          <w:bCs/>
          <w:sz w:val="24"/>
          <w:szCs w:val="24"/>
        </w:rPr>
        <w:t>MASY GC-4100</w:t>
      </w:r>
    </w:p>
    <w:p w14:paraId="11EE2B19" w14:textId="77777777" w:rsidR="00F20EDE" w:rsidRDefault="00F20EDE"/>
    <w:p w14:paraId="78F80F62" w14:textId="77777777" w:rsidR="00F20EDE" w:rsidRDefault="00000000">
      <w:r>
        <w:rPr>
          <w:b/>
          <w:bCs/>
          <w:sz w:val="24"/>
          <w:szCs w:val="24"/>
        </w:rPr>
        <w:t>MEMORANDUM</w:t>
      </w:r>
    </w:p>
    <w:p w14:paraId="5F73105F" w14:textId="77777777" w:rsidR="00F20EDE" w:rsidRDefault="00F20EDE"/>
    <w:p w14:paraId="5C47EA65" w14:textId="77777777" w:rsidR="00F20EDE" w:rsidRDefault="00000000">
      <w:pPr>
        <w:spacing w:line="480" w:lineRule="auto"/>
      </w:pPr>
      <w:r>
        <w:rPr>
          <w:b/>
          <w:bCs/>
          <w:sz w:val="24"/>
          <w:szCs w:val="24"/>
        </w:rPr>
        <w:t>TO:</w:t>
      </w:r>
      <w:r>
        <w:rPr>
          <w:b/>
          <w:bCs/>
          <w:sz w:val="24"/>
          <w:szCs w:val="24"/>
        </w:rPr>
        <w:tab/>
      </w:r>
      <w:r>
        <w:rPr>
          <w:sz w:val="24"/>
          <w:szCs w:val="24"/>
        </w:rPr>
        <w:t>Dan Stone</w:t>
      </w:r>
    </w:p>
    <w:p w14:paraId="4DF81562" w14:textId="77777777" w:rsidR="00F20EDE" w:rsidRDefault="00000000">
      <w:pPr>
        <w:spacing w:line="480" w:lineRule="auto"/>
      </w:pPr>
      <w:r>
        <w:rPr>
          <w:b/>
          <w:bCs/>
          <w:sz w:val="24"/>
          <w:szCs w:val="24"/>
        </w:rPr>
        <w:t>FROM:</w:t>
      </w:r>
      <w:r>
        <w:rPr>
          <w:b/>
          <w:bCs/>
          <w:sz w:val="24"/>
          <w:szCs w:val="24"/>
        </w:rPr>
        <w:tab/>
      </w:r>
      <w:r>
        <w:rPr>
          <w:sz w:val="24"/>
          <w:szCs w:val="24"/>
        </w:rPr>
        <w:t>Karen Lin</w:t>
      </w:r>
    </w:p>
    <w:p w14:paraId="415931A2" w14:textId="77777777" w:rsidR="00F20EDE" w:rsidRDefault="00000000">
      <w:pPr>
        <w:spacing w:line="480" w:lineRule="auto"/>
      </w:pPr>
      <w:r>
        <w:rPr>
          <w:b/>
          <w:bCs/>
          <w:sz w:val="24"/>
          <w:szCs w:val="24"/>
        </w:rPr>
        <w:t>DATE:</w:t>
      </w:r>
      <w:r>
        <w:rPr>
          <w:b/>
          <w:bCs/>
          <w:sz w:val="24"/>
          <w:szCs w:val="24"/>
        </w:rPr>
        <w:tab/>
      </w:r>
      <w:r>
        <w:rPr>
          <w:sz w:val="24"/>
          <w:szCs w:val="24"/>
        </w:rPr>
        <w:t>May 1, 2026</w:t>
      </w:r>
    </w:p>
    <w:p w14:paraId="15D1F64F" w14:textId="77777777" w:rsidR="00F20EDE" w:rsidRDefault="00000000">
      <w:pPr>
        <w:spacing w:line="480" w:lineRule="auto"/>
      </w:pPr>
      <w:r>
        <w:rPr>
          <w:b/>
          <w:bCs/>
          <w:sz w:val="24"/>
          <w:szCs w:val="24"/>
        </w:rPr>
        <w:t>PROJECT:</w:t>
      </w:r>
      <w:r>
        <w:rPr>
          <w:b/>
          <w:bCs/>
          <w:sz w:val="24"/>
          <w:szCs w:val="24"/>
        </w:rPr>
        <w:tab/>
      </w:r>
      <w:r>
        <w:rPr>
          <w:sz w:val="24"/>
          <w:szCs w:val="24"/>
        </w:rPr>
        <w:t>Optimizing Clinical Operations Through Enterprise Business Analytics at Aquila Health Network</w:t>
      </w:r>
    </w:p>
    <w:p w14:paraId="32E3021A" w14:textId="77777777" w:rsidR="00F20EDE" w:rsidRDefault="00000000">
      <w:pPr>
        <w:spacing w:line="480" w:lineRule="auto"/>
      </w:pPr>
      <w:r>
        <w:rPr>
          <w:b/>
          <w:bCs/>
          <w:sz w:val="24"/>
          <w:szCs w:val="24"/>
        </w:rPr>
        <w:t>RE:</w:t>
      </w:r>
      <w:r>
        <w:rPr>
          <w:b/>
          <w:bCs/>
          <w:sz w:val="24"/>
          <w:szCs w:val="24"/>
        </w:rPr>
        <w:tab/>
      </w:r>
      <w:r>
        <w:rPr>
          <w:sz w:val="24"/>
          <w:szCs w:val="24"/>
        </w:rPr>
        <w:t>Assignment 6B: Draft Literature Review</w:t>
      </w:r>
    </w:p>
    <w:p w14:paraId="49D46B46" w14:textId="77777777" w:rsidR="00F20EDE" w:rsidRDefault="00F20EDE"/>
    <w:p w14:paraId="75242F5F" w14:textId="77777777" w:rsidR="00F20EDE" w:rsidRDefault="00F20EDE"/>
    <w:p w14:paraId="083A52A4" w14:textId="77777777" w:rsidR="00F20EDE" w:rsidRDefault="00000000">
      <w:pPr>
        <w:spacing w:before="360" w:after="120"/>
      </w:pPr>
      <w:r>
        <w:rPr>
          <w:b/>
          <w:bCs/>
          <w:sz w:val="24"/>
          <w:szCs w:val="24"/>
          <w:u w:val="single"/>
        </w:rPr>
        <w:t>Project Literature Review</w:t>
      </w:r>
    </w:p>
    <w:p w14:paraId="40810C1C" w14:textId="77777777" w:rsidR="00F20EDE" w:rsidRDefault="00F20EDE"/>
    <w:p w14:paraId="31BA604B" w14:textId="77777777" w:rsidR="00F20EDE" w:rsidRDefault="00000000">
      <w:pPr>
        <w:spacing w:before="240"/>
      </w:pPr>
      <w:r>
        <w:rPr>
          <w:b/>
          <w:bCs/>
          <w:sz w:val="24"/>
          <w:szCs w:val="24"/>
        </w:rPr>
        <w:t>Introduction</w:t>
      </w:r>
    </w:p>
    <w:p w14:paraId="560CFA15" w14:textId="77777777" w:rsidR="00F20EDE" w:rsidRDefault="00F20EDE"/>
    <w:p w14:paraId="4AE2D37E" w14:textId="77777777" w:rsidR="00F20EDE" w:rsidRDefault="00000000">
      <w:pPr>
        <w:spacing w:line="480" w:lineRule="auto"/>
      </w:pPr>
      <w:r>
        <w:rPr>
          <w:sz w:val="24"/>
          <w:szCs w:val="24"/>
        </w:rPr>
        <w:t xml:space="preserve">Healthcare organizations are under sustained pressure to reduce operational inefficiencies, improve patient access, and maximize revenue from appointment-based services. Appointment no-shows, uneven provider utilization, and fragmented referral tracking represent significant, well-documented sources of waste in outpatient clinical operations. At the same time, advances in business intelligence platforms and predictive analytics have made data-driven operational management increasingly feasible for multi-site provider networks. This literature review synthesizes published research across four thematic areas relevant to the Aquila Health Network capstone project: (1) the scope and determinants of appointment no-show behavior in outpatient </w:t>
      </w:r>
      <w:r>
        <w:rPr>
          <w:sz w:val="24"/>
          <w:szCs w:val="24"/>
        </w:rPr>
        <w:lastRenderedPageBreak/>
        <w:t>settings, (2) the application of business intelligence and data warehousing to healthcare operational monitoring, (3) dimensional data modeling as a foundation for healthcare analytics environments, and (4) predictive modeling approaches for no-show risk estimation. The review draws on peer-reviewed studies, systematic reviews, and a foundational reference text to establish the evidence base supporting the project's analytical design choices and business objectives.</w:t>
      </w:r>
    </w:p>
    <w:p w14:paraId="7AD856C5" w14:textId="77777777" w:rsidR="00F20EDE" w:rsidRDefault="00F20EDE"/>
    <w:p w14:paraId="5885C724" w14:textId="77777777" w:rsidR="00F20EDE" w:rsidRDefault="00000000">
      <w:pPr>
        <w:spacing w:line="480" w:lineRule="auto"/>
      </w:pPr>
      <w:r>
        <w:rPr>
          <w:sz w:val="24"/>
          <w:szCs w:val="24"/>
        </w:rPr>
        <w:t>Sources were selected from NYU Library databases, Google Scholar, and PubMed, with priority given to peer-reviewed journal articles published within the last fifteen years and systematic reviews. The Kimball and Ross (2013) foundational text was included as the authoritative reference for dimensional modeling methodology. Web sources, news articles, and non-scholarly materials were excluded.</w:t>
      </w:r>
    </w:p>
    <w:p w14:paraId="1F35886C" w14:textId="77777777" w:rsidR="00F20EDE" w:rsidRDefault="00F20EDE"/>
    <w:p w14:paraId="63BF50A1" w14:textId="77777777" w:rsidR="00F20EDE" w:rsidRDefault="00000000">
      <w:pPr>
        <w:spacing w:before="240"/>
      </w:pPr>
      <w:r>
        <w:rPr>
          <w:b/>
          <w:bCs/>
          <w:sz w:val="24"/>
          <w:szCs w:val="24"/>
        </w:rPr>
        <w:t>1. The Appointment No-Show Problem in Outpatient Healthcare</w:t>
      </w:r>
    </w:p>
    <w:p w14:paraId="3D850F93" w14:textId="77777777" w:rsidR="00F20EDE" w:rsidRDefault="00F20EDE"/>
    <w:p w14:paraId="34B34123" w14:textId="77777777" w:rsidR="00F20EDE" w:rsidRDefault="00000000">
      <w:pPr>
        <w:spacing w:line="480" w:lineRule="auto"/>
      </w:pPr>
      <w:r>
        <w:rPr>
          <w:sz w:val="24"/>
          <w:szCs w:val="24"/>
        </w:rPr>
        <w:t>Missed appointments represent one of the most persistent operational challenges in outpatient healthcare. Dantas, Fleck, Cyrino Oliveira, and Hamacher (2018) conducted a systematic review of 105 studies on no-show behavior across all medical specialties, finding that the average no-show rate across settings is on the order of 23%. The review identifies appointment lead time and prior no-show history as the two strongest and most consistent determinants of no-show behavior across specialties, with younger patient age, lower socioeconomic status, and lack of private insurance also significantly associated with missed appointments. The authors synthesize findings across a broader range of specialties and study designs than any prior review, making this the most comprehensive current evidence base for understanding no-show patterns in multi-specialty outpatient networks such as Aquila Health Network.</w:t>
      </w:r>
    </w:p>
    <w:p w14:paraId="5BD6A12C" w14:textId="77777777" w:rsidR="00F20EDE" w:rsidRDefault="00F20EDE"/>
    <w:p w14:paraId="53F1FD6F" w14:textId="77777777" w:rsidR="00F20EDE" w:rsidRDefault="00000000">
      <w:pPr>
        <w:spacing w:line="480" w:lineRule="auto"/>
      </w:pPr>
      <w:r>
        <w:rPr>
          <w:sz w:val="24"/>
          <w:szCs w:val="24"/>
        </w:rPr>
        <w:t>At the individual patient and system level, Nguyen, DeJesus, and Wieland (2011) examined missed appointments in a primary care residency clinic setting, finding that patients who frequently missed appointments were associated with increased utilization of emergency department services. This finding underscores the downstream clinical and operational consequences of appointment non-adherence — not only does each missed appointment represent immediate revenue leakage and capacity waste, but high no-show patients also tend to generate higher-cost care encounters elsewhere. This supports the business case framing in the Aquila Health Network Project Charter, which links no-show reduction to both revenue recovery and broader patient access improvements.</w:t>
      </w:r>
    </w:p>
    <w:p w14:paraId="05946D1C" w14:textId="77777777" w:rsidR="00F20EDE" w:rsidRDefault="00F20EDE"/>
    <w:p w14:paraId="2A2A8039" w14:textId="77777777" w:rsidR="00F20EDE" w:rsidRDefault="00000000">
      <w:pPr>
        <w:spacing w:line="480" w:lineRule="auto"/>
      </w:pPr>
      <w:r>
        <w:rPr>
          <w:sz w:val="24"/>
          <w:szCs w:val="24"/>
        </w:rPr>
        <w:t>Together, these two studies establish both the scale and consequence of the no-show problem and provide empirical grounding for the synthetic dataset's no-show rate distributions, predictor variable selection, and the project's targeted 15% no-show reduction goal.</w:t>
      </w:r>
    </w:p>
    <w:p w14:paraId="3B85D543" w14:textId="77777777" w:rsidR="00F20EDE" w:rsidRDefault="00F20EDE"/>
    <w:p w14:paraId="18533AEB" w14:textId="77777777" w:rsidR="00F20EDE" w:rsidRDefault="00000000">
      <w:pPr>
        <w:spacing w:before="240"/>
      </w:pPr>
      <w:r>
        <w:rPr>
          <w:b/>
          <w:bCs/>
          <w:sz w:val="24"/>
          <w:szCs w:val="24"/>
        </w:rPr>
        <w:t>2. Business Intelligence and Data Warehousing for Healthcare Operations</w:t>
      </w:r>
    </w:p>
    <w:p w14:paraId="4C07F91A" w14:textId="77777777" w:rsidR="00F20EDE" w:rsidRDefault="00F20EDE"/>
    <w:p w14:paraId="68EC28F8" w14:textId="77777777" w:rsidR="00F20EDE" w:rsidRDefault="00000000">
      <w:pPr>
        <w:spacing w:line="480" w:lineRule="auto"/>
      </w:pPr>
      <w:r>
        <w:rPr>
          <w:sz w:val="24"/>
          <w:szCs w:val="24"/>
        </w:rPr>
        <w:t xml:space="preserve">A recurring challenge in healthcare operational management is that organizations possessing large volumes of clinical and operational data often lack the infrastructure to make that data accessible for decision-making. Haque, Urquhart, Berg, and Dhanoa (2014) examine this problem directly in a peer-reviewed study, demonstrating how business intelligence techniques can be applied to health system data stored in legacy formats to produce dashboards that are interpretable by non-technical decision-makers. The authors develop a data integration process that consolidates disparate source data into a centralized warehouse and applies BI visualization tools for operational monitoring. Their approach mirrors the architecture of the Aquila Health Network data mart, which similarly consolidates synthetic clinical operations data into a </w:t>
      </w:r>
      <w:r>
        <w:rPr>
          <w:sz w:val="24"/>
          <w:szCs w:val="24"/>
        </w:rPr>
        <w:lastRenderedPageBreak/>
        <w:t>structured star schema feeding executive dashboards. The study's emphasis on accessibility and interpretability for operational leadership aligns with the executive dashboard requirements defined in the Aquila FRS.</w:t>
      </w:r>
    </w:p>
    <w:p w14:paraId="46EC99B8" w14:textId="77777777" w:rsidR="00F20EDE" w:rsidRDefault="00F20EDE"/>
    <w:p w14:paraId="7DD209B2" w14:textId="77777777" w:rsidR="00F20EDE" w:rsidRDefault="00000000">
      <w:pPr>
        <w:spacing w:line="480" w:lineRule="auto"/>
      </w:pPr>
      <w:r>
        <w:rPr>
          <w:sz w:val="24"/>
          <w:szCs w:val="24"/>
        </w:rPr>
        <w:t>Powell, White, Partin, and colleagues (2012) offer an important critical perspective, documenting the unintended organizational consequences of implementing standardized performance measurement systems in multi-site outpatient healthcare settings. Their qualitative research finds that performance dashboards can produce measurement gaming and misaligned provider incentives when KPIs are not carefully scoped and contextualized. This finding directly informed the design of the Aquila Health Network project's KPI framework — particularly the decision to frame the 82% provider utilization threshold as a network-level operational signal rather than an individual provider performance metric. The FRS and dashboard design in this project adopt the principle of aggregate visibility over individual accountability, consistent with the design guidance implicit in Powell et al.'s findings.</w:t>
      </w:r>
    </w:p>
    <w:p w14:paraId="7DCAFA68" w14:textId="77777777" w:rsidR="00F20EDE" w:rsidRDefault="00F20EDE"/>
    <w:p w14:paraId="6EF554A6" w14:textId="77777777" w:rsidR="00F20EDE" w:rsidRDefault="00000000">
      <w:pPr>
        <w:spacing w:before="240"/>
      </w:pPr>
      <w:r>
        <w:rPr>
          <w:b/>
          <w:bCs/>
          <w:sz w:val="24"/>
          <w:szCs w:val="24"/>
        </w:rPr>
        <w:t>3. Dimensional Data Modeling for Healthcare Analytics</w:t>
      </w:r>
    </w:p>
    <w:p w14:paraId="54BD61A9" w14:textId="77777777" w:rsidR="00F20EDE" w:rsidRDefault="00F20EDE"/>
    <w:p w14:paraId="005865E4" w14:textId="77777777" w:rsidR="00F20EDE" w:rsidRDefault="00000000">
      <w:pPr>
        <w:spacing w:line="480" w:lineRule="auto"/>
      </w:pPr>
      <w:r>
        <w:rPr>
          <w:sz w:val="24"/>
          <w:szCs w:val="24"/>
        </w:rPr>
        <w:t>The design of a data mart for clinical analytics requires a formal modeling methodology that balances query performance, reporting flexibility, and logical consistency. Kimball and Ross (2013) provide the authoritative treatment of dimensional modeling in The Data Warehouse Toolkit, formalizing the star schema pattern — a central fact table surrounded by dimension tables — as the performance-optimized structure for business intelligence environments. Their guidance on fact table grain selection, surrogate key conventions, slowly changing dimensions, and conformed dimension design directly shaped the physical data model developed in Objective 2 of the capstone.</w:t>
      </w:r>
    </w:p>
    <w:p w14:paraId="5A4998F8" w14:textId="77777777" w:rsidR="00F20EDE" w:rsidRDefault="00F20EDE"/>
    <w:p w14:paraId="547E4453" w14:textId="77777777" w:rsidR="00F20EDE" w:rsidRDefault="00000000">
      <w:pPr>
        <w:spacing w:line="480" w:lineRule="auto"/>
      </w:pPr>
      <w:r>
        <w:rPr>
          <w:sz w:val="24"/>
          <w:szCs w:val="24"/>
        </w:rPr>
        <w:t>The Aquila Health Network data mart adopts the star schema with FactAppointment as the central fact table, surrounded by DimPatient, DimProvider, DimClinic, DimDate, and DimReferral dimension tables. This structure follows Kimball and Ross's recommendation that the fact table grain be defined at the most atomic level of the business process being measured — in this case, the individual appointment event. The inclusion of DimProvider with a ClinicKey foreign key introduces a minor snowflake extension, which the project documents explicitly as a deliberate design choice to preserve the analytical significance of the provider-to-clinic relationship rather than denormalizing it. Kimball and Ross's framework acknowledges this type of design decision and provides guidance on when snowflake extensions are warranted, which informed the project's approach.</w:t>
      </w:r>
    </w:p>
    <w:p w14:paraId="0B101167" w14:textId="77777777" w:rsidR="00F20EDE" w:rsidRDefault="00F20EDE"/>
    <w:p w14:paraId="02784974" w14:textId="77777777" w:rsidR="00F20EDE" w:rsidRDefault="00000000">
      <w:pPr>
        <w:spacing w:line="480" w:lineRule="auto"/>
      </w:pPr>
      <w:r>
        <w:rPr>
          <w:sz w:val="24"/>
          <w:szCs w:val="24"/>
        </w:rPr>
        <w:t>Haque et al. (2014) additionally validate the practical application of data warehousing to health system operational data, demonstrating that BI environments built on structured, consolidated data stores can serve non-technical healthcare leadership effectively. This empirical support reinforces the modeling choice and its alignment with the Aquila project's reporting requirements.</w:t>
      </w:r>
    </w:p>
    <w:p w14:paraId="5BA6A0FC" w14:textId="77777777" w:rsidR="00F20EDE" w:rsidRDefault="00F20EDE"/>
    <w:p w14:paraId="227AC615" w14:textId="77777777" w:rsidR="00F20EDE" w:rsidRDefault="00000000">
      <w:pPr>
        <w:spacing w:before="240"/>
      </w:pPr>
      <w:r>
        <w:rPr>
          <w:b/>
          <w:bCs/>
          <w:sz w:val="24"/>
          <w:szCs w:val="24"/>
        </w:rPr>
        <w:t>4. Predictive Modeling Approaches for No-Show Risk Estimation</w:t>
      </w:r>
    </w:p>
    <w:p w14:paraId="5B0DD8A3" w14:textId="77777777" w:rsidR="00F20EDE" w:rsidRDefault="00F20EDE"/>
    <w:p w14:paraId="3D3CCA38" w14:textId="77777777" w:rsidR="00F20EDE" w:rsidRDefault="00000000">
      <w:pPr>
        <w:spacing w:line="480" w:lineRule="auto"/>
      </w:pPr>
      <w:r>
        <w:rPr>
          <w:sz w:val="24"/>
          <w:szCs w:val="24"/>
        </w:rPr>
        <w:t xml:space="preserve">The predictive analytics component of the capstone — Objective 4 — requires selecting a modeling approach that is analytically sound, interpretable for clinical stakeholders, and feasible as a proof-of-concept within the project's scope and timeline. Carreras-Garcia, Delgado-Gomez, Llorente-Fernandez, and Arribas-Gil (2020) conducted a systematic review of no-show prediction studies published from 1980 to 2020, synthesizing evidence on the modeling approaches and predictor variables that appear consistently across the literature. The review finds </w:t>
      </w:r>
      <w:r>
        <w:rPr>
          <w:sz w:val="24"/>
          <w:szCs w:val="24"/>
        </w:rPr>
        <w:lastRenderedPageBreak/>
        <w:t>that prior no-show history, appointment lead time, appointment type, patient age, and clinic-level factors are the most consistently significant predictors across studies, and that logistic regression remains a competitive, interpretable baseline that performs comparably to more complex methods in many healthcare settings. This supports the selection of logistic regression as the primary modeling approach for the Aquila proof-of-concept.</w:t>
      </w:r>
    </w:p>
    <w:p w14:paraId="60269A7D" w14:textId="77777777" w:rsidR="00F20EDE" w:rsidRDefault="00F20EDE"/>
    <w:p w14:paraId="44018693" w14:textId="77777777" w:rsidR="00F20EDE" w:rsidRDefault="00000000">
      <w:pPr>
        <w:spacing w:line="480" w:lineRule="auto"/>
      </w:pPr>
      <w:r>
        <w:rPr>
          <w:sz w:val="24"/>
          <w:szCs w:val="24"/>
        </w:rPr>
        <w:t>Mohammadi, Wu, Turkcan, Toscos, and Doebbeling (2018) provide a directly applicable empirical study, developing and comparing logistic regression, neural network, and naive Bayes classifiers for no-show prediction at a multi-site system of community health centers. Their study demonstrates that meaningful no-show prediction is achievable from EHR and scheduling data fields that closely match those available in the Aquila synthetic dataset, including patient demographics, prior appointment history, appointment type, and provider characteristics. The community health center setting — serving complex, multi-specialty patient populations across multiple clinic locations — is structurally analogous to Aquila Health Network's operational context, making this study's findings particularly relevant for methodology validation.</w:t>
      </w:r>
    </w:p>
    <w:p w14:paraId="09949517" w14:textId="77777777" w:rsidR="00F20EDE" w:rsidRDefault="00F20EDE"/>
    <w:p w14:paraId="2428451C" w14:textId="77777777" w:rsidR="00F20EDE" w:rsidRDefault="00000000">
      <w:pPr>
        <w:spacing w:line="480" w:lineRule="auto"/>
      </w:pPr>
      <w:r>
        <w:rPr>
          <w:sz w:val="24"/>
          <w:szCs w:val="24"/>
        </w:rPr>
        <w:t>LaGanga and Lawrence (2012) connect predictive no-show modeling to scheduling optimization, demonstrating analytically that risk scores can guide appointment slot reallocation to simultaneously improve provider utilization and patient access. Their work bridges the predictive model in Objective 4 and the operational dashboard layer in Objective 3, showing how no-show risk scoring translates into the targeted operational improvements — the 82% provider utilization target and the 20% patient access wait time reduction goal — defined in the project's performance framework.</w:t>
      </w:r>
    </w:p>
    <w:p w14:paraId="37F00E07" w14:textId="77777777" w:rsidR="00F20EDE" w:rsidRDefault="00F20EDE"/>
    <w:p w14:paraId="0F56E7A1" w14:textId="77777777" w:rsidR="00F20EDE" w:rsidRDefault="00000000">
      <w:pPr>
        <w:spacing w:before="360" w:after="120"/>
      </w:pPr>
      <w:r>
        <w:rPr>
          <w:b/>
          <w:bCs/>
          <w:sz w:val="24"/>
          <w:szCs w:val="24"/>
          <w:u w:val="single"/>
        </w:rPr>
        <w:t>Conclusions</w:t>
      </w:r>
    </w:p>
    <w:p w14:paraId="1400D11A" w14:textId="77777777" w:rsidR="00F20EDE" w:rsidRDefault="00F20EDE"/>
    <w:p w14:paraId="7E627C1A" w14:textId="77777777" w:rsidR="00F20EDE" w:rsidRDefault="00000000">
      <w:pPr>
        <w:spacing w:line="480" w:lineRule="auto"/>
      </w:pPr>
      <w:r>
        <w:rPr>
          <w:sz w:val="24"/>
          <w:szCs w:val="24"/>
        </w:rPr>
        <w:t>The literature reviewed across these four thematic areas converges on a consistent set of findings that directly validate the design choices and analytical approach of the Aquila Health Network capstone project. First, the no-show problem in outpatient healthcare is well-documented, consequential, and addressable through predictive analytics: Dantas et al. (2018) establishes that a 23% average no-show rate is pervasive across specialties and that the key predictors are measurable and actionable, while Nguyen et al. (2011) confirms the downstream clinical and operational consequences that give the business case its urgency. Second, business intelligence platforms built on centralized data warehouses represent an established and practical response to the information gap that Aquila currently faces, as demonstrated by Haque et al. (2014), with the caution from Powell et al. (2012) that KPI design must prioritize aggregate operational visibility over individual accountability to avoid unintended behavioral consequences. Third, the star schema dimensional modeling methodology formalized by Kimball and Ross (2013) is the appropriate and industry-validated foundation for the data mart architecture developed in Objective 2. Fourth, logistic regression provides an interpretable and empirically supported baseline approach for no-show risk prediction — as confirmed by the systematic review of Carreras-Garcia et al. (2020) and the applied study of Mohammadi et al. (2018) — with direct operational applications linking risk scores to scheduling optimization documented by LaGanga and Lawrence (2012).</w:t>
      </w:r>
    </w:p>
    <w:p w14:paraId="233FF15A" w14:textId="77777777" w:rsidR="00F20EDE" w:rsidRDefault="00F20EDE"/>
    <w:p w14:paraId="671ABF91" w14:textId="77777777" w:rsidR="00F20EDE" w:rsidRDefault="00000000">
      <w:pPr>
        <w:spacing w:line="480" w:lineRule="auto"/>
      </w:pPr>
      <w:r>
        <w:rPr>
          <w:sz w:val="24"/>
          <w:szCs w:val="24"/>
        </w:rPr>
        <w:t xml:space="preserve">Where the project departs from the literature is primarily in its use of synthetic data rather than live production records, an acknowledged limitation that does not undermine the validity of the analytical architecture, modeling approach, or dashboard design. All of these are grounded in methods validated against real healthcare data in the studies reviewed. The literature review confirms that the project's methodological choices are defensible, its business objectives are </w:t>
      </w:r>
      <w:r>
        <w:rPr>
          <w:sz w:val="24"/>
          <w:szCs w:val="24"/>
        </w:rPr>
        <w:lastRenderedPageBreak/>
        <w:t>achievable through the proposed analytics approach, and its deliverables are aligned with established best practices in healthcare analytics and clinical operations management.</w:t>
      </w:r>
    </w:p>
    <w:p w14:paraId="08340E86" w14:textId="77777777" w:rsidR="00F20EDE" w:rsidRDefault="00F20EDE"/>
    <w:p w14:paraId="501DCCEC" w14:textId="77777777" w:rsidR="00F20EDE" w:rsidRDefault="00F20EDE"/>
    <w:p w14:paraId="224B53F3" w14:textId="77777777" w:rsidR="00F20EDE" w:rsidRDefault="00000000">
      <w:pPr>
        <w:spacing w:before="360" w:after="120"/>
      </w:pPr>
      <w:r>
        <w:rPr>
          <w:b/>
          <w:bCs/>
          <w:sz w:val="24"/>
          <w:szCs w:val="24"/>
          <w:u w:val="single"/>
        </w:rPr>
        <w:t>References</w:t>
      </w:r>
    </w:p>
    <w:p w14:paraId="3EE05F6E" w14:textId="77777777" w:rsidR="00F20EDE" w:rsidRDefault="00F20EDE"/>
    <w:p w14:paraId="40B9C3BF" w14:textId="77777777" w:rsidR="00F20EDE" w:rsidRDefault="00000000">
      <w:pPr>
        <w:spacing w:line="480" w:lineRule="auto"/>
        <w:ind w:left="720" w:hanging="720"/>
      </w:pPr>
      <w:r>
        <w:rPr>
          <w:sz w:val="24"/>
          <w:szCs w:val="24"/>
        </w:rPr>
        <w:t>Carreras-Garcia, D., Delgado-Gomez, D., Llorente-Fernandez, F., &amp; Arribas-Gil, A. (2020). Patient no-show prediction: A systematic literature review. Entropy, 22(6), 675. https://doi.org/10.3390/e22060675</w:t>
      </w:r>
    </w:p>
    <w:p w14:paraId="3197467C" w14:textId="77777777" w:rsidR="00F20EDE" w:rsidRDefault="00F20EDE"/>
    <w:p w14:paraId="1377E38F" w14:textId="77777777" w:rsidR="00F20EDE" w:rsidRDefault="00000000">
      <w:pPr>
        <w:spacing w:line="480" w:lineRule="auto"/>
        <w:ind w:left="720" w:hanging="720"/>
      </w:pPr>
      <w:r>
        <w:rPr>
          <w:sz w:val="24"/>
          <w:szCs w:val="24"/>
        </w:rPr>
        <w:t>Dantas, L. F., Fleck, J. L., Cyrino Oliveira, F. L., &amp; Hamacher, S. (2018). No-shows in appointment scheduling: A systematic literature review. Health Policy, 122(4), 412-421. https://doi.org/10.1016/j.healthpol.2018.02.002</w:t>
      </w:r>
    </w:p>
    <w:p w14:paraId="796196A0" w14:textId="77777777" w:rsidR="00F20EDE" w:rsidRDefault="00F20EDE"/>
    <w:p w14:paraId="2FDC6260" w14:textId="77777777" w:rsidR="00F20EDE" w:rsidRDefault="00000000">
      <w:pPr>
        <w:spacing w:line="480" w:lineRule="auto"/>
        <w:ind w:left="720" w:hanging="720"/>
      </w:pPr>
      <w:r>
        <w:rPr>
          <w:sz w:val="24"/>
          <w:szCs w:val="24"/>
        </w:rPr>
        <w:t>Haque, W., Urquhart, B., Berg, E., &amp; Dhanoa, R. (2014). Using business intelligence to analyze and share health system infrastructure data in a rural health authority. JMIR Medical Informatics, 2(2), e16. https://doi.org/10.2196/medinform.3590</w:t>
      </w:r>
    </w:p>
    <w:p w14:paraId="34B6C615" w14:textId="77777777" w:rsidR="00F20EDE" w:rsidRDefault="00F20EDE"/>
    <w:p w14:paraId="62D9D8DC" w14:textId="77777777" w:rsidR="00F20EDE" w:rsidRDefault="00000000">
      <w:pPr>
        <w:spacing w:line="480" w:lineRule="auto"/>
        <w:ind w:left="720" w:hanging="720"/>
      </w:pPr>
      <w:r>
        <w:rPr>
          <w:sz w:val="24"/>
          <w:szCs w:val="24"/>
        </w:rPr>
        <w:t>Kimball, R., &amp; Ross, M. (2013). The data warehouse toolkit: The definitive guide to dimensional modeling (3rd ed.). Wiley.</w:t>
      </w:r>
    </w:p>
    <w:p w14:paraId="5A6169D4" w14:textId="77777777" w:rsidR="00F20EDE" w:rsidRDefault="00F20EDE"/>
    <w:p w14:paraId="6625D829" w14:textId="77777777" w:rsidR="00F20EDE" w:rsidRDefault="00000000">
      <w:pPr>
        <w:spacing w:line="480" w:lineRule="auto"/>
        <w:ind w:left="720" w:hanging="720"/>
      </w:pPr>
      <w:r>
        <w:rPr>
          <w:sz w:val="24"/>
          <w:szCs w:val="24"/>
        </w:rPr>
        <w:t>LaGanga, L. R., &amp; Lawrence, S. R. (2012). Appointment overbooking in health care clinics to improve patient service and clinic performance. Production and Operations Management, 21(5), 874-888. https://doi.org/10.1111/j.1937-5956.2011.01308.x</w:t>
      </w:r>
    </w:p>
    <w:p w14:paraId="54E2772F" w14:textId="77777777" w:rsidR="00F20EDE" w:rsidRDefault="00F20EDE"/>
    <w:p w14:paraId="0F031B32" w14:textId="77777777" w:rsidR="00F20EDE" w:rsidRDefault="00000000">
      <w:pPr>
        <w:spacing w:line="480" w:lineRule="auto"/>
        <w:ind w:left="720" w:hanging="720"/>
      </w:pPr>
      <w:r>
        <w:rPr>
          <w:sz w:val="24"/>
          <w:szCs w:val="24"/>
        </w:rPr>
        <w:t xml:space="preserve">Mohammadi, I., Wu, H., Turkcan, A., Toscos, T., &amp; Doebbeling, B. N. (2018). Data analytics and modeling for appointment no-show in community health centers. Journal of Primary </w:t>
      </w:r>
      <w:r>
        <w:rPr>
          <w:sz w:val="24"/>
          <w:szCs w:val="24"/>
        </w:rPr>
        <w:lastRenderedPageBreak/>
        <w:t>Care &amp; Community Health, 9, Article 2150132718811692. https://doi.org/10.1177/2150132718811692</w:t>
      </w:r>
    </w:p>
    <w:p w14:paraId="05370DD5" w14:textId="77777777" w:rsidR="00F20EDE" w:rsidRDefault="00F20EDE"/>
    <w:p w14:paraId="2C1A4E7D" w14:textId="77777777" w:rsidR="00F20EDE" w:rsidRDefault="00000000">
      <w:pPr>
        <w:spacing w:line="480" w:lineRule="auto"/>
        <w:ind w:left="720" w:hanging="720"/>
      </w:pPr>
      <w:r>
        <w:rPr>
          <w:sz w:val="24"/>
          <w:szCs w:val="24"/>
        </w:rPr>
        <w:t>Nguyen, D. L., DeJesus, R. S., &amp; Wieland, M. L. (2011). Missed appointments in resident continuity clinic: Patient characteristics and health care outcomes. Journal of Graduate Medical Education, 3(3), 350-355. https://doi.org/10.4300/JGME-D-10-00199.1</w:t>
      </w:r>
    </w:p>
    <w:p w14:paraId="0841EE66" w14:textId="77777777" w:rsidR="00F20EDE" w:rsidRDefault="00F20EDE"/>
    <w:p w14:paraId="6463827D" w14:textId="77777777" w:rsidR="00F20EDE" w:rsidRDefault="00000000">
      <w:pPr>
        <w:spacing w:line="480" w:lineRule="auto"/>
        <w:ind w:left="720" w:hanging="720"/>
      </w:pPr>
      <w:r>
        <w:rPr>
          <w:sz w:val="24"/>
          <w:szCs w:val="24"/>
        </w:rPr>
        <w:t>Powell, A. A., White, K. M., Partin, M. R., Halek, K., Christianson, J. B., Neil, B., Hysong, S. J., Zarling, E. J., &amp; Bloomfield, H. E. (2012). Unintended consequences of implementing a national performance measurement system into local practice. Journal of General Internal Medicine, 27(4), 405-412. https://doi.org/10.1007/s11606-011-1906-3</w:t>
      </w:r>
    </w:p>
    <w:sectPr w:rsidR="00F20ED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B70EDF"/>
    <w:multiLevelType w:val="hybridMultilevel"/>
    <w:tmpl w:val="41944870"/>
    <w:lvl w:ilvl="0" w:tplc="5A748C06">
      <w:start w:val="1"/>
      <w:numFmt w:val="bullet"/>
      <w:lvlText w:val="●"/>
      <w:lvlJc w:val="left"/>
      <w:pPr>
        <w:ind w:left="720" w:hanging="360"/>
      </w:pPr>
    </w:lvl>
    <w:lvl w:ilvl="1" w:tplc="451246BA">
      <w:start w:val="1"/>
      <w:numFmt w:val="bullet"/>
      <w:lvlText w:val="○"/>
      <w:lvlJc w:val="left"/>
      <w:pPr>
        <w:ind w:left="1440" w:hanging="360"/>
      </w:pPr>
    </w:lvl>
    <w:lvl w:ilvl="2" w:tplc="B90C7240">
      <w:start w:val="1"/>
      <w:numFmt w:val="bullet"/>
      <w:lvlText w:val="■"/>
      <w:lvlJc w:val="left"/>
      <w:pPr>
        <w:ind w:left="2160" w:hanging="360"/>
      </w:pPr>
    </w:lvl>
    <w:lvl w:ilvl="3" w:tplc="6A64F5A0">
      <w:start w:val="1"/>
      <w:numFmt w:val="bullet"/>
      <w:lvlText w:val="●"/>
      <w:lvlJc w:val="left"/>
      <w:pPr>
        <w:ind w:left="2880" w:hanging="360"/>
      </w:pPr>
    </w:lvl>
    <w:lvl w:ilvl="4" w:tplc="9850C08A">
      <w:start w:val="1"/>
      <w:numFmt w:val="bullet"/>
      <w:lvlText w:val="○"/>
      <w:lvlJc w:val="left"/>
      <w:pPr>
        <w:ind w:left="3600" w:hanging="360"/>
      </w:pPr>
    </w:lvl>
    <w:lvl w:ilvl="5" w:tplc="F57AD472">
      <w:start w:val="1"/>
      <w:numFmt w:val="bullet"/>
      <w:lvlText w:val="■"/>
      <w:lvlJc w:val="left"/>
      <w:pPr>
        <w:ind w:left="4320" w:hanging="360"/>
      </w:pPr>
    </w:lvl>
    <w:lvl w:ilvl="6" w:tplc="D1EAA140">
      <w:start w:val="1"/>
      <w:numFmt w:val="bullet"/>
      <w:lvlText w:val="●"/>
      <w:lvlJc w:val="left"/>
      <w:pPr>
        <w:ind w:left="5040" w:hanging="360"/>
      </w:pPr>
    </w:lvl>
    <w:lvl w:ilvl="7" w:tplc="893E8C16">
      <w:start w:val="1"/>
      <w:numFmt w:val="bullet"/>
      <w:lvlText w:val="●"/>
      <w:lvlJc w:val="left"/>
      <w:pPr>
        <w:ind w:left="5760" w:hanging="360"/>
      </w:pPr>
    </w:lvl>
    <w:lvl w:ilvl="8" w:tplc="98D0F30A">
      <w:start w:val="1"/>
      <w:numFmt w:val="bullet"/>
      <w:lvlText w:val="●"/>
      <w:lvlJc w:val="left"/>
      <w:pPr>
        <w:ind w:left="6480" w:hanging="360"/>
      </w:pPr>
    </w:lvl>
  </w:abstractNum>
  <w:num w:numId="1" w16cid:durableId="123682148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0EDE"/>
    <w:rsid w:val="00174261"/>
    <w:rsid w:val="00F20EDE"/>
    <w:rsid w:val="00F45C93"/>
  </w:rsids>
  <m:mathPr>
    <m:mathFont m:val="Cambria Math"/>
    <m:brkBin m:val="before"/>
    <m:brkBinSub m:val="--"/>
    <m:smallFrac m:val="0"/>
    <m:dispDef/>
    <m:lMargin m:val="0"/>
    <m:rMargin m:val="0"/>
    <m:defJc m:val="centerGroup"/>
    <m:wrapIndent m:val="1440"/>
    <m:intLim m:val="subSup"/>
    <m:naryLim m:val="undOvr"/>
  </m:mathPr>
  <w:themeFontLang w:val="en-TW"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716CB966"/>
  <w15:docId w15:val="{ADED4B2B-D56B-6246-B58C-29DCAB648A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TW"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1928</Words>
  <Characters>12691</Characters>
  <Application>Microsoft Office Word</Application>
  <DocSecurity>0</DocSecurity>
  <Lines>218</Lines>
  <Paragraphs>46</Paragraphs>
  <ScaleCrop>false</ScaleCrop>
  <Company/>
  <LinksUpToDate>false</LinksUpToDate>
  <CharactersWithSpaces>14573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Karen Lin</cp:lastModifiedBy>
  <cp:revision>2</cp:revision>
  <dcterms:created xsi:type="dcterms:W3CDTF">2026-05-01T20:19:00Z</dcterms:created>
  <dcterms:modified xsi:type="dcterms:W3CDTF">2026-05-01T20:37:00Z</dcterms:modified>
</cp:coreProperties>
</file>