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AFET BLNC(YEN*)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AB.1.1.1 Risk tehlike ve afet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AB.1.1.2 Doğa kaynaklı ve insan kaynaklı afet olaylarını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AB.1.1.3 İnsanın afet riskini azaltmadaki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AB.1.1.4 Afet ve acil durum yönetiminde farkındalığın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AB.1.1.5 İlk yardımın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AB.1.1.6 Afet yönetiminde ulusal ve uluslararası kuruluşların görev ve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AB.1.1.6 Afet yönetiminde ulusal ve uluslararası kuruluşların görev ve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AB.1.1.6 Afet yönetiminde ulusal ve uluslararası kuruluşların görev ve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AB.1.1.6 Afet yönetiminde ulusal ve uluslararası kuruluşların görev ve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AB.1.1.6 Afet yönetiminde ulusal ve uluslararası kuruluşların görev ve faaliyetlerini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 Yerleşim yerlerinin kuruluş ve gelişim sürecinde afet riskinin dikkate alınmasının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AB.1.2.2 Depremin afete dönüşme nedenlerini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AB.1.2.3 Deprem öncesi sırası ve sonrasında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AB.1.2.4 Deprem afetine maruz kalındığında yapılması gereken ilk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AB.1.2.5 Sel ve taşkının afete dönüşme nedenlerini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AB.1.2.6 Sel tehlikesine karşı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AB.1.2.7 Türkiyede sel açısından yüksek riskli alanlar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AB.1.2.9 Heyelan ve kütle hareketlerinin afete dönüşme nedenlerini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AB.1.2.10 Heyelan tehlikesine karşı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AB.1.2.11 Türkiyede heyelan açısından yüksek riskli alanlar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AB.1.2.12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AB.1.2.13 Heyelan sonrasında yapılması gereken işlemleri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 Kaynaklı Afet Türleri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AB.1.2.14 Heyelan sonrasında yapılması gereken işlemleri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