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TRK SANAT MZğ TEOR VE UYGULAMASı(YEN*)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11.1.1.1.1 Acem-aşiran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11.1.1.1.2 Acem-aşiran makamının karar güçlü yeden ve asma karar perdelerini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11.1.1.1.3 Acem-aşiran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11.1.1.1.4 Acem-aşiran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11.1.1.2.1 Mahur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11.1.1.2.2 Mahur makamının karar güçlü yeden ve asma karar perdelerini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11.1.1.2.3 Mahur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11.1.1.2.4 Mahur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11.1.2.1.1 Nihavend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11.1.2.1.2 Nihavend makamının karar güçlü yeden ve asma karar perdelerini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11.1.2.1.3 Nihavend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11.1.2.1.4 Nihavend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11.1.2.2.1 Sultaniyegah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11.1.2.2.2 Sultaniyegah makamının karar güçlü yeden ve asma karar perdelerini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11.1.2.2.3 Sultaniyegah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11.1.2.2.4 Sultaniyegah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11.1.3.1.1 Kürdilihicazkar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11.1.3.1.3 Kürdilihicazkar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11.1.3.1.4 Kürdilihicazkar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11.1.4.1.1 Zirgülesink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11.1.4.1.2 Zirgülesink makamının karar güçlü yeden ve asma karar perdelerini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11.1.4.1.3 Zirgülesink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11.1.4.1.4 Zirgülesink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11.1.4.2.1 Hicazkar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11.1.4.2.2 Hicazkar makamının karar güçlü yeden ve asma karar perdelerini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11.1.4.2.3 Hicazkar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11.1.4.2.4 Hicazkar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11.1.4.2.4 Hicazkar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11.1.4.2.4 Hicazkar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11.1.4.2.4 Hicazkar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11.1.4.2.4 Hicazkar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11.1.4.2.4 Hicazkar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11.1.4.2.4 Hicazkar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11.1.4.2.4 Hicazkar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ŞED GÖÇÜRÜLMÜŞ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11.1.4.2.4 Hicazkar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