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5.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bölümlerini ve okulda çalışan personeli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yakınındaki çevreyi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kurallarının oluşturulmasına katkı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ve çevresinde risk oluşturabilecek durum ve ortamlara karşı kendini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Kimden nereden ne zaman ve nasıl yardım isteyebileceğini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ve sınıf kurallarına uyulmadığında ortaya çıkabilecek sonuçları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ve sınıf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eğitsel imkânları hakkında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Sanatsal ve sportif etkinliklerden hoşlandıklarını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hazırlığına ilişkin sorumluluklarını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Okulunun ve sınıfının bir üyesi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gelişimi için amaçlar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kurmada karakter güçlerini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 bir dinleyici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Beden dilinin iletişimdeki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Sanatsal ve sportif etkinliklerden başarabildiklerini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Çalışma ve üretmenin insan yaşamındaki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meslek sahibi olmanın kendisi ve toplum için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Geleceği hayal ederek yaşam amaçları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ilişkilerini sürdürme konusunda yapabileceklerini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Değişen duygu durumlarını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Başkalarının duygu ve düşüncelerini anlamak için etkili dinleme stratejilerini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Başkalarının bakış açısının kendi bakış açısından farklı olabileceğini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Kültürel farklılıklara duyarlı bir bakış açısı geliştir.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Yardım etme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Büyüme ve gelişme sürecinde bireysel farklılıklar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Büyüme ve gelişmenin yaşamın doğal bir parçası olduğunu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Sanal arkadaşlığı arkadaşlık ilişkileri kapsamında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Çatışmanın ve anlaşmazlıkların yaşamın bir parçası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Gerektiğinde arkadaşlığını sonlandırır.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amaçlarını gerçekleştirme konusunda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Karar verme sürecini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 seçiminde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