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3.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ilişkin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hazırlıklı gelme ile akademik gelişimi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Yapacağı bir işin ne kadar süreceğini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Problem çözerken başvurduğu yolları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Problem çözme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Kendisi için verimli öğrenme ve çalışma koşullarını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Takım çalışmalarının kişisel gelişimine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katıldığı etkinliklerde yapabildiklerini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içindeki ve dışındaki eğitsel ve sosyal</w:t>
              <w:br/>
              <w:t>etkinliklere katılmanın gelişimine katkılarını</w:t>
              <w:br/>
              <w:t>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Bireysel farklılıkları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Bireysel farklılıkları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kendisi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kendisi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Durum ve olayların bireylerin duygularına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Duygularını uygun biçimde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çalışmalarda geliştirilmesi gereken yönlerini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çalışmalarında ihtiyaç duyduğunda yardım 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Sanatsal ve sportif etkinliklerden hoşlandıklarını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başarmanın yarattığı duyguları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bağımsızlığına katkı sağlayan davranışları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kişisel alanların gerekliliğine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Hayır 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Merak ettiği mesleklere ilişkin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Merak ettiği mesleklere ilişkin edindiği</w:t>
              <w:br/>
              <w:t>bilgileri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yaşadığı duyguları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 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bireyin özel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çalışmalarında farklı roller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Grup çalışmalarında liderlik becerileri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Olağan dışı durumlarda nasıl hareket etmesi</w:t>
              <w:br/>
              <w:t>gerektiğini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w:t>
              <w:br/>
              <w:t>yaşantılarına ilişkin duygu ve</w:t>
              <w:br/>
              <w:t>düşüncelerini yansıtır.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