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3864"/>
          <w:sz w:val="48"/>
          <w:szCs w:val="48"/>
        </w:rPr>
        <w:t xml:space="preserve">ThyroVision AI</w:t>
      </w:r>
    </w:p>
    <w:p>
      <w:pPr>
        <w:pBdr>
          <w:bottom w:val="single" w:color="2E75B6" w:sz="12" w:space="8"/>
        </w:pBdr>
        <w:spacing w:after="200"/>
      </w:pPr>
      <w:r>
        <w:rPr>
          <w:color w:val="333333"/>
          <w:sz w:val="26"/>
          <w:szCs w:val="26"/>
        </w:rPr>
        <w:t xml:space="preserve">Meeting Preparation &amp; Speaking Board</w:t>
      </w:r>
    </w:p>
    <w:p>
      <w:pPr>
        <w:spacing w:after="40"/>
      </w:pPr>
      <w:r>
        <w:rPr>
          <w:color w:val="595959"/>
          <w:sz w:val="20"/>
          <w:szCs w:val="20"/>
        </w:rPr>
        <w:t xml:space="preserve">For your project review with Dr. Gunjan · Monday</w:t>
      </w:r>
    </w:p>
    <w:p>
      <w:pPr>
        <w:spacing w:after="40"/>
      </w:pPr>
      <w:r>
        <w:rPr>
          <w:color w:val="595959"/>
          <w:sz w:val="20"/>
          <w:szCs w:val="20"/>
        </w:rPr>
        <w:t xml:space="preserve">Everything you need to understand and say — no coding required</w:t>
      </w:r>
    </w:p>
    <w:p>
      <w:pPr>
        <w:spacing w:after="40"/>
      </w:pPr>
      <w:r>
        <w:rPr>
          <w:color w:val="595959"/>
          <w:sz w:val="20"/>
          <w:szCs w:val="20"/>
        </w:rPr>
        <w:t xml:space="preserve">Built after Phase 1 (baseline) completion</w:t>
      </w:r>
    </w:p>
    <w:p>
      <w:pPr>
        <w:spacing w:after="40"/>
      </w:pPr>
      <w:r>
        <w:rPr>
          <w:color w:val="595959"/>
          <w:sz w:val="20"/>
          <w:szCs w:val="20"/>
        </w:rPr>
        <w:t xml:space="preserve">June 2026</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2E75B6" w:sz="18"/>
              <w:bottom w:val="none"/>
              <w:right w:val="none"/>
            </w:tcBorders>
            <w:shd w:fill="EAF1FB" w:val="clear"/>
            <w:tcMar>
              <w:top w:type="dxa" w:w="120"/>
              <w:left w:type="dxa" w:w="200"/>
              <w:bottom w:type="dxa" w:w="120"/>
              <w:right w:type="dxa" w:w="160"/>
            </w:tcMar>
          </w:tcPr>
          <w:p>
            <w:pPr>
              <w:spacing w:after="60"/>
            </w:pPr>
            <w:r>
              <w:rPr>
                <w:b/>
                <w:bCs/>
                <w:color w:val="2E75B6"/>
                <w:sz w:val="21"/>
                <w:szCs w:val="21"/>
              </w:rPr>
              <w:t xml:space="preserve">How to use this for Monday</w:t>
            </w:r>
          </w:p>
          <w:p>
            <w:pPr>
              <w:spacing w:after="80"/>
            </w:pPr>
            <w:r>
              <w:rPr>
                <w:sz w:val="20"/>
                <w:szCs w:val="20"/>
              </w:rPr>
              <w:t xml:space="preserve">Read it once, top to bottom, to un-mess the picture. Then rehearse Part 4 (the Speaking Board) out loud. Parts 1–3 are the knowledge you draw on to answer questions; Part 4 is what you actually say.</w:t>
            </w:r>
          </w:p>
          <w:p>
            <w:pPr>
              <w:spacing w:after="40"/>
            </w:pPr>
            <w:r>
              <w:rPr>
                <w:b/>
                <w:bCs/>
                <w:sz w:val="20"/>
                <w:szCs w:val="20"/>
              </w:rPr>
              <w:t xml:space="preserve">If you only have 20 minutes before the meeting, review these three things:</w:t>
            </w:r>
          </w:p>
          <w:p>
            <w:pPr>
              <w:pStyle w:val="ListParagraph"/>
              <w:numPr>
                <w:ilvl w:val="0"/>
                <w:numId w:val="2"/>
              </w:numPr>
              <w:spacing w:after="30"/>
            </w:pPr>
            <w:r>
              <w:rPr>
                <w:sz w:val="20"/>
                <w:szCs w:val="20"/>
              </w:rPr>
              <w:t xml:space="preserve">Part 1 — the four things you must say cold (problem, goal, model, what's different).</w:t>
            </w:r>
          </w:p>
          <w:p>
            <w:pPr>
              <w:pStyle w:val="ListParagraph"/>
              <w:numPr>
                <w:ilvl w:val="0"/>
                <w:numId w:val="3"/>
              </w:numPr>
              <w:spacing w:after="30"/>
            </w:pPr>
            <w:r>
              <w:rPr>
                <w:sz w:val="20"/>
                <w:szCs w:val="20"/>
              </w:rPr>
              <w:t xml:space="preserve">Part 4.1 — the 90-second opening pitch.</w:t>
            </w:r>
          </w:p>
          <w:p>
            <w:pPr>
              <w:pStyle w:val="ListParagraph"/>
              <w:numPr>
                <w:ilvl w:val="0"/>
                <w:numId w:val="3"/>
              </w:numPr>
              <w:spacing w:after="0"/>
            </w:pPr>
            <w:r>
              <w:rPr>
                <w:sz w:val="20"/>
                <w:szCs w:val="20"/>
              </w:rPr>
              <w:t xml:space="preserve">Part 5 — the one-page cheat sheet.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C49A2E" w:sz="18"/>
              <w:bottom w:val="none"/>
              <w:right w:val="none"/>
            </w:tcBorders>
            <w:shd w:fill="FBF3E4" w:val="clear"/>
            <w:tcMar>
              <w:top w:type="dxa" w:w="120"/>
              <w:left w:type="dxa" w:w="200"/>
              <w:bottom w:type="dxa" w:w="120"/>
              <w:right w:type="dxa" w:w="160"/>
            </w:tcMar>
          </w:tcPr>
          <w:p>
            <w:pPr>
              <w:spacing w:after="60"/>
            </w:pPr>
            <w:r>
              <w:rPr>
                <w:b/>
                <w:bCs/>
                <w:color w:val="C49A2E"/>
                <w:sz w:val="21"/>
                <w:szCs w:val="21"/>
              </w:rPr>
              <w:t xml:space="preserve">⭐ KEY — The one sentence that anchors everything</w:t>
            </w:r>
          </w:p>
          <w:p>
            <w:pPr>
              <w:spacing w:after="60"/>
            </w:pPr>
            <w:r>
              <w:rPr>
                <w:b/>
                <w:bCs/>
                <w:i/>
                <w:iCs/>
                <w:color w:val="1F3864"/>
                <w:sz w:val="23"/>
                <w:szCs w:val="23"/>
              </w:rPr>
              <w:t xml:space="preserve">“We are not here to develop a new technique. We are here to fill the gaps and limitations of existing studies.”</w:t>
            </w:r>
          </w:p>
          <w:p>
            <w:r>
              <w:rPr>
                <w:sz w:val="20"/>
                <w:szCs w:val="20"/>
              </w:rPr>
              <w:t xml:space="preserve">This is correct, and it is your strongest framing. It is a recognised type of research — a rigour-and-extension study. It also answers the hardest question before it's asked: “what's novel if you use standard models?” → the novelty is the controlled comparison and verification nobody else did, not the model parts.</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1 — The Four Things You Must Say Cold</w:t>
      </w:r>
    </w:p>
    <w:p>
      <w:pPr>
        <w:spacing w:after="120"/>
      </w:pPr>
      <w:r>
        <w:t xml:space="preserve">These four are the spine of the meeting. If you can state each clearly without notes, you control the conversation. Each one below has: a one-line definition, a plain explanation, and the exact way to say it.</w:t>
      </w:r>
    </w:p>
    <w:p>
      <w:pPr>
        <w:pStyle w:val="Heading2"/>
      </w:pPr>
      <w:r>
        <w:t xml:space="preserve">1.1 Problem Statement</w:t>
      </w:r>
    </w:p>
    <w:p>
      <w:pPr>
        <w:spacing w:after="120"/>
      </w:pPr>
      <w:r>
        <w:rPr>
          <w:b/>
          <w:bCs/>
        </w:rPr>
        <w:t xml:space="preserve">Definition. </w:t>
      </w:r>
      <w:r>
        <w:t xml:space="preserve">Thyroid nodules (lumps in the thyroid gland) are extremely common — found in most adults on ultrasound — but only 5–15% are cancerous. The problem is not finding nodules; it's deciding which of the many harmless ones actually need a biopsy.</w:t>
      </w:r>
    </w:p>
    <w:p>
      <w:pPr>
        <w:spacing w:after="120"/>
      </w:pPr>
      <w:r>
        <w:rPr>
          <w:b/>
          <w:bCs/>
        </w:rPr>
        <w:t xml:space="preserve">Plain version. </w:t>
      </w:r>
      <w:r>
        <w:t xml:space="preserve">Ultrasound already finds nodules easily. The hard part is triage: separating the few dangerous ones from the many harmless ones, so patients aren't sent for unnecessary, invasive needle biopsies (FNA — fine-needle aspiration). Reading ultrasound by eye is operator-dependent — two radiologists can disagree — so an objective AI second opinion is valuable.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2E75B6" w:sz="18"/>
              <w:bottom w:val="none"/>
              <w:right w:val="none"/>
            </w:tcBorders>
            <w:shd w:fill="EAF1FB" w:val="clear"/>
            <w:tcMar>
              <w:top w:type="dxa" w:w="120"/>
              <w:left w:type="dxa" w:w="200"/>
              <w:bottom w:type="dxa" w:w="120"/>
              <w:right w:type="dxa" w:w="160"/>
            </w:tcMar>
          </w:tcPr>
          <w:p>
            <w:pPr>
              <w:spacing w:after="60"/>
            </w:pPr>
            <w:r>
              <w:rPr>
                <w:b/>
                <w:bCs/>
                <w:color w:val="2E75B6"/>
                <w:sz w:val="21"/>
                <w:szCs w:val="21"/>
              </w:rPr>
              <w:t xml:space="preserve">🗣 SAY IT LIKE THIS</w:t>
            </w:r>
          </w:p>
          <w:p>
            <w:pPr>
              <w:spacing w:after="60"/>
            </w:pPr>
            <w:r>
              <w:rPr>
                <w:sz w:val="20"/>
                <w:szCs w:val="20"/>
              </w:rPr>
              <w:t xml:space="preserve">“The clinical problem isn't detecting thyroid nodules — ultrasound does that reliably. It's triage: most nodules are benign, but telling benign from malignant by eye is subjective, so a lot of patients get unnecessary biopsies. My project builds a model that helps make that benign-versus-malignant call more consistently.”</w:t>
            </w:r>
          </w:p>
        </w:tc>
      </w:tr>
    </w:tbl>
    <w:p>
      <w:pPr>
        <w:pStyle w:val="Heading2"/>
      </w:pPr>
      <w:r>
        <w:t xml:space="preserve">1.2 Your Real Goal — (the important one)</w:t>
      </w:r>
    </w:p>
    <w:p>
      <w:pPr>
        <w:spacing w:after="120"/>
      </w:pPr>
      <w:r>
        <w:rPr>
          <w:b/>
          <w:bCs/>
        </w:rPr>
        <w:t xml:space="preserve">Definition. </w:t>
      </w:r>
      <w:r>
        <w:t xml:space="preserve">To take the closest existing study, identify exactly where it falls short, and close those specific gaps with a more rigorous, honestly-evaluated version — not to invent a brand-new model.</w:t>
      </w:r>
    </w:p>
    <w:p>
      <w:pPr>
        <w:spacing w:after="120"/>
      </w:pPr>
      <w:r>
        <w:rPr>
          <w:b/>
          <w:bCs/>
        </w:rPr>
        <w:t xml:space="preserve">Plain version. </w:t>
      </w:r>
      <w:r>
        <w:t xml:space="preserve">A recent paper (Medicina, 2025) built a thyroid classifier and reported strong numbers — but it left three things untested or unverified, and its own tables contradict each other in places. Your goal is to do the parts they skipped, properly: test the attention choice they never compared, run the cross-dataset test they only claimed, and verify the explanation they only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C49A2E" w:sz="18"/>
              <w:bottom w:val="none"/>
              <w:right w:val="none"/>
            </w:tcBorders>
            <w:shd w:fill="FBF3E4" w:val="clear"/>
            <w:tcMar>
              <w:top w:type="dxa" w:w="120"/>
              <w:left w:type="dxa" w:w="200"/>
              <w:bottom w:type="dxa" w:w="120"/>
              <w:right w:type="dxa" w:w="160"/>
            </w:tcMar>
          </w:tcPr>
          <w:p>
            <w:pPr>
              <w:spacing w:after="60"/>
            </w:pPr>
            <w:r>
              <w:rPr>
                <w:b/>
                <w:bCs/>
                <w:color w:val="C49A2E"/>
                <w:sz w:val="21"/>
                <w:szCs w:val="21"/>
              </w:rPr>
              <w:t xml:space="preserve">⭐ KEY — This is the heart of the meeting — do not drift from it</w:t>
            </w:r>
          </w:p>
          <w:p>
            <w:r>
              <w:rPr>
                <w:sz w:val="20"/>
                <w:szCs w:val="20"/>
              </w:rPr>
              <w:t xml:space="preserve">Your goal is contribution-by-rigour, not contribution-by-invention. Both are real research. Stating this confidently turns your “I'm using standard models” from a weakness into the whole point. Success is a </w:t>
            </w:r>
            <w:r>
              <w:rPr>
                <w:b/>
                <w:bCs/>
                <w:sz w:val="20"/>
                <w:szCs w:val="20"/>
              </w:rPr>
              <w:t xml:space="preserve">rigorous answer</w:t>
            </w:r>
            <w:r>
              <w:rPr>
                <w:sz w:val="20"/>
                <w:szCs w:val="20"/>
              </w:rPr>
              <w:t xml:space="preserve">, whichever way the numbers fall — even “attention didn't help” is a complete, honest, useful result.</w:t>
            </w:r>
          </w:p>
        </w:tc>
      </w:tr>
    </w:tbl>
    <w:p>
      <w:pPr>
        <w:pStyle w:val="Heading2"/>
      </w:pPr>
      <w:r>
        <w:t xml:space="preserve">1.3 The Model — with every term defined</w:t>
      </w:r>
    </w:p>
    <w:p>
      <w:pPr>
        <w:spacing w:after="120"/>
      </w:pPr>
      <w:r>
        <w:rPr>
          <w:b/>
          <w:bCs/>
        </w:rPr>
        <w:t xml:space="preserve">Full name to say: </w:t>
      </w:r>
      <w:r>
        <w:rPr>
          <w:i/>
          <w:iCs/>
        </w:rPr>
        <w:t xml:space="preserve">“A ResNet-50 backbone with a CBAM attention module, fine-tuned from ImageNet using transfer learning, for binary classification of benign versus malignant nodules.”</w:t>
      </w:r>
    </w:p>
    <w:p>
      <w:pPr>
        <w:spacing w:after="120"/>
      </w:pPr>
      <w:r>
        <w:t xml:space="preserve">Every term in that sentence, defined plainly so you can survive a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Term</w:t>
            </w:r>
          </w:p>
        </w:tc>
        <w:tc>
          <w:tcPr>
            <w:tcW w:type="dxa" w:w="72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What it means</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ResNet-50</w:t>
            </w:r>
          </w:p>
        </w:tc>
        <w:tc>
          <w:tcPr>
            <w:tcW w:type="dxa" w:w="7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A 50-layer Convolutional Neural Network (CNN). “Residual” = it has skip connections that let very deep networks train without breaking. It's the standard, reliable image-model baseline.</w:t>
            </w:r>
          </w:p>
        </w:tc>
      </w:tr>
      <w:tr>
        <w:tc>
          <w:tcPr>
            <w:tcW w:type="dxa" w:w="2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CNN</w:t>
            </w:r>
          </w:p>
        </w:tc>
        <w:tc>
          <w:tcPr>
            <w:tcW w:type="dxa" w:w="72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Convolutional Neural Network — the standard deep-learning model for images. It scans the image with small learnable filters, building from simple patterns (edges) up to complex ones (a nodule's shape).</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Backbone</w:t>
            </w:r>
          </w:p>
        </w:tc>
        <w:tc>
          <w:tcPr>
            <w:tcW w:type="dxa" w:w="7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The main feature-extracting part of the model — ResNet-50 here. It turns an image into a meaningful set of numbers the final layer can classify.</w:t>
            </w:r>
          </w:p>
        </w:tc>
      </w:tr>
      <w:tr>
        <w:tc>
          <w:tcPr>
            <w:tcW w:type="dxa" w:w="2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CBAM</w:t>
            </w:r>
          </w:p>
        </w:tc>
        <w:tc>
          <w:tcPr>
            <w:tcW w:type="dxa" w:w="72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Convolutional Block Attention Module — an add-on that gives the model attention. It has two parts: channel attention (which kinds of features matter) and spatial attention (where in the image matters). The spatial part is what pushes the model to look at the nodule, not the background.</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Transfer learning</w:t>
            </w:r>
          </w:p>
        </w:tc>
        <w:tc>
          <w:tcPr>
            <w:tcW w:type="dxa" w:w="7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Instead of training from zero (needs millions of images), you start from a model already trained on ImageNet — a giant set of everyday photos — and adapt it. Standard practice on small medical datasets.</w:t>
            </w:r>
          </w:p>
        </w:tc>
      </w:tr>
      <w:tr>
        <w:tc>
          <w:tcPr>
            <w:tcW w:type="dxa" w:w="2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Fine-tuning</w:t>
            </w:r>
          </w:p>
        </w:tc>
        <w:tc>
          <w:tcPr>
            <w:tcW w:type="dxa" w:w="72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The adapting step itself: carefully adjusting the pretrained model's internal values on your thyroid images.</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ImageNet</w:t>
            </w:r>
          </w:p>
        </w:tc>
        <w:tc>
          <w:tcPr>
            <w:tcW w:type="dxa" w:w="7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The huge general-photo dataset (cats, cars, etc.) that the backbone was first trained on — it gives the model a head start on basic vision.</w:t>
            </w:r>
          </w:p>
        </w:tc>
      </w:tr>
      <w:tr>
        <w:tc>
          <w:tcPr>
            <w:tcW w:type="dxa" w:w="2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Binary classification</w:t>
            </w:r>
          </w:p>
        </w:tc>
        <w:tc>
          <w:tcPr>
            <w:tcW w:type="dxa" w:w="72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The model outputs one of two labels: benign (0) or malignant (1) — plus a probability between them.</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Sigmoid output</w:t>
            </w:r>
          </w:p>
        </w:tc>
        <w:tc>
          <w:tcPr>
            <w:tcW w:type="dxa" w:w="7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The final mathematical step that squashes the model's score into a 0–1 probability of malignancy.</w:t>
            </w:r>
          </w:p>
        </w:tc>
      </w:tr>
    </w:tbl>
    <w:p>
      <w:pPr>
        <w:pStyle w:val="Heading2"/>
      </w:pPr>
      <w:r>
        <w:t xml:space="preserve">1.4 What You're Doing Differently from the Medicina Paper</w:t>
      </w:r>
    </w:p>
    <w:p>
      <w:pPr>
        <w:spacing w:after="120"/>
      </w:pPr>
      <w:r>
        <w:t xml:space="preserve">The contribution, stated as four concrete gaps you close. (Full side-by-side in the companion “Medicina Paper — Crux &amp; Comparison”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Their gap</w:t>
            </w:r>
          </w:p>
        </w:tc>
        <w:tc>
          <w:tcPr>
            <w:tcW w:type="dxa" w:w="59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What you do instead</w:t>
            </w:r>
          </w:p>
        </w:tc>
      </w:tr>
      <w:tr>
        <w:tc>
          <w:tcPr>
            <w:tcW w:type="dxa" w:w="3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Tried only SE-block attention — never compared it to anything</w:t>
            </w:r>
          </w:p>
        </w:tc>
        <w:tc>
          <w:tcPr>
            <w:tcW w:type="dxa" w:w="5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Compare CBAM against a plain no-attention baseline, head-to-head, same data — so the effect of attention is actually measured</w:t>
            </w:r>
          </w:p>
        </w:tc>
      </w:tr>
      <w:tr>
        <w:tc>
          <w:tcPr>
            <w:tcW w:type="dxa" w:w="34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Claimed a cross-dataset test using an uncited, unverifiable dataset</w:t>
            </w:r>
          </w:p>
        </w:tc>
        <w:tc>
          <w:tcPr>
            <w:tcW w:type="dxa" w:w="59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Train on TN5000, test on DDTI — both real, cited, named — a generalisation test anyone can check</w:t>
            </w:r>
          </w:p>
        </w:tc>
      </w:tr>
      <w:tr>
        <w:tc>
          <w:tcPr>
            <w:tcW w:type="dxa" w:w="3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Showed Grad-CAM heatmaps but never verified them</w:t>
            </w:r>
          </w:p>
        </w:tc>
        <w:tc>
          <w:tcPr>
            <w:tcW w:type="dxa" w:w="5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Add a masking check: cover the region the heatmap highlights and confirm the prediction actually drops — proving the explanation is real, not decorative</w:t>
            </w:r>
          </w:p>
        </w:tc>
      </w:tr>
      <w:tr>
        <w:tc>
          <w:tcPr>
            <w:tcW w:type="dxa" w:w="34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Their own tables disagree (two different accuracies for the same model; two different training times)</w:t>
            </w:r>
          </w:p>
        </w:tc>
        <w:tc>
          <w:tcPr>
            <w:tcW w:type="dxa" w:w="59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Run a documented validation checklist at every phase, specifically to avoid that class of inconsistency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2E75B6" w:sz="18"/>
              <w:bottom w:val="none"/>
              <w:right w:val="none"/>
            </w:tcBorders>
            <w:shd w:fill="EAF1FB" w:val="clear"/>
            <w:tcMar>
              <w:top w:type="dxa" w:w="120"/>
              <w:left w:type="dxa" w:w="200"/>
              <w:bottom w:type="dxa" w:w="120"/>
              <w:right w:type="dxa" w:w="160"/>
            </w:tcMar>
          </w:tcPr>
          <w:p>
            <w:pPr>
              <w:spacing w:after="60"/>
            </w:pPr>
            <w:r>
              <w:rPr>
                <w:b/>
                <w:bCs/>
                <w:color w:val="2E75B6"/>
                <w:sz w:val="21"/>
                <w:szCs w:val="21"/>
              </w:rPr>
              <w:t xml:space="preserve">🗣 SAY IT LIKE THIS</w:t>
            </w:r>
          </w:p>
          <w:p>
            <w:pPr>
              <w:spacing w:after="60"/>
            </w:pPr>
            <w:r>
              <w:rPr>
                <w:sz w:val="20"/>
                <w:szCs w:val="20"/>
              </w:rPr>
              <w:t xml:space="preserve">“The closest paper built a more complex custom model and reported strong numbers, but it left its attention choice untested, its generalisation claim unverifiable, and its explanation unchecked — and its own tables don't fully agree. I'm using simpler, standard parts on purpose, so the effort goes into closing those three gaps properly.”</w:t>
            </w:r>
          </w:p>
        </w:tc>
      </w:tr>
    </w:tbl>
    <w:p>
      <w:r>
        <w:br w:type="page"/>
      </w:r>
    </w:p>
    <w:p>
      <w:pPr>
        <w:pStyle w:val="Heading1"/>
      </w:pPr>
      <w:r>
        <w:t xml:space="preserve">Part 2 — The Three Pillars (and the Real Centerpiece)</w:t>
      </w:r>
    </w:p>
    <w:p>
      <w:pPr>
        <w:spacing w:after="120"/>
      </w:pPr>
      <w:r>
        <w:t xml:space="preserve">Your project's title rests on three pillars: Attention, Explainability, and Risk Assessment. Here's what each means, how you actually do it, and — important — where each one really stands in the work you've scoped.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C49A2E" w:sz="18"/>
              <w:bottom w:val="none"/>
              <w:right w:val="none"/>
            </w:tcBorders>
            <w:shd w:fill="FBF3E4" w:val="clear"/>
            <w:tcMar>
              <w:top w:type="dxa" w:w="120"/>
              <w:left w:type="dxa" w:w="200"/>
              <w:bottom w:type="dxa" w:w="120"/>
              <w:right w:type="dxa" w:w="160"/>
            </w:tcMar>
          </w:tcPr>
          <w:p>
            <w:pPr>
              <w:spacing w:after="60"/>
            </w:pPr>
            <w:r>
              <w:rPr>
                <w:b/>
                <w:bCs/>
                <w:color w:val="C49A2E"/>
                <w:sz w:val="21"/>
                <w:szCs w:val="21"/>
              </w:rPr>
              <w:t xml:space="preserve">⭐ KEY — Be honest about what's built vs. what's planned</w:t>
            </w:r>
          </w:p>
          <w:p>
            <w:pPr>
              <w:spacing w:after="60"/>
            </w:pPr>
            <w:r>
              <w:rPr>
                <w:sz w:val="20"/>
                <w:szCs w:val="20"/>
              </w:rPr>
              <w:t xml:space="preserve">Two of the three pillars have results this round. The third (Risk Assessment) is the planned extension, not something you'll have finished by mid-July. And the thing actually doing the heaviest lifting as your contribution — cross-dataset generalisation — isn't one of the three named pillars, but it's the real centerpiece. Present all three as the conceptual frame, but don't claim risk-assessment results you don't have.</w:t>
            </w:r>
          </w:p>
        </w:tc>
      </w:tr>
    </w:tbl>
    <w:p>
      <w:pPr>
        <w:pStyle w:val="Heading2"/>
      </w:pPr>
      <w:r>
        <w:t xml:space="preserve">2.1 Pillar 1 — Attention  (ACTIVE, has results)</w:t>
      </w:r>
    </w:p>
    <w:p>
      <w:pPr>
        <w:spacing w:after="120"/>
      </w:pPr>
      <w:r>
        <w:rPr>
          <w:b/>
          <w:bCs/>
        </w:rPr>
        <w:t xml:space="preserve">What it is. </w:t>
      </w:r>
      <w:r>
        <w:t xml:space="preserve">A mechanism that lets the model learn which parts of the image matter most and weight them more heavily — here, to focus on the nodule rather than surrounding tissue or image artifacts.</w:t>
      </w:r>
    </w:p>
    <w:p>
      <w:pPr>
        <w:spacing w:after="120"/>
      </w:pPr>
      <w:r>
        <w:rPr>
          <w:b/>
          <w:bCs/>
        </w:rPr>
        <w:t xml:space="preserve">How you do it. </w:t>
      </w:r>
      <w:r>
        <w:t xml:space="preserve">Add the CBAM module to the ResNet-50 and compare it against the same ResNet-50 with no attention. Everything else identical. This is “Leg A” of your experiment.</w:t>
      </w:r>
    </w:p>
    <w:p>
      <w:pPr>
        <w:spacing w:after="120"/>
      </w:pPr>
      <w:r>
        <w:rPr>
          <w:b/>
          <w:bCs/>
        </w:rPr>
        <w:t xml:space="preserve">Metric. </w:t>
      </w:r>
      <w:r>
        <w:t xml:space="preserve">Whether sensitivity and AUC improve with CBAM versus without, on the same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2E75B6" w:sz="18"/>
              <w:bottom w:val="none"/>
              <w:right w:val="none"/>
            </w:tcBorders>
            <w:shd w:fill="EAF1FB" w:val="clear"/>
            <w:tcMar>
              <w:top w:type="dxa" w:w="120"/>
              <w:left w:type="dxa" w:w="200"/>
              <w:bottom w:type="dxa" w:w="120"/>
              <w:right w:type="dxa" w:w="160"/>
            </w:tcMar>
          </w:tcPr>
          <w:p>
            <w:pPr>
              <w:spacing w:after="60"/>
            </w:pPr>
            <w:r>
              <w:rPr>
                <w:b/>
                <w:bCs/>
                <w:color w:val="2E75B6"/>
                <w:sz w:val="21"/>
                <w:szCs w:val="21"/>
              </w:rPr>
              <w:t xml:space="preserve">🗣 SAY IT LIKE THIS</w:t>
            </w:r>
          </w:p>
          <w:p>
            <w:pPr>
              <w:spacing w:after="60"/>
            </w:pPr>
            <w:r>
              <w:rPr>
                <w:sz w:val="20"/>
                <w:szCs w:val="20"/>
              </w:rPr>
              <w:t xml:space="preserve">“Attention means the model learns where to look. I add a module called CBAM and compare it against the same model without it — if it improves detection of cancers, the attention earned its place.”</w:t>
            </w:r>
          </w:p>
        </w:tc>
      </w:tr>
    </w:tbl>
    <w:p>
      <w:pPr>
        <w:pStyle w:val="Heading2"/>
      </w:pPr>
      <w:r>
        <w:t xml:space="preserve">2.2 Pillar 2 — Explainability  (ACTIVE, has results)</w:t>
      </w:r>
    </w:p>
    <w:p>
      <w:pPr>
        <w:spacing w:after="120"/>
      </w:pPr>
      <w:r>
        <w:rPr>
          <w:b/>
          <w:bCs/>
        </w:rPr>
        <w:t xml:space="preserve">What it is. </w:t>
      </w:r>
      <w:r>
        <w:t xml:space="preserve">Making the model's decision visible and trustworthy — showing which image regions drove a prediction, and verifying the model truly used them.</w:t>
      </w:r>
    </w:p>
    <w:p>
      <w:pPr>
        <w:spacing w:after="120"/>
      </w:pPr>
      <w:r>
        <w:rPr>
          <w:b/>
          <w:bCs/>
        </w:rPr>
        <w:t xml:space="preserve">How you do it. </w:t>
      </w:r>
      <w:r>
        <w:t xml:space="preserve">Generate Grad-CAM heatmaps (coloured overlays showing influential regions), then run a masking faithfulness check — cover the highlighted region and confirm the prediction drops more than it would for a random region. The second step is what makes the explanation honest instead of just pretty.</w:t>
      </w:r>
    </w:p>
    <w:p>
      <w:pPr>
        <w:spacing w:after="120"/>
      </w:pPr>
      <w:r>
        <w:rPr>
          <w:b/>
          <w:bCs/>
        </w:rPr>
        <w:t xml:space="preserve">Metric. </w:t>
      </w:r>
      <w:r>
        <w:t xml:space="preserve">Localization Accuracy (does the heatmap land on the actual nodule — comparable to the competitor's reported 0.84), plus the confidence-drop difference between masking the attended region versus a random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2E75B6" w:sz="18"/>
              <w:bottom w:val="none"/>
              <w:right w:val="none"/>
            </w:tcBorders>
            <w:shd w:fill="EAF1FB" w:val="clear"/>
            <w:tcMar>
              <w:top w:type="dxa" w:w="120"/>
              <w:left w:type="dxa" w:w="200"/>
              <w:bottom w:type="dxa" w:w="120"/>
              <w:right w:type="dxa" w:w="160"/>
            </w:tcMar>
          </w:tcPr>
          <w:p>
            <w:pPr>
              <w:spacing w:after="60"/>
            </w:pPr>
            <w:r>
              <w:rPr>
                <w:b/>
                <w:bCs/>
                <w:color w:val="2E75B6"/>
                <w:sz w:val="21"/>
                <w:szCs w:val="21"/>
              </w:rPr>
              <w:t xml:space="preserve">🗣 SAY IT LIKE THIS</w:t>
            </w:r>
          </w:p>
          <w:p>
            <w:pPr>
              <w:spacing w:after="60"/>
            </w:pPr>
            <w:r>
              <w:rPr>
                <w:sz w:val="20"/>
                <w:szCs w:val="20"/>
              </w:rPr>
              <w:t xml:space="preserve">“Explainability means a clinician can see why the model decided what it did. I produce heatmaps showing where it looked — then I verify them: if I cover that region and the prediction barely changes, the heatmap was misleading. That verification step is one of the things the competitor paper skipped.”</w:t>
            </w:r>
          </w:p>
        </w:tc>
      </w:tr>
    </w:tbl>
    <w:p>
      <w:pPr>
        <w:pStyle w:val="Heading2"/>
      </w:pPr>
      <w:r>
        <w:t xml:space="preserve">2.3 Pillar 3 — Risk Assessment  (PLANNED EXTENSION, not yet built)</w:t>
      </w:r>
    </w:p>
    <w:p>
      <w:pPr>
        <w:spacing w:after="120"/>
      </w:pPr>
      <w:r>
        <w:rPr>
          <w:b/>
          <w:bCs/>
        </w:rPr>
        <w:t xml:space="preserve">What it is. </w:t>
      </w:r>
      <w:r>
        <w:t xml:space="preserve">Turning the model's raw output into a trustworthy probability and a clinical risk band — so “90% malignant” genuinely means 90%, mappable onto the TI-RADS risk categories clinicians already use.</w:t>
      </w:r>
    </w:p>
    <w:p>
      <w:pPr>
        <w:spacing w:after="120"/>
      </w:pPr>
      <w:r>
        <w:rPr>
          <w:b/>
          <w:bCs/>
        </w:rPr>
        <w:t xml:space="preserve">How you would do it. </w:t>
      </w:r>
      <w:r>
        <w:t xml:space="preserve">Probability calibration (reliability diagrams, a metric called Expected Calibration Error, and a fix called temperature scaling), then mapping calibrated probabilities to TI-RADS-style bands.</w:t>
      </w:r>
    </w:p>
    <w:p>
      <w:pPr>
        <w:spacing w:after="120"/>
      </w:pPr>
      <w:r>
        <w:rPr>
          <w:b/>
          <w:bCs/>
        </w:rPr>
        <w:t xml:space="preserve">Honest status. </w:t>
      </w:r>
      <w:r>
        <w:t xml:space="preserve">This is the “early risk assessment” in your title, and it's scoped as the extension — done if time allows after the core work. Say so plainly; don't imply it's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2E75B6" w:sz="18"/>
              <w:bottom w:val="none"/>
              <w:right w:val="none"/>
            </w:tcBorders>
            <w:shd w:fill="EAF1FB" w:val="clear"/>
            <w:tcMar>
              <w:top w:type="dxa" w:w="120"/>
              <w:left w:type="dxa" w:w="200"/>
              <w:bottom w:type="dxa" w:w="120"/>
              <w:right w:type="dxa" w:w="160"/>
            </w:tcMar>
          </w:tcPr>
          <w:p>
            <w:pPr>
              <w:spacing w:after="60"/>
            </w:pPr>
            <w:r>
              <w:rPr>
                <w:b/>
                <w:bCs/>
                <w:color w:val="2E75B6"/>
                <w:sz w:val="21"/>
                <w:szCs w:val="21"/>
              </w:rPr>
              <w:t xml:space="preserve">🗣 SAY IT LIKE THIS</w:t>
            </w:r>
          </w:p>
          <w:p>
            <w:pPr>
              <w:spacing w:after="60"/>
            </w:pPr>
            <w:r>
              <w:rPr>
                <w:sz w:val="20"/>
                <w:szCs w:val="20"/>
              </w:rPr>
              <w:t xml:space="preserve">“The third pillar, risk assessment, is about making the probability trustworthy and mapping it to the TI-RADS bands radiologists use. That's scoped as my extension — the priority is getting the attention and explainability results solid first.”</w:t>
            </w:r>
          </w:p>
        </w:tc>
      </w:tr>
    </w:tbl>
    <w:p>
      <w:pPr>
        <w:pStyle w:val="Heading2"/>
      </w:pPr>
      <w:r>
        <w:t xml:space="preserve">2.4 The Real Centerpiece — Generalisation  (ACTIVE, your actual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C49A2E" w:sz="18"/>
              <w:bottom w:val="none"/>
              <w:right w:val="none"/>
            </w:tcBorders>
            <w:shd w:fill="FBF3E4" w:val="clear"/>
            <w:tcMar>
              <w:top w:type="dxa" w:w="120"/>
              <w:left w:type="dxa" w:w="200"/>
              <w:bottom w:type="dxa" w:w="120"/>
              <w:right w:type="dxa" w:w="160"/>
            </w:tcMar>
          </w:tcPr>
          <w:p>
            <w:pPr>
              <w:spacing w:after="60"/>
            </w:pPr>
            <w:r>
              <w:rPr>
                <w:b/>
                <w:bCs/>
                <w:color w:val="C49A2E"/>
                <w:sz w:val="21"/>
                <w:szCs w:val="21"/>
              </w:rPr>
              <w:t xml:space="preserve">⭐ KEY — Don't let the three-pillar framing bury this</w:t>
            </w:r>
          </w:p>
          <w:p>
            <w:pPr>
              <w:spacing w:after="60"/>
            </w:pPr>
            <w:r>
              <w:rPr>
                <w:sz w:val="20"/>
                <w:szCs w:val="20"/>
              </w:rPr>
              <w:t xml:space="preserve">Generalisation is the single thing nobody in your reading list actually delivered for this task. It is your strongest, most defensible contribution — make sure it gets airtime even though it isn't one of the three titled pillars.</w:t>
            </w:r>
          </w:p>
          <w:p>
            <w:r>
              <w:rPr>
                <w:sz w:val="20"/>
                <w:szCs w:val="20"/>
              </w:rPr>
              <w:t xml:space="preserve">What it is: training the model on one dataset (TN5000) and testing it on a completely different one it never saw (DDTI) — a different hospital, different scanner, different labelling standard. It answers the question that actually matters for real-world use: does the model still work on data unlike what it trained on? This is “Leg B.”</w:t>
            </w:r>
          </w:p>
        </w:tc>
      </w:tr>
    </w:tbl>
    <w:p>
      <w:pPr>
        <w:spacing w:after="120"/>
      </w:pPr>
      <w:r>
        <w:rPr>
          <w:b/>
          <w:bCs/>
        </w:rPr>
        <w:t xml:space="preserve">The key insight to state. </w:t>
      </w:r>
      <w:r>
        <w:t xml:space="preserve">Success isn't “the DDTI score is high.” It's whether the accuracy </w:t>
      </w:r>
      <w:r>
        <w:rPr>
          <w:b/>
          <w:bCs/>
          <w:i/>
          <w:iCs/>
        </w:rPr>
        <w:t xml:space="preserve">drop</w:t>
      </w:r>
      <w:r>
        <w:t xml:space="preserve"> from TN5000 to DDTI is </w:t>
      </w:r>
      <w:r>
        <w:rPr>
          <w:b/>
          <w:bCs/>
          <w:i/>
          <w:iCs/>
        </w:rPr>
        <w:t xml:space="preserve">smaller</w:t>
      </w:r>
      <w:r>
        <w:t xml:space="preserve"> for the CBAM model than for the plain baseline. If CBAM generalises better, that alone is a paper-worthy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2E75B6" w:sz="18"/>
              <w:bottom w:val="none"/>
              <w:right w:val="none"/>
            </w:tcBorders>
            <w:shd w:fill="EAF1FB" w:val="clear"/>
            <w:tcMar>
              <w:top w:type="dxa" w:w="120"/>
              <w:left w:type="dxa" w:w="200"/>
              <w:bottom w:type="dxa" w:w="120"/>
              <w:right w:type="dxa" w:w="160"/>
            </w:tcMar>
          </w:tcPr>
          <w:p>
            <w:pPr>
              <w:spacing w:after="60"/>
            </w:pPr>
            <w:r>
              <w:rPr>
                <w:b/>
                <w:bCs/>
                <w:color w:val="2E75B6"/>
                <w:sz w:val="21"/>
                <w:szCs w:val="21"/>
              </w:rPr>
              <w:t xml:space="preserve">🗣 SAY IT LIKE THIS</w:t>
            </w:r>
          </w:p>
          <w:p>
            <w:pPr>
              <w:spacing w:after="60"/>
            </w:pPr>
            <w:r>
              <w:rPr>
                <w:sz w:val="20"/>
                <w:szCs w:val="20"/>
              </w:rPr>
              <w:t xml:space="preserve">“The part I'm most focused on is generalisation — I train on one dataset and test on a totally different one the model has never seen. That's the test the closest paper claimed but couldn't actually back up, and it's the real measure of whether a model would survive outside the lab.”</w:t>
            </w:r>
          </w:p>
        </w:tc>
      </w:tr>
    </w:tbl>
    <w:p>
      <w:r>
        <w:br w:type="page"/>
      </w:r>
    </w:p>
    <w:p>
      <w:pPr>
        <w:pStyle w:val="Heading1"/>
      </w:pPr>
      <w:r>
        <w:t xml:space="preserve">Part 3 — The Knowledge Bank (to answer questions)</w:t>
      </w:r>
    </w:p>
    <w:p>
      <w:pPr>
        <w:spacing w:after="120"/>
      </w:pPr>
      <w:r>
        <w:t xml:space="preserve">This is your side of the table — the depth you draw on when Dr. Gunjan asks a follow-up. You don't present this; you keep it ready.</w:t>
      </w:r>
    </w:p>
    <w:p>
      <w:pPr>
        <w:pStyle w:val="Heading2"/>
      </w:pPr>
      <w:r>
        <w:t xml:space="preserve">3.1 Evaluation Metrics — the deep version</w:t>
      </w:r>
    </w:p>
    <w:p>
      <w:pPr>
        <w:spacing w:after="120"/>
      </w:pPr>
      <w:r>
        <w:t xml:space="preserve">Accuracy alone is misleading on this data, because cancers are the minority. A model that calls everything benign could look 85% accurate and catch zero cancers. So you report several metrics together. All of them come from one simple table.</w:t>
      </w:r>
    </w:p>
    <w:p>
      <w:pPr>
        <w:pStyle w:val="Heading3"/>
      </w:pPr>
      <w:r>
        <w:t xml:space="preserve">The confusion matrix — the source of every metric</w:t>
      </w:r>
    </w:p>
    <w:p>
      <w:pPr>
        <w:spacing w:after="120"/>
      </w:pPr>
      <w:r>
        <w:t xml:space="preserve">A confusion matrix is just a 2×2 grid comparing what the model predicted against the truth. “Positive” means malignant. Four 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
            </w:r>
          </w:p>
        </w:tc>
        <w:tc>
          <w:tcPr>
            <w:tcW w:type="dxa" w:w="338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Model predicts: BENIGN</w:t>
            </w:r>
          </w:p>
        </w:tc>
        <w:tc>
          <w:tcPr>
            <w:tcW w:type="dxa" w:w="338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Model predicts: MALIGNANT</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sz w:val="20"/>
                <w:szCs w:val="20"/>
              </w:rPr>
              <w:t xml:space="preserve">Truly BENIGN</w:t>
            </w:r>
          </w:p>
        </w:tc>
        <w:tc>
          <w:tcPr>
            <w:tcW w:type="dxa" w:w="33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color w:val="548235"/>
                <w:sz w:val="20"/>
                <w:szCs w:val="20"/>
              </w:rPr>
              <w:t xml:space="preserve">True Negative (TN) ✓</w:t>
            </w:r>
            <w:r>
              <w:rPr>
                <w:color w:val="808080"/>
                <w:sz w:val="18"/>
                <w:szCs w:val="18"/>
              </w:rPr>
              <w:t xml:space="preserve"> — correctly cleared</w:t>
            </w:r>
          </w:p>
        </w:tc>
        <w:tc>
          <w:tcPr>
            <w:tcW w:type="dxa" w:w="33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color w:val="C00000"/>
                <w:sz w:val="20"/>
                <w:szCs w:val="20"/>
              </w:rPr>
              <w:t xml:space="preserve">False Positive (FP) ✗</w:t>
            </w:r>
            <w:r>
              <w:rPr>
                <w:color w:val="808080"/>
                <w:sz w:val="18"/>
                <w:szCs w:val="18"/>
              </w:rPr>
              <w:t xml:space="preserve"> — false alarm</w:t>
            </w:r>
          </w:p>
        </w:tc>
      </w:tr>
      <w:tr>
        <w:tc>
          <w:tcPr>
            <w:tcW w:type="dxa" w:w="26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b/>
                <w:bCs/>
                <w:sz w:val="20"/>
                <w:szCs w:val="20"/>
              </w:rPr>
              <w:t xml:space="preserve">Truly MALIGNANT</w:t>
            </w:r>
          </w:p>
        </w:tc>
        <w:tc>
          <w:tcPr>
            <w:tcW w:type="dxa" w:w="33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color w:val="C00000"/>
                <w:sz w:val="20"/>
                <w:szCs w:val="20"/>
              </w:rPr>
              <w:t xml:space="preserve">False Negative (FN) ✗</w:t>
            </w:r>
            <w:r>
              <w:rPr>
                <w:color w:val="808080"/>
                <w:sz w:val="18"/>
                <w:szCs w:val="18"/>
              </w:rPr>
              <w:t xml:space="preserve"> — missed cancer (worst)</w:t>
            </w:r>
          </w:p>
        </w:tc>
        <w:tc>
          <w:tcPr>
            <w:tcW w:type="dxa" w:w="33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color w:val="548235"/>
                <w:sz w:val="20"/>
                <w:szCs w:val="20"/>
              </w:rPr>
              <w:t xml:space="preserve">True Positive (TP) ✓</w:t>
            </w:r>
            <w:r>
              <w:rPr>
                <w:color w:val="808080"/>
                <w:sz w:val="18"/>
                <w:szCs w:val="18"/>
              </w:rPr>
              <w:t xml:space="preserve"> — correctly caught</w:t>
            </w:r>
          </w:p>
        </w:tc>
      </w:tr>
    </w:tbl>
    <w:p>
      <w:pPr>
        <w:spacing w:after="120"/>
      </w:pPr>
      <w:r>
        <w:rPr>
          <w:b/>
          <w:bCs/>
        </w:rPr>
        <w:t xml:space="preserve">The one to fear is False Negative </w:t>
      </w:r>
      <w:r>
        <w:t xml:space="preserve">— a real cancer the model called benign. In a triage tool, that's the error that hurts a patient. This is exactly why sensitivity (below) is your most important metric.</w:t>
      </w:r>
    </w:p>
    <w:p>
      <w:pPr>
        <w:pStyle w:val="Heading3"/>
      </w:pPr>
      <w:r>
        <w:t xml:space="preserve">Worked example (illustrative numbers, not your real results)</w:t>
      </w:r>
    </w:p>
    <w:p>
      <w:pPr>
        <w:spacing w:after="120"/>
      </w:pPr>
      <w:r>
        <w:t xml:space="preserve">Say a test set has 1,000 images: 700 truly malignant, 300 truly benign. Suppose the model produces this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
            </w:r>
          </w:p>
        </w:tc>
        <w:tc>
          <w:tcPr>
            <w:tcW w:type="dxa" w:w="338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Predicted BENIGN</w:t>
            </w:r>
          </w:p>
        </w:tc>
        <w:tc>
          <w:tcPr>
            <w:tcW w:type="dxa" w:w="338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Predicted MALIGNANT</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Truly BENIGN (300)</w:t>
            </w:r>
          </w:p>
        </w:tc>
        <w:tc>
          <w:tcPr>
            <w:tcW w:type="dxa" w:w="33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TN = 240</w:t>
            </w:r>
          </w:p>
        </w:tc>
        <w:tc>
          <w:tcPr>
            <w:tcW w:type="dxa" w:w="33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FP = 60</w:t>
            </w:r>
          </w:p>
        </w:tc>
      </w:tr>
      <w:tr>
        <w:tc>
          <w:tcPr>
            <w:tcW w:type="dxa" w:w="26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Truly MALIGNANT (700)</w:t>
            </w:r>
          </w:p>
        </w:tc>
        <w:tc>
          <w:tcPr>
            <w:tcW w:type="dxa" w:w="33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FN = 70</w:t>
            </w:r>
          </w:p>
        </w:tc>
        <w:tc>
          <w:tcPr>
            <w:tcW w:type="dxa" w:w="33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TP = 630</w:t>
            </w:r>
          </w:p>
        </w:tc>
      </w:tr>
    </w:tbl>
    <w:p>
      <w:pPr>
        <w:spacing w:after="120"/>
      </w:pPr>
      <w:r>
        <w:t xml:space="preserve">From those four numbers, every metric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060"/>
        <w:gridCol w:w="310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Metric</w:t>
            </w:r>
          </w:p>
        </w:tc>
        <w:tc>
          <w:tcPr>
            <w:tcW w:type="dxa" w:w="21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Formula</w:t>
            </w:r>
          </w:p>
        </w:tc>
        <w:tc>
          <w:tcPr>
            <w:tcW w:type="dxa" w:w="20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This example</w:t>
            </w:r>
          </w:p>
        </w:tc>
        <w:tc>
          <w:tcPr>
            <w:tcW w:type="dxa" w:w="31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Reading</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Sensitivity (Recall)</w:t>
            </w:r>
          </w:p>
        </w:tc>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TP / (TP+FN)</w:t>
            </w:r>
          </w:p>
        </w:tc>
        <w:tc>
          <w:tcPr>
            <w:tcW w:type="dxa" w:w="2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630 / 700 = 90%</w:t>
            </w:r>
          </w:p>
        </w:tc>
        <w:tc>
          <w:tcPr>
            <w:tcW w:type="dxa" w:w="3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Of real cancers, 90% were caught. Most important metric.</w:t>
            </w:r>
          </w:p>
        </w:tc>
      </w:tr>
      <w:tr>
        <w:tc>
          <w:tcPr>
            <w:tcW w:type="dxa" w:w="2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Specificity</w:t>
            </w:r>
          </w:p>
        </w:tc>
        <w:tc>
          <w:tcPr>
            <w:tcW w:type="dxa" w:w="2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TN / (TN+FP)</w:t>
            </w:r>
          </w:p>
        </w:tc>
        <w:tc>
          <w:tcPr>
            <w:tcW w:type="dxa" w:w="20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240 / 300 = 80%</w:t>
            </w:r>
          </w:p>
        </w:tc>
        <w:tc>
          <w:tcPr>
            <w:tcW w:type="dxa" w:w="3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Of benign nodules, 80% correctly cleared. Drives biopsy reduction.</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Precision</w:t>
            </w:r>
          </w:p>
        </w:tc>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TP / (TP+FP)</w:t>
            </w:r>
          </w:p>
        </w:tc>
        <w:tc>
          <w:tcPr>
            <w:tcW w:type="dxa" w:w="2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630 / 690 = 91%</w:t>
            </w:r>
          </w:p>
        </w:tc>
        <w:tc>
          <w:tcPr>
            <w:tcW w:type="dxa" w:w="3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When it says malignant, it's right 91% of the time.</w:t>
            </w:r>
          </w:p>
        </w:tc>
      </w:tr>
      <w:tr>
        <w:tc>
          <w:tcPr>
            <w:tcW w:type="dxa" w:w="2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Accuracy</w:t>
            </w:r>
          </w:p>
        </w:tc>
        <w:tc>
          <w:tcPr>
            <w:tcW w:type="dxa" w:w="2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(TP+TN) / all</w:t>
            </w:r>
          </w:p>
        </w:tc>
        <w:tc>
          <w:tcPr>
            <w:tcW w:type="dxa" w:w="20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870 / 1000 = 87%</w:t>
            </w:r>
          </w:p>
        </w:tc>
        <w:tc>
          <w:tcPr>
            <w:tcW w:type="dxa" w:w="3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Overall correctness — looks fine, but hides the 70 missed cancers.</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F1-score</w:t>
            </w:r>
          </w:p>
        </w:tc>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2·(P·R)/(P+R)</w:t>
            </w:r>
          </w:p>
        </w:tc>
        <w:tc>
          <w:tcPr>
            <w:tcW w:type="dxa" w:w="2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 90.5%</w:t>
            </w:r>
          </w:p>
        </w:tc>
        <w:tc>
          <w:tcPr>
            <w:tcW w:type="dxa" w:w="3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Single balance number between precision and recall.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2E75B6" w:sz="18"/>
              <w:bottom w:val="none"/>
              <w:right w:val="none"/>
            </w:tcBorders>
            <w:shd w:fill="EAF1FB" w:val="clear"/>
            <w:tcMar>
              <w:top w:type="dxa" w:w="120"/>
              <w:left w:type="dxa" w:w="200"/>
              <w:bottom w:type="dxa" w:w="120"/>
              <w:right w:type="dxa" w:w="160"/>
            </w:tcMar>
          </w:tcPr>
          <w:p>
            <w:pPr>
              <w:spacing w:after="60"/>
            </w:pPr>
            <w:r>
              <w:rPr>
                <w:b/>
                <w:bCs/>
                <w:color w:val="2E75B6"/>
                <w:sz w:val="21"/>
                <w:szCs w:val="21"/>
              </w:rPr>
              <w:t xml:space="preserve">Why you never lead with accuracy</w:t>
            </w:r>
          </w:p>
          <w:p>
            <w:pPr>
              <w:spacing w:after="60"/>
            </w:pPr>
            <w:r>
              <w:rPr>
                <w:sz w:val="20"/>
                <w:szCs w:val="20"/>
              </w:rPr>
              <w:t xml:space="preserve">In the example, 87% accuracy sounds good — but 70 cancers were missed. Sensitivity (90%) and specificity (80%) tell the real story. Always quote sensitivity AND specificity AND AUC together; one alone hides failures.</w:t>
            </w:r>
          </w:p>
        </w:tc>
      </w:tr>
    </w:tbl>
    <w:p>
      <w:pPr>
        <w:pStyle w:val="Heading3"/>
      </w:pPr>
      <w:r>
        <w:t xml:space="preserve">ROC curve and AUC</w:t>
      </w:r>
    </w:p>
    <w:p>
      <w:pPr>
        <w:spacing w:after="120"/>
      </w:pPr>
      <w:r>
        <w:rPr>
          <w:b/>
          <w:bCs/>
        </w:rPr>
        <w:t xml:space="preserve">AUC = Area Under the ROC Curve. </w:t>
      </w:r>
      <w:r>
        <w:t xml:space="preserve">The model doesn't just say benign/malignant — it outputs a probability, and you choose a threshold (e.g. “above 0.5 = malignant”). The ROC curve plots how sensitivity and false-alarm rate trade off as you slide that threshold across every value. AUC is the area under that curve: </w:t>
      </w:r>
      <w:r>
        <w:rPr>
          <w:b/>
          <w:bCs/>
        </w:rPr>
        <w:t xml:space="preserve">1.0 = perfect, 0.5 = random coin-flip.</w:t>
      </w:r>
      <w:r>
        <w:t xml:space="preserve"> It summarises performance independently of any single threshold. In thyroid ultrasound, 0.85–0.95 is a strong model. It's the headline number in most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2E75B6" w:sz="18"/>
              <w:bottom w:val="none"/>
              <w:right w:val="none"/>
            </w:tcBorders>
            <w:shd w:fill="EAF1FB" w:val="clear"/>
            <w:tcMar>
              <w:top w:type="dxa" w:w="120"/>
              <w:left w:type="dxa" w:w="200"/>
              <w:bottom w:type="dxa" w:w="120"/>
              <w:right w:type="dxa" w:w="160"/>
            </w:tcMar>
          </w:tcPr>
          <w:p>
            <w:pPr>
              <w:spacing w:after="60"/>
            </w:pPr>
            <w:r>
              <w:rPr>
                <w:b/>
                <w:bCs/>
                <w:color w:val="2E75B6"/>
                <w:sz w:val="21"/>
                <w:szCs w:val="21"/>
              </w:rPr>
              <w:t xml:space="preserve">🗣 SAY IT LIKE THIS</w:t>
            </w:r>
          </w:p>
          <w:p>
            <w:pPr>
              <w:spacing w:after="60"/>
            </w:pPr>
            <w:r>
              <w:rPr>
                <w:sz w:val="20"/>
                <w:szCs w:val="20"/>
              </w:rPr>
              <w:t xml:space="preserve">“AUC measures how well the model separates the two classes across all possible decision thresholds — 0.5 is random, 1.0 is perfect. It's threshold-independent, which is why it's the standard headline metric.”</w:t>
            </w:r>
          </w:p>
        </w:tc>
      </w:tr>
    </w:tbl>
    <w:p>
      <w:r>
        <w:br w:type="page"/>
      </w:r>
    </w:p>
    <w:p>
      <w:pPr>
        <w:pStyle w:val="Heading2"/>
      </w:pPr>
      <w:r>
        <w:t xml:space="preserve">3.2 How the Data Is Processed</w:t>
      </w:r>
    </w:p>
    <w:p>
      <w:pPr>
        <w:spacing w:after="120"/>
      </w:pPr>
      <w:r>
        <w:t xml:space="preserve">The journey from a raw ultrasound image to something the model can learn from. Each step has a reason.</w:t>
      </w:r>
    </w:p>
    <w:p>
      <w:pPr>
        <w:pStyle w:val="ListParagraph"/>
        <w:numPr>
          <w:ilvl w:val="0"/>
          <w:numId w:val="3"/>
        </w:numPr>
        <w:spacing w:after="60"/>
      </w:pPr>
      <w:r>
        <w:rPr>
          <w:b/>
          <w:bCs/>
        </w:rPr>
        <w:t xml:space="preserve">Load &amp; validate. </w:t>
      </w:r>
      <w:r>
        <w:t xml:space="preserve">Read each image, check it isn't corrupt, confirm its benign/malignant label is attached.</w:t>
      </w:r>
    </w:p>
    <w:p>
      <w:pPr>
        <w:pStyle w:val="ListParagraph"/>
        <w:numPr>
          <w:ilvl w:val="0"/>
          <w:numId w:val="3"/>
        </w:numPr>
        <w:spacing w:after="60"/>
      </w:pPr>
      <w:r>
        <w:rPr>
          <w:b/>
          <w:bCs/>
        </w:rPr>
        <w:t xml:space="preserve">Clean artifacts. </w:t>
      </w:r>
      <w:r>
        <w:t xml:space="preserve">Check for burned-in calipers/text (see 3.4) and mask them if present, so the model can't cheat off them.</w:t>
      </w:r>
    </w:p>
    <w:p>
      <w:pPr>
        <w:pStyle w:val="ListParagraph"/>
        <w:numPr>
          <w:ilvl w:val="0"/>
          <w:numId w:val="3"/>
        </w:numPr>
        <w:spacing w:after="60"/>
      </w:pPr>
      <w:r>
        <w:rPr>
          <w:b/>
          <w:bCs/>
        </w:rPr>
        <w:t xml:space="preserve">Resize. </w:t>
      </w:r>
      <w:r>
        <w:t xml:space="preserve">Make every image the same fixed size (e.g. 224×224 pixels) — the network needs uniform input.</w:t>
      </w:r>
    </w:p>
    <w:p>
      <w:pPr>
        <w:pStyle w:val="ListParagraph"/>
        <w:numPr>
          <w:ilvl w:val="0"/>
          <w:numId w:val="3"/>
        </w:numPr>
        <w:spacing w:after="60"/>
      </w:pPr>
      <w:r>
        <w:rPr>
          <w:b/>
          <w:bCs/>
        </w:rPr>
        <w:t xml:space="preserve">Normalise. </w:t>
      </w:r>
      <w:r>
        <w:t xml:space="preserve">Rescale pixel brightness values to a standard numerical range, so training is stable.</w:t>
      </w:r>
    </w:p>
    <w:p>
      <w:pPr>
        <w:pStyle w:val="ListParagraph"/>
        <w:numPr>
          <w:ilvl w:val="0"/>
          <w:numId w:val="3"/>
        </w:numPr>
        <w:spacing w:after="60"/>
      </w:pPr>
      <w:r>
        <w:rPr>
          <w:b/>
          <w:bCs/>
        </w:rPr>
        <w:t xml:space="preserve">Split — by patient. </w:t>
      </w:r>
      <w:r>
        <w:t xml:space="preserve">Divide into train / validation / test so no patient appears in more than one group (prevents the model recognising a patient instead of learning the disease).</w:t>
      </w:r>
    </w:p>
    <w:p>
      <w:pPr>
        <w:pStyle w:val="ListParagraph"/>
        <w:numPr>
          <w:ilvl w:val="0"/>
          <w:numId w:val="3"/>
        </w:numPr>
        <w:spacing w:after="60"/>
      </w:pPr>
      <w:r>
        <w:rPr>
          <w:b/>
          <w:bCs/>
        </w:rPr>
        <w:t xml:space="preserve">Augment — training only. </w:t>
      </w:r>
      <w:r>
        <w:t xml:space="preserve">Make harmless variations of training images (flips, small rotations, brightness shifts) to expand the set and reduce overfitting. Never applied to validation or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C49A2E" w:sz="18"/>
              <w:bottom w:val="none"/>
              <w:right w:val="none"/>
            </w:tcBorders>
            <w:shd w:fill="FBF3E4" w:val="clear"/>
            <w:tcMar>
              <w:top w:type="dxa" w:w="120"/>
              <w:left w:type="dxa" w:w="200"/>
              <w:bottom w:type="dxa" w:w="120"/>
              <w:right w:type="dxa" w:w="160"/>
            </w:tcMar>
          </w:tcPr>
          <w:p>
            <w:pPr>
              <w:spacing w:after="60"/>
            </w:pPr>
            <w:r>
              <w:rPr>
                <w:b/>
                <w:bCs/>
                <w:color w:val="C49A2E"/>
                <w:sz w:val="21"/>
                <w:szCs w:val="21"/>
              </w:rPr>
              <w:t xml:space="preserve">The two traps a mentor will probe</w:t>
            </w:r>
          </w:p>
          <w:p>
            <w:pPr>
              <w:spacing w:after="60"/>
            </w:pPr>
            <w:r>
              <w:rPr>
                <w:sz w:val="20"/>
                <w:szCs w:val="20"/>
              </w:rPr>
              <w:t xml:space="preserve">(1) Splitting by image instead of by patient — leaks information and inflates scores. (2) Augmenting the test set — makes the final number dishonest. You guard against both explicitly; that's worth stating.</w:t>
            </w:r>
          </w:p>
        </w:tc>
      </w:tr>
    </w:tbl>
    <w:p>
      <w:pPr>
        <w:pStyle w:val="Heading2"/>
      </w:pPr>
      <w:r>
        <w:t xml:space="preserve">3.3 Why These Two Datasets — the “why?”</w:t>
      </w:r>
    </w:p>
    <w:p>
      <w:pPr>
        <w:spacing w:after="120"/>
      </w:pPr>
      <w:r>
        <w:t xml:space="preserve">This is a question you should expect, and the answer is one of your strongest moments — the dataset pairing IS the experiment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Dataset</w:t>
            </w:r>
          </w:p>
        </w:tc>
        <w:tc>
          <w:tcPr>
            <w:tcW w:type="dxa" w:w="71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Why this one specifically</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TN5000 (training)</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(1) Biopsy/FNA-confirmed labels — the strongest possible ground truth (actual pathology, not opinion). (2) Large — 5,000 images. (3) It's the exact dataset the competitor paper used — so your numbers are directly comparable to theirs.</w:t>
            </w:r>
          </w:p>
        </w:tc>
      </w:tr>
      <w:tr>
        <w:tc>
          <w:tcPr>
            <w:tcW w:type="dxa" w:w="22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DDTI (external test)</w:t>
            </w:r>
          </w:p>
        </w:tc>
        <w:tc>
          <w:tcPr>
            <w:tcW w:type="dxa" w:w="71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(1) A different institution and scanner — so it genuinely tests generalisation. (2) Different label source (TI-RADS scoring, not biopsy) — tests robustness to a different labelling standard too. (3) The classic open thyroid benchmark — small but well-known and properly citable.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C49A2E" w:sz="18"/>
              <w:bottom w:val="none"/>
              <w:right w:val="none"/>
            </w:tcBorders>
            <w:shd w:fill="FBF3E4" w:val="clear"/>
            <w:tcMar>
              <w:top w:type="dxa" w:w="120"/>
              <w:left w:type="dxa" w:w="200"/>
              <w:bottom w:type="dxa" w:w="120"/>
              <w:right w:type="dxa" w:w="160"/>
            </w:tcMar>
          </w:tcPr>
          <w:p>
            <w:pPr>
              <w:spacing w:after="60"/>
            </w:pPr>
            <w:r>
              <w:rPr>
                <w:b/>
                <w:bCs/>
                <w:color w:val="C49A2E"/>
                <w:sz w:val="21"/>
                <w:szCs w:val="21"/>
              </w:rPr>
              <w:t xml:space="preserve">⭐ KEY — The reason for the pairing — say this if asked “why two datasets?”</w:t>
            </w:r>
          </w:p>
          <w:p>
            <w:r>
              <w:rPr>
                <w:i/>
                <w:iCs/>
                <w:sz w:val="20"/>
                <w:szCs w:val="20"/>
              </w:rPr>
              <w:t xml:space="preserve">“I train on the strongest-labelled dataset, TN5000, and deliberately hold out a different one, DDTI, as a final exam the model never sees during training. Testing on the same dataset you trained on only proves the model memorised that dataset's quirks. Testing on a genuinely different one proves it learned something real — and that cross-dataset test is the gap the closest paper never properly filled.”</w:t>
            </w:r>
          </w:p>
        </w:tc>
      </w:tr>
    </w:tbl>
    <w:p>
      <w:pPr>
        <w:spacing w:after="120"/>
      </w:pPr>
      <w:r>
        <w:rPr>
          <w:b/>
          <w:bCs/>
        </w:rPr>
        <w:t xml:space="preserve">The honest caveat to include. </w:t>
      </w:r>
      <w:r>
        <w:t xml:space="preserve">Because TN5000 uses biopsy labels and DDTI uses TI-RADS labels, the cross-dataset test mixes two kinds of shift at once — a different imaging source AND a different labelling standard. State that plainly rather than pretending it's a clean apples-to-apples test; naming it is a sign of rigour.</w:t>
      </w:r>
    </w:p>
    <w:p>
      <w:r>
        <w:br w:type="page"/>
      </w:r>
    </w:p>
    <w:p>
      <w:pPr>
        <w:pStyle w:val="Heading2"/>
      </w:pPr>
      <w:r>
        <w:t xml:space="preserve">3.4 Image &amp; Ultrasound Terminology (terms from today's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Term</w:t>
            </w:r>
          </w:p>
        </w:tc>
        <w:tc>
          <w:tcPr>
            <w:tcW w:type="dxa" w:w="72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Plain meaning</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Ultrasound (B-mode)</w:t>
            </w:r>
          </w:p>
        </w:tc>
        <w:tc>
          <w:tcPr>
            <w:tcW w:type="dxa" w:w="7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The standard greyscale ultrasound image — made from echoes of sound pulses. Cheap, real-time, no radiation; the first-line thyroid tool.</w:t>
            </w:r>
          </w:p>
        </w:tc>
      </w:tr>
      <w:tr>
        <w:tc>
          <w:tcPr>
            <w:tcW w:type="dxa" w:w="2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Caliper</w:t>
            </w:r>
          </w:p>
        </w:tc>
        <w:tc>
          <w:tcPr>
            <w:tcW w:type="dxa" w:w="72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A small measurement marker (often a “+” or × cross) that a radiologist burns into the image to measure the nodule. A classic data-leakage trap: if calipers appear more on one class, a careless model 'cheats' by detecting the marker instead of the nodule.</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Burned-in artifact</w:t>
            </w:r>
          </w:p>
        </w:tc>
        <w:tc>
          <w:tcPr>
            <w:tcW w:type="dxa" w:w="7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Any text, arrow, or caliper permanently drawn onto the image pixels (not separate metadata). Must be checked for and masked.</w:t>
            </w:r>
          </w:p>
        </w:tc>
      </w:tr>
      <w:tr>
        <w:tc>
          <w:tcPr>
            <w:tcW w:type="dxa" w:w="2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Echogenicity</w:t>
            </w:r>
          </w:p>
        </w:tc>
        <w:tc>
          <w:tcPr>
            <w:tcW w:type="dxa" w:w="72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How bright or dark a region appears versus surrounding tissue — a real malignancy clue. “Hypoechoic” (darker) nodules are more suspicious.</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Echogenic foci</w:t>
            </w:r>
          </w:p>
        </w:tc>
        <w:tc>
          <w:tcPr>
            <w:tcW w:type="dxa" w:w="7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Tiny bright spots — can be microcalcifications, a genuine cancer signal. Important: you must NOT accidentally erase these when masking calipers, since they're real diagnostic information.</w:t>
            </w:r>
          </w:p>
        </w:tc>
      </w:tr>
      <w:tr>
        <w:tc>
          <w:tcPr>
            <w:tcW w:type="dxa" w:w="2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Speckle</w:t>
            </w:r>
          </w:p>
        </w:tc>
        <w:tc>
          <w:tcPr>
            <w:tcW w:type="dxa" w:w="72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The grainy texture inherent to all ultrasound — a physics artifact, not removable noise; can hide or mimic features.</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Isoechoic</w:t>
            </w:r>
          </w:p>
        </w:tc>
        <w:tc>
          <w:tcPr>
            <w:tcW w:type="dxa" w:w="7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Same brightness as surrounding tissue — these borderline nodules are the hardest to classify, for models and radiologists alike.</w:t>
            </w:r>
          </w:p>
        </w:tc>
      </w:tr>
      <w:tr>
        <w:tc>
          <w:tcPr>
            <w:tcW w:type="dxa" w:w="21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TI-RADS</w:t>
            </w:r>
          </w:p>
        </w:tc>
        <w:tc>
          <w:tcPr>
            <w:tcW w:type="dxa" w:w="72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Thyroid Imaging Reporting and Data System — radiologists' structured risk score, TR1 (benign) to TR5 (highly suspicious). DDTI's labels come from this.</w:t>
            </w:r>
          </w:p>
        </w:tc>
      </w:tr>
      <w:tr>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FNA</w:t>
            </w:r>
          </w:p>
        </w:tc>
        <w:tc>
          <w:tcPr>
            <w:tcW w:type="dxa" w:w="7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Fine-Needle Aspiration — the needle biopsy your project aims to help avoid when unnecessary.</w:t>
            </w:r>
          </w:p>
        </w:tc>
      </w:tr>
    </w:tbl>
    <w:p>
      <w:pPr>
        <w:pStyle w:val="Heading3"/>
      </w:pPr>
      <w:r>
        <w:t xml:space="preserve">The caliper finding from your Phase-1 work (be ready to explain it)</w:t>
      </w:r>
    </w:p>
    <w:p>
      <w:pPr>
        <w:spacing w:after="120"/>
      </w:pPr>
      <w:r>
        <w:t xml:space="preserve">You actually ran a caliper-leakage audit during Phase 1. In plain terms, here's what it found and why it was the right call:</w:t>
      </w:r>
    </w:p>
    <w:p>
      <w:pPr>
        <w:pStyle w:val="ListParagraph"/>
        <w:numPr>
          <w:ilvl w:val="0"/>
          <w:numId w:val="4"/>
        </w:numPr>
        <w:spacing w:after="60"/>
      </w:pPr>
      <w:r>
        <w:rPr>
          <w:b/>
          <w:bCs/>
        </w:rPr>
        <w:t xml:space="preserve">The question: </w:t>
      </w:r>
      <w:r>
        <w:t xml:space="preserve">do calipers appear more often on malignant or benign images? If they did, the model could cheat.</w:t>
      </w:r>
    </w:p>
    <w:p>
      <w:pPr>
        <w:pStyle w:val="ListParagraph"/>
        <w:numPr>
          <w:ilvl w:val="0"/>
          <w:numId w:val="4"/>
        </w:numPr>
        <w:spacing w:after="60"/>
      </w:pPr>
      <w:r>
        <w:rPr>
          <w:b/>
          <w:bCs/>
        </w:rPr>
        <w:t xml:space="preserve">The finding: </w:t>
      </w:r>
      <w:r>
        <w:t xml:space="preserve">calipers appeared at slightly different rates (about 51% of benign vs. 43% of malignant images), but when tested as a predictor, that difference was at chance level (AUC ≈ 0.45 — below the 0.5 coin-flip line). Meaning: caliper presence carries essentially no usable signal about the label.</w:t>
      </w:r>
    </w:p>
    <w:p>
      <w:pPr>
        <w:pStyle w:val="ListParagraph"/>
        <w:numPr>
          <w:ilvl w:val="0"/>
          <w:numId w:val="4"/>
        </w:numPr>
        <w:spacing w:after="60"/>
      </w:pPr>
      <w:r>
        <w:rPr>
          <w:b/>
          <w:bCs/>
        </w:rPr>
        <w:t xml:space="preserve">The decision: </w:t>
      </w:r>
      <w:r>
        <w:t xml:space="preserve">proceed with training, mask calipers conservatively, and document it — rather than over-engineering a fix for a non-problem or risking erasure of real tissue.</w:t>
      </w:r>
    </w:p>
    <w:p>
      <w:pPr>
        <w:pStyle w:val="ListParagraph"/>
        <w:numPr>
          <w:ilvl w:val="0"/>
          <w:numId w:val="4"/>
        </w:numPr>
        <w:spacing w:after="60"/>
      </w:pPr>
      <w:r>
        <w:rPr>
          <w:b/>
          <w:bCs/>
        </w:rPr>
        <w:t xml:space="preserve">The safeguard: </w:t>
      </w:r>
      <w:r>
        <w:t xml:space="preserve">the Phase-3 explainability check will separately confirm the model's attention doesn't land on calipers — a second, independent check on the same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2E75B6" w:sz="18"/>
              <w:bottom w:val="none"/>
              <w:right w:val="none"/>
            </w:tcBorders>
            <w:shd w:fill="EAF1FB" w:val="clear"/>
            <w:tcMar>
              <w:top w:type="dxa" w:w="120"/>
              <w:left w:type="dxa" w:w="200"/>
              <w:bottom w:type="dxa" w:w="120"/>
              <w:right w:type="dxa" w:w="160"/>
            </w:tcMar>
          </w:tcPr>
          <w:p>
            <w:pPr>
              <w:spacing w:after="60"/>
            </w:pPr>
            <w:r>
              <w:rPr>
                <w:b/>
                <w:bCs/>
                <w:color w:val="2E75B6"/>
                <w:sz w:val="21"/>
                <w:szCs w:val="21"/>
              </w:rPr>
              <w:t xml:space="preserve">🗣 SAY IT LIKE THIS</w:t>
            </w:r>
          </w:p>
          <w:p>
            <w:pPr>
              <w:spacing w:after="60"/>
            </w:pPr>
            <w:r>
              <w:rPr>
                <w:sz w:val="20"/>
                <w:szCs w:val="20"/>
              </w:rPr>
              <w:t xml:space="preserve">“Before training I checked whether calipers could leak the label. They appear at slightly different rates between classes, but as a predictor they're at chance level — no real signal — so I masked them conservatively, documented it, and kept a separate check in the explainability phase to confirm the model never relies on them.”</w:t>
            </w:r>
          </w:p>
        </w:tc>
      </w:tr>
    </w:tbl>
    <w:p>
      <w:r>
        <w:br w:type="page"/>
      </w:r>
    </w:p>
    <w:p>
      <w:pPr>
        <w:pStyle w:val="Heading2"/>
      </w:pPr>
      <w:r>
        <w:t xml:space="preserve">3.5 Project Structure &amp; What Phase 1 Produced</w:t>
      </w:r>
    </w:p>
    <w:p>
      <w:pPr>
        <w:spacing w:after="120"/>
      </w:pPr>
      <w:r>
        <w:t xml:space="preserve">You don't need to read the code, but knowing the project's shape lets you answer “how is this organised?” confidently.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Folder / file</w:t>
            </w:r>
          </w:p>
        </w:tc>
        <w:tc>
          <w:tcPr>
            <w:tcW w:type="dxa" w:w="69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What lives there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Data/</w:t>
            </w:r>
          </w:p>
        </w:tc>
        <w:tc>
          <w:tcPr>
            <w:tcW w:type="dxa" w:w="6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The two datasets (TN5000, DDTI) — kept out of version control (large, restricted).</w:t>
            </w:r>
          </w:p>
        </w:tc>
      </w:tr>
      <w:tr>
        <w:tc>
          <w:tcPr>
            <w:tcW w:type="dxa" w:w="24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src/</w:t>
            </w:r>
          </w:p>
        </w:tc>
        <w:tc>
          <w:tcPr>
            <w:tcW w:type="dxa" w:w="69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The actual code: data loading, the model definition, the training loop, evaluation, Grad-CAM.</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outputs/</w:t>
            </w:r>
          </w:p>
        </w:tc>
        <w:tc>
          <w:tcPr>
            <w:tcW w:type="dxa" w:w="6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Everything produced: saved trained models (checkpoints), figures (confusion matrices, heatmaps), and run logs.</w:t>
            </w:r>
          </w:p>
        </w:tc>
      </w:tr>
      <w:tr>
        <w:tc>
          <w:tcPr>
            <w:tcW w:type="dxa" w:w="24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Research/</w:t>
            </w:r>
          </w:p>
        </w:tc>
        <w:tc>
          <w:tcPr>
            <w:tcW w:type="dxa" w:w="69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Your project memory and history: the context file, session briefs, this kind of document.</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CLAUDE.md</w:t>
            </w:r>
          </w:p>
        </w:tc>
        <w:tc>
          <w:tcPr>
            <w:tcW w:type="dxa" w:w="6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The standing rulebook the AI coding tool reads every session — holds the non-negotiables (patient-level splits, DDTI quarantine, report all metrics).</w:t>
            </w:r>
          </w:p>
        </w:tc>
      </w:tr>
    </w:tbl>
    <w:p>
      <w:pPr>
        <w:pStyle w:val="Heading3"/>
      </w:pPr>
      <w:r>
        <w:t xml:space="preserve">What Phase 1 was, in one line</w:t>
      </w:r>
    </w:p>
    <w:p>
      <w:pPr>
        <w:spacing w:after="120"/>
      </w:pPr>
      <w:r>
        <w:t xml:space="preserve">Phase 1 = build the honest baseline: a fine-tuned ResNet-50 on TN5000, with a patient-safe split and the full metric set — the number every later improvement is measured against. (Pull your actual baseline accuracy/sensitivity/AUC from your latest session brief to quote in the meeting; keep them in front of you rather than relying on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2E75B6" w:sz="18"/>
              <w:bottom w:val="none"/>
              <w:right w:val="none"/>
            </w:tcBorders>
            <w:shd w:fill="EAF1FB" w:val="clear"/>
            <w:tcMar>
              <w:top w:type="dxa" w:w="120"/>
              <w:left w:type="dxa" w:w="200"/>
              <w:bottom w:type="dxa" w:w="120"/>
              <w:right w:type="dxa" w:w="160"/>
            </w:tcMar>
          </w:tcPr>
          <w:p>
            <w:pPr>
              <w:spacing w:after="60"/>
            </w:pPr>
            <w:r>
              <w:rPr>
                <w:b/>
                <w:bCs/>
                <w:color w:val="2E75B6"/>
                <w:sz w:val="21"/>
                <w:szCs w:val="21"/>
              </w:rPr>
              <w:t xml:space="preserve">If asked about errors or problems during Phase 1</w:t>
            </w:r>
          </w:p>
          <w:p>
            <w:pPr>
              <w:spacing w:after="60"/>
            </w:pPr>
            <w:r>
              <w:rPr>
                <w:sz w:val="20"/>
                <w:szCs w:val="20"/>
              </w:rPr>
              <w:t xml:space="preserve">It's completely normal — and a good sign — to have hit and fixed issues. The honest framing: “The main thing Phase 1 surfaced was the caliper-leakage question, which I investigated and resolved before trusting the baseline. That validation-first approach is the point — I'd rather catch a problem early than report a number I can't defend.” Have your session brief open for the specifics.</w:t>
            </w:r>
          </w:p>
        </w:tc>
      </w:tr>
    </w:tbl>
    <w:p>
      <w:r>
        <w:br w:type="page"/>
      </w:r>
    </w:p>
    <w:p>
      <w:pPr>
        <w:pStyle w:val="Heading1"/>
      </w:pPr>
      <w:r>
        <w:t xml:space="preserve">Part 4 — The Speaking Board (rehearse this)</w:t>
      </w:r>
    </w:p>
    <w:p>
      <w:pPr>
        <w:spacing w:after="120"/>
      </w:pPr>
      <w:r>
        <w:t xml:space="preserve">This is what you actually say and do in the room. Rehearse 4.1 out loud until it's smooth.</w:t>
      </w:r>
    </w:p>
    <w:p>
      <w:pPr>
        <w:pStyle w:val="Heading2"/>
      </w:pPr>
      <w:r>
        <w:t xml:space="preserve">4.1 The 90-second opening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2E75B6" w:sz="18"/>
              <w:bottom w:val="none"/>
              <w:right w:val="none"/>
            </w:tcBorders>
            <w:shd w:fill="EAF1FB" w:val="clear"/>
            <w:tcMar>
              <w:top w:type="dxa" w:w="120"/>
              <w:left w:type="dxa" w:w="200"/>
              <w:bottom w:type="dxa" w:w="120"/>
              <w:right w:type="dxa" w:w="160"/>
            </w:tcMar>
          </w:tcPr>
          <w:p>
            <w:pPr>
              <w:spacing w:after="60"/>
            </w:pPr>
            <w:r>
              <w:rPr>
                <w:b/>
                <w:bCs/>
                <w:color w:val="2E75B6"/>
                <w:sz w:val="21"/>
                <w:szCs w:val="21"/>
              </w:rPr>
              <w:t xml:space="preserve">Say this, roughly, to open</w:t>
            </w:r>
          </w:p>
          <w:p>
            <w:pPr>
              <w:spacing w:after="60"/>
            </w:pPr>
            <w:r>
              <w:rPr>
                <w:i/>
                <w:iCs/>
                <w:sz w:val="20"/>
                <w:szCs w:val="20"/>
              </w:rPr>
              <w:t xml:space="preserve">“The clinical problem isn't detecting thyroid nodules — ultrasound does that reliably. It's triage: most nodules are benign, but telling benign from malignant by eye is subjective, so many patients get unnecessary biopsies.</w:t>
            </w:r>
          </w:p>
          <w:p>
            <w:pPr>
              <w:spacing w:after="60"/>
            </w:pPr>
            <w:r>
              <w:rPr>
                <w:i/>
                <w:iCs/>
                <w:sz w:val="20"/>
                <w:szCs w:val="20"/>
              </w:rPr>
              <w:t xml:space="preserve">I looked at the closest recent paper — a 2025 study that built a thyroid classifier on the TN5000 dataset. It reported strong numbers, but it left three things untested or unverified: it never compared its attention mechanism against alternatives, its cross-dataset generalisation claim relied on a dataset it didn't even cite, and it showed explanation heatmaps without ever verifying them. Its own tables even contradict each other in places.</w:t>
            </w:r>
          </w:p>
          <w:p>
            <w:pPr>
              <w:spacing w:after="60"/>
            </w:pPr>
            <w:r>
              <w:rPr>
                <w:i/>
                <w:iCs/>
                <w:sz w:val="20"/>
                <w:szCs w:val="20"/>
              </w:rPr>
              <w:t xml:space="preserve">So my goal isn't a new technique — it's to close those gaps rigorously. I'm using standard, well-understood components — a ResNet-50 with a CBAM attention module — specifically so the effort goes into the rigour: a fair attention comparison, a real cross-dataset test on a held-out dataset called DDTI, and a verified explanation.</w:t>
            </w:r>
          </w:p>
          <w:p>
            <w:r>
              <w:rPr>
                <w:i/>
                <w:iCs/>
                <w:sz w:val="20"/>
                <w:szCs w:val="20"/>
              </w:rPr>
              <w:t xml:space="preserve">I've finished Phase 1 — the honest baseline — and I'm ready to move into the attention comparison.”</w:t>
            </w:r>
          </w:p>
        </w:tc>
      </w:tr>
    </w:tbl>
    <w:p>
      <w:pPr>
        <w:pStyle w:val="Heading2"/>
      </w:pPr>
      <w:r>
        <w:t xml:space="preserve">4.2 The order to present</w:t>
      </w:r>
    </w:p>
    <w:p>
      <w:pPr>
        <w:pStyle w:val="ListParagraph"/>
        <w:numPr>
          <w:ilvl w:val="0"/>
          <w:numId w:val="5"/>
        </w:numPr>
        <w:spacing w:after="60"/>
      </w:pPr>
      <w:r>
        <w:t xml:space="preserve">Problem (triage, not detection) — 30 seconds.</w:t>
      </w:r>
    </w:p>
    <w:p>
      <w:pPr>
        <w:pStyle w:val="ListParagraph"/>
        <w:numPr>
          <w:ilvl w:val="0"/>
          <w:numId w:val="5"/>
        </w:numPr>
        <w:spacing w:after="60"/>
      </w:pPr>
      <w:r>
        <w:t xml:space="preserve">The gap (the competitor paper's three unfilled holes) — 1 minute.</w:t>
      </w:r>
    </w:p>
    <w:p>
      <w:pPr>
        <w:pStyle w:val="ListParagraph"/>
        <w:numPr>
          <w:ilvl w:val="0"/>
          <w:numId w:val="5"/>
        </w:numPr>
        <w:spacing w:after="60"/>
      </w:pPr>
      <w:r>
        <w:t xml:space="preserve">Your goal (close those gaps; rigour, not invention) — 30 seconds.</w:t>
      </w:r>
    </w:p>
    <w:p>
      <w:pPr>
        <w:pStyle w:val="ListParagraph"/>
        <w:numPr>
          <w:ilvl w:val="0"/>
          <w:numId w:val="5"/>
        </w:numPr>
        <w:spacing w:after="60"/>
      </w:pPr>
      <w:r>
        <w:t xml:space="preserve">Your approach (ResNet-50 + CBAM; the two-leg experiment; generalisation as centerpiece) — 2 minutes.</w:t>
      </w:r>
    </w:p>
    <w:p>
      <w:pPr>
        <w:pStyle w:val="ListParagraph"/>
        <w:numPr>
          <w:ilvl w:val="0"/>
          <w:numId w:val="5"/>
        </w:numPr>
        <w:spacing w:after="60"/>
      </w:pPr>
      <w:r>
        <w:t xml:space="preserve">Status (Phase 1 baseline done; caliper audit handled) — 1 minute.</w:t>
      </w:r>
    </w:p>
    <w:p>
      <w:pPr>
        <w:pStyle w:val="ListParagraph"/>
        <w:numPr>
          <w:ilvl w:val="0"/>
          <w:numId w:val="5"/>
        </w:numPr>
        <w:spacing w:after="60"/>
      </w:pPr>
      <w:r>
        <w:t xml:space="preserve">Open questions for them (see 4.4) — the rest.</w:t>
      </w:r>
    </w:p>
    <w:p>
      <w:pPr>
        <w:pStyle w:val="Heading2"/>
      </w:pPr>
      <w:r>
        <w:t xml:space="preserve">4.3 Anticipated questions — crisp answers</w:t>
      </w:r>
    </w:p>
    <w:p>
      <w:pPr>
        <w:spacing w:after="30" w:before="120"/>
      </w:pPr>
      <w:r>
        <w:rPr>
          <w:b/>
          <w:bCs/>
          <w:i/>
          <w:iCs/>
          <w:color w:val="1F3864"/>
          <w:sz w:val="20"/>
          <w:szCs w:val="20"/>
        </w:rPr>
        <w:t xml:space="preserve">“What's novel if you use standard models?”</w:t>
      </w:r>
    </w:p>
    <w:p>
      <w:pPr>
        <w:spacing w:after="30"/>
      </w:pPr>
      <w:r>
        <w:rPr>
          <w:sz w:val="20"/>
          <w:szCs w:val="20"/>
        </w:rPr>
        <w:t xml:space="preserve">“The novelty is the controlled comparison and verification, not the components. I'm running the attention comparison, the cross-dataset test, and the explanation check that the closest paper skipped. Rigour is the contribution.”</w:t>
      </w:r>
    </w:p>
    <w:p>
      <w:pPr>
        <w:spacing w:after="30" w:before="120"/>
      </w:pPr>
      <w:r>
        <w:rPr>
          <w:b/>
          <w:bCs/>
          <w:i/>
          <w:iCs/>
          <w:color w:val="1F3864"/>
          <w:sz w:val="20"/>
          <w:szCs w:val="20"/>
        </w:rPr>
        <w:t xml:space="preserve">“Why ResNet-50, not something newer?”</w:t>
      </w:r>
    </w:p>
    <w:p>
      <w:pPr>
        <w:spacing w:after="30"/>
      </w:pPr>
      <w:r>
        <w:rPr>
          <w:sz w:val="20"/>
          <w:szCs w:val="20"/>
        </w:rPr>
        <w:t xml:space="preserve">“It's the standard, well-documented baseline in thyroid ultrasound work, and light enough to iterate quickly in four weeks on one GPU. The novelty is in the evaluation, not the backbone.”</w:t>
      </w:r>
    </w:p>
    <w:p>
      <w:pPr>
        <w:spacing w:after="30" w:before="120"/>
      </w:pPr>
      <w:r>
        <w:rPr>
          <w:b/>
          <w:bCs/>
          <w:i/>
          <w:iCs/>
          <w:color w:val="1F3864"/>
          <w:sz w:val="20"/>
          <w:szCs w:val="20"/>
        </w:rPr>
        <w:t xml:space="preserve">“Why CBAM and not SE blocks?”</w:t>
      </w:r>
    </w:p>
    <w:p>
      <w:pPr>
        <w:spacing w:after="30"/>
      </w:pPr>
      <w:r>
        <w:rPr>
          <w:sz w:val="20"/>
          <w:szCs w:val="20"/>
        </w:rPr>
        <w:t xml:space="preserve">“SE was already tested by the competitor — repeating it adds nothing. CBAM adds spatial attention, which is directly about locating the nodule, and comparing it fairly is one of my gaps to fill.”</w:t>
      </w:r>
    </w:p>
    <w:p>
      <w:pPr>
        <w:spacing w:after="30" w:before="120"/>
      </w:pPr>
      <w:r>
        <w:rPr>
          <w:b/>
          <w:bCs/>
          <w:i/>
          <w:iCs/>
          <w:color w:val="1F3864"/>
          <w:sz w:val="20"/>
          <w:szCs w:val="20"/>
        </w:rPr>
        <w:t xml:space="preserve">“How do you know your baseline is trustworthy?”</w:t>
      </w:r>
    </w:p>
    <w:p>
      <w:pPr>
        <w:spacing w:after="30"/>
      </w:pPr>
      <w:r>
        <w:rPr>
          <w:sz w:val="20"/>
          <w:szCs w:val="20"/>
        </w:rPr>
        <w:t xml:space="preserve">“I run a validation checklist before accepting any number: zero patient overlap across splits, realistic training time, a sane learning curve, and a check that accuracy isn't suspiciously high, which would signal data leakage.”</w:t>
      </w:r>
    </w:p>
    <w:p>
      <w:pPr>
        <w:spacing w:after="30" w:before="120"/>
      </w:pPr>
      <w:r>
        <w:rPr>
          <w:b/>
          <w:bCs/>
          <w:i/>
          <w:iCs/>
          <w:color w:val="1F3864"/>
          <w:sz w:val="20"/>
          <w:szCs w:val="20"/>
        </w:rPr>
        <w:t xml:space="preserve">“What if CBAM doesn't help?”</w:t>
      </w:r>
    </w:p>
    <w:p>
      <w:pPr>
        <w:spacing w:after="30"/>
      </w:pPr>
      <w:r>
        <w:rPr>
          <w:sz w:val="20"/>
          <w:szCs w:val="20"/>
        </w:rPr>
        <w:t xml:space="preserve">“That's still a valid, reportable result — it would mean spatial attention doesn't add value on this data, which the field doesn't currently have confirmed. I'm promising a rigorous answer, not a particular number.”</w:t>
      </w:r>
    </w:p>
    <w:p>
      <w:pPr>
        <w:spacing w:after="30" w:before="120"/>
      </w:pPr>
      <w:r>
        <w:rPr>
          <w:b/>
          <w:bCs/>
          <w:i/>
          <w:iCs/>
          <w:color w:val="1F3864"/>
          <w:sz w:val="20"/>
          <w:szCs w:val="20"/>
        </w:rPr>
        <w:t xml:space="preserve">“Is the DDTI test fair, with different labels?”</w:t>
      </w:r>
    </w:p>
    <w:p>
      <w:pPr>
        <w:spacing w:after="30"/>
      </w:pPr>
      <w:r>
        <w:rPr>
          <w:sz w:val="20"/>
          <w:szCs w:val="20"/>
        </w:rPr>
        <w:t xml:space="preserve">“It mixes an imaging-source shift and a labelling-standard shift — I state that explicitly rather than hiding it. Both are legitimate to learn from; I just don't overclaim it as a clean comparison.”</w:t>
      </w:r>
    </w:p>
    <w:p>
      <w:pPr>
        <w:spacing w:after="30" w:before="120"/>
      </w:pPr>
      <w:r>
        <w:rPr>
          <w:b/>
          <w:bCs/>
          <w:i/>
          <w:iCs/>
          <w:color w:val="1F3864"/>
          <w:sz w:val="20"/>
          <w:szCs w:val="20"/>
        </w:rPr>
        <w:t xml:space="preserve">“What's the final deliverable?”</w:t>
      </w:r>
    </w:p>
    <w:p>
      <w:pPr>
        <w:spacing w:after="30"/>
      </w:pPr>
      <w:r>
        <w:rPr>
          <w:sz w:val="20"/>
          <w:szCs w:val="20"/>
        </w:rPr>
        <w:t xml:space="preserve">“A baseline-vs-CBAM comparison, a cross-dataset generalisation result, Grad-CAM figures with a verification check, and a written report — scoped so it's complete even if the risk-calibration extension gets cut for time.”</w:t>
      </w:r>
    </w:p>
    <w:p>
      <w:pPr>
        <w:pStyle w:val="Heading2"/>
      </w:pPr>
      <w:r>
        <w:t xml:space="preserve">4.4 If you don't know an answer (the honest move)</w:t>
      </w:r>
    </w:p>
    <w:p>
      <w:pPr>
        <w:spacing w:after="120"/>
      </w:pPr>
      <w:r>
        <w:t xml:space="preserve">You're an intern with no prior ML background — nobody expects you to know everything, and pretending is the only real mistake. Use one of these:</w:t>
      </w:r>
    </w:p>
    <w:p>
      <w:pPr>
        <w:pStyle w:val="ListParagraph"/>
        <w:numPr>
          <w:ilvl w:val="0"/>
          <w:numId w:val="4"/>
        </w:numPr>
        <w:spacing w:after="60"/>
      </w:pPr>
      <w:r>
        <w:rPr>
          <w:i/>
          <w:iCs/>
        </w:rPr>
        <w:t xml:space="preserve">“That's a good question — I haven't tested that yet, but here's how I'd find out…”</w:t>
      </w:r>
    </w:p>
    <w:p>
      <w:pPr>
        <w:pStyle w:val="ListParagraph"/>
        <w:numPr>
          <w:ilvl w:val="0"/>
          <w:numId w:val="4"/>
        </w:numPr>
        <w:spacing w:after="60"/>
      </w:pPr>
      <w:r>
        <w:rPr>
          <w:i/>
          <w:iCs/>
        </w:rPr>
        <w:t xml:space="preserve">“I don't want to guess on that — let me check and come back to you with a real answer.”</w:t>
      </w:r>
    </w:p>
    <w:p>
      <w:pPr>
        <w:pStyle w:val="ListParagraph"/>
        <w:numPr>
          <w:ilvl w:val="0"/>
          <w:numId w:val="4"/>
        </w:numPr>
        <w:spacing w:after="60"/>
      </w:pPr>
      <w:r>
        <w:rPr>
          <w:i/>
          <w:iCs/>
        </w:rPr>
        <w:t xml:space="preserve">“My understanding is X, but I'd want to verify before relying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C49A2E" w:sz="18"/>
              <w:bottom w:val="none"/>
              <w:right w:val="none"/>
            </w:tcBorders>
            <w:shd w:fill="FBF3E4" w:val="clear"/>
            <w:tcMar>
              <w:top w:type="dxa" w:w="120"/>
              <w:left w:type="dxa" w:w="200"/>
              <w:bottom w:type="dxa" w:w="120"/>
              <w:right w:type="dxa" w:w="160"/>
            </w:tcMar>
          </w:tcPr>
          <w:p>
            <w:pPr>
              <w:spacing w:after="60"/>
            </w:pPr>
            <w:r>
              <w:rPr>
                <w:b/>
                <w:bCs/>
                <w:color w:val="C49A2E"/>
                <w:sz w:val="21"/>
                <w:szCs w:val="21"/>
              </w:rPr>
              <w:t xml:space="preserve">Two good questions to ASK Dr. Gunjan (turns the meeting collaborative)</w:t>
            </w:r>
          </w:p>
          <w:p>
            <w:pPr>
              <w:spacing w:after="60"/>
            </w:pPr>
            <w:r>
              <w:rPr>
                <w:sz w:val="20"/>
                <w:szCs w:val="20"/>
              </w:rPr>
              <w:t xml:space="preserve">“For the cross-dataset test, are you happy with DDTI as the held-out set, or is there clinical data the lab would prefer I validate on?”</w:t>
            </w:r>
          </w:p>
          <w:p>
            <w:pPr>
              <w:spacing w:after="60"/>
            </w:pPr>
            <w:r>
              <w:rPr>
                <w:sz w:val="20"/>
                <w:szCs w:val="20"/>
              </w:rPr>
              <w:t xml:space="preserve">“For the final output — are we aiming at a workshop paper, a thesis chapter, or an internal report? That changes how much I invest in the risk-calibration extension.”</w:t>
            </w:r>
          </w:p>
        </w:tc>
      </w:tr>
    </w:tbl>
    <w:p>
      <w:r>
        <w:br w:type="page"/>
      </w:r>
    </w:p>
    <w:p>
      <w:pPr>
        <w:pStyle w:val="Heading1"/>
      </w:pPr>
      <w:r>
        <w:t xml:space="preserve">Part 5 — One-Page Cheat Sheet</w:t>
      </w:r>
    </w:p>
    <w:p>
      <w:pPr>
        <w:spacing w:after="120"/>
      </w:pPr>
      <w:r>
        <w:t xml:space="preserve">The whole project on one page. Glance at this right before you walk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
            </w:r>
          </w:p>
        </w:tc>
        <w:tc>
          <w:tcPr>
            <w:tcW w:type="dxa" w:w="68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sz w:val="20"/>
                <w:szCs w:val="20"/>
              </w:rPr>
              <w:t xml:space="preserve"/>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color w:val="1F3864"/>
                <w:sz w:val="20"/>
                <w:szCs w:val="20"/>
              </w:rPr>
              <w:t xml:space="preserve">Problem</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Triage, not detection — most thyroid nodules are benign; tell benign from malignant to avoid unnecessary biopsies.</w:t>
            </w:r>
          </w:p>
        </w:tc>
      </w:tr>
      <w:tr>
        <w:tc>
          <w:tcPr>
            <w:tcW w:type="dxa" w:w="25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b/>
                <w:bCs/>
                <w:color w:val="1F3864"/>
                <w:sz w:val="20"/>
                <w:szCs w:val="20"/>
              </w:rPr>
              <w:t xml:space="preserve">Goal</w:t>
            </w:r>
          </w:p>
        </w:tc>
        <w:tc>
          <w:tcPr>
            <w:tcW w:type="dxa" w:w="68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Fill the gaps in the closest paper — rigour, not a new technique.</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color w:val="1F3864"/>
                <w:sz w:val="20"/>
                <w:szCs w:val="20"/>
              </w:rPr>
              <w:t xml:space="preserve">Model</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ResNet-50 backbone + CBAM attention, fine-tuned from ImageNet (transfer learning), binary benign/malignant.</w:t>
            </w:r>
          </w:p>
        </w:tc>
      </w:tr>
      <w:tr>
        <w:tc>
          <w:tcPr>
            <w:tcW w:type="dxa" w:w="25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b/>
                <w:bCs/>
                <w:color w:val="1F3864"/>
                <w:sz w:val="20"/>
                <w:szCs w:val="20"/>
              </w:rPr>
              <w:t xml:space="preserve">Pillar 1: Attention</w:t>
            </w:r>
          </w:p>
        </w:tc>
        <w:tc>
          <w:tcPr>
            <w:tcW w:type="dxa" w:w="68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CBAM vs. plain baseline (Leg A). Metric: sensitivity + AUC improvement. ACTIVE.</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color w:val="1F3864"/>
                <w:sz w:val="20"/>
                <w:szCs w:val="20"/>
              </w:rPr>
              <w:t xml:space="preserve">Pillar 2: Explainable</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Grad-CAM heatmaps + masking check. Metric: Localization Accuracy + confidence drop. ACTIVE.</w:t>
            </w:r>
          </w:p>
        </w:tc>
      </w:tr>
      <w:tr>
        <w:tc>
          <w:tcPr>
            <w:tcW w:type="dxa" w:w="25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b/>
                <w:bCs/>
                <w:color w:val="1F3864"/>
                <w:sz w:val="20"/>
                <w:szCs w:val="20"/>
              </w:rPr>
              <w:t xml:space="preserve">Pillar 3: Risk Assessment</w:t>
            </w:r>
          </w:p>
        </w:tc>
        <w:tc>
          <w:tcPr>
            <w:tcW w:type="dxa" w:w="68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Calibrated probability → TI-RADS bands. PLANNED EXTENSION — not yet built.</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color w:val="C00000"/>
                <w:sz w:val="20"/>
                <w:szCs w:val="20"/>
              </w:rPr>
              <w:t xml:space="preserve">Real centerpiece</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Generalisation (Leg B): train TN5000 → test DDTI. Success = CBAM's accuracy DROP is smaller than baseline's.</w:t>
            </w:r>
          </w:p>
        </w:tc>
      </w:tr>
      <w:tr>
        <w:tc>
          <w:tcPr>
            <w:tcW w:type="dxa" w:w="25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b/>
                <w:bCs/>
                <w:color w:val="1F3864"/>
                <w:sz w:val="20"/>
                <w:szCs w:val="20"/>
              </w:rPr>
              <w:t xml:space="preserve">Datasets</w:t>
            </w:r>
          </w:p>
        </w:tc>
        <w:tc>
          <w:tcPr>
            <w:tcW w:type="dxa" w:w="68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TN5000 = train (biopsy labels, large, comparable to competitor). DDTI = held-out test (different hospital + label type).</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color w:val="1F3864"/>
                <w:sz w:val="20"/>
                <w:szCs w:val="20"/>
              </w:rPr>
              <w:t xml:space="preserve">Key metric fact</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Never quote accuracy alone. Sensitivity = caught cancers (most important). Specificity = cleared benigns. AUC = overall separability (0.5 random, 1.0 perfect).</w:t>
            </w:r>
          </w:p>
        </w:tc>
      </w:tr>
      <w:tr>
        <w:tc>
          <w:tcPr>
            <w:tcW w:type="dxa" w:w="25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b/>
                <w:bCs/>
                <w:color w:val="1F3864"/>
                <w:sz w:val="20"/>
                <w:szCs w:val="20"/>
              </w:rPr>
              <w:t xml:space="preserve">Phase 1 status</w:t>
            </w:r>
          </w:p>
        </w:tc>
        <w:tc>
          <w:tcPr>
            <w:tcW w:type="dxa" w:w="68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tcPr>
          <w:p>
            <w:r>
              <w:rPr>
                <w:sz w:val="20"/>
                <w:szCs w:val="20"/>
              </w:rPr>
              <w:t xml:space="preserve">Baseline done. Caliper-leakage audit: chance-level (AUC ≈ 0.45), no real leak, masked + documented.</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color w:val="1F3864"/>
                <w:sz w:val="20"/>
                <w:szCs w:val="20"/>
              </w:rPr>
              <w:t xml:space="preserve">If stuck</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20"/>
                <w:szCs w:val="20"/>
              </w:rPr>
              <w:t xml:space="preserve">“I haven't tested that yet — here's how I'd find out.” Never guess.</w:t>
            </w:r>
          </w:p>
        </w:tc>
      </w:tr>
    </w:tbl>
    <w:p>
      <w:pPr>
        <w:spacing w:after="120"/>
      </w:pPr>
      <w:r>
        <w:t xml:space="preserve"/>
      </w:r>
    </w:p>
    <w:p>
      <w:pPr>
        <w:pBdr>
          <w:top w:val="single" w:color="BFBFBF" w:sz="4" w:space="6"/>
        </w:pBdr>
        <w:spacing w:before="120"/>
      </w:pPr>
      <w:r>
        <w:rPr>
          <w:color w:val="595959"/>
          <w:sz w:val="18"/>
          <w:szCs w:val="18"/>
        </w:rPr>
        <w:t xml:space="preserve">Companion documents for the meeting: </w:t>
      </w:r>
      <w:r>
        <w:rPr>
          <w:i/>
          <w:iCs/>
          <w:color w:val="595959"/>
          <w:sz w:val="18"/>
          <w:szCs w:val="18"/>
        </w:rPr>
        <w:t xml:space="preserve">“Full Technical Specification” (every config + glossary) and “Medicina Paper — Crux &amp; Comparison” (the side-by-side). This document is your comprehension + speaking anchor; those two are the detail backups.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360"/>
      </w:tabs>
    </w:pPr>
    <w:r>
      <w:rPr>
        <w:color w:val="595959"/>
        <w:sz w:val="16"/>
        <w:szCs w:val="16"/>
      </w:rPr>
      <w:t xml:space="preserve">ThyroVision — Meeting Prep &amp; Speaking Board</w:t>
    </w:r>
    <w:r>
      <w:rPr>
        <w:color w:val="595959"/>
        <w:sz w:val="16"/>
        <w:szCs w:val="16"/>
      </w:rPr>
      <w:t xml:space="preserv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6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2026-06-20T07:06:20.378Z</dcterms:created>
  <dcterms:modified xsi:type="dcterms:W3CDTF">2026-06-20T07:06:20.391Z</dcterms:modified>
</cp:coreProperties>
</file>

<file path=docProps/custom.xml><?xml version="1.0" encoding="utf-8"?>
<Properties xmlns="http://schemas.openxmlformats.org/officeDocument/2006/custom-properties" xmlns:vt="http://schemas.openxmlformats.org/officeDocument/2006/docPropsVTypes"/>
</file>