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1F3864"/>
          <w:sz w:val="48"/>
          <w:szCs w:val="48"/>
        </w:rPr>
        <w:t xml:space="preserve">Medicina Paper — Crux &amp; Comparison</w:t>
      </w:r>
    </w:p>
    <w:p>
      <w:pPr>
        <w:pBdr>
          <w:bottom w:val="single" w:color="2E75B6" w:sz="12" w:space="8"/>
        </w:pBdr>
        <w:spacing w:after="200"/>
      </w:pPr>
      <w:r>
        <w:rPr>
          <w:color w:val="333333"/>
          <w:sz w:val="26"/>
          <w:szCs w:val="26"/>
        </w:rPr>
        <w:t xml:space="preserve">A condensed, paraphrased reference for direct comparison against ThyroVision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Source: Bahmane, K.; Bhattacharya, S.; Chaouki, A.B. "Evaluation of a Hybrid CNN Model for Automatic</w:t>
      </w:r>
    </w:p>
    <w:p>
      <w:pPr>
        <w:spacing w:after="40"/>
      </w:pPr>
      <w:r>
        <w:rPr>
          <w:color w:val="595959"/>
          <w:sz w:val="20"/>
          <w:szCs w:val="20"/>
        </w:rPr>
        <w:t xml:space="preserve">Detection of Malignant and Benign Lesions." Medicina 2025, 61, 2036.</w:t>
      </w:r>
    </w:p>
    <w:p>
      <w:pPr>
        <w:spacing w:after="40"/>
      </w:pPr>
      <w:r>
        <w:rPr>
          <w:color w:val="595959"/>
          <w:sz w:val="20"/>
          <w:szCs w:val="20"/>
        </w:rPr>
        <w:t xml:space="preserve">All content below is paraphrased from the published paper, not quoted — for fast reference, not citation.</w:t>
      </w:r>
    </w:p>
    <w:p>
      <w:pPr>
        <w:spacing w:after="40"/>
      </w:pPr>
      <w:r>
        <w:rPr>
          <w:color w:val="595959"/>
          <w:sz w:val="20"/>
          <w:szCs w:val="20"/>
        </w:rPr>
        <w:t xml:space="preserve">June 2026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What this document is for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closest published work to ThyroVision, condensed to one sitting's worth of reading, so you can compare side-by-side with the Full Technical Specification document during the proposal meeting. This is a paraphrase for quick reference, not a substitute for the original paper.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The Paper, in Brief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4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Problem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Stratifying thyroid nodules by malignancy risk is central to early diagnosis. Ultrasound reading is operator-dependent, and TI-RADS-based triage still sends too many benign nodules to unnecessary biopsy.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 hybrid CNN: an EfficientNet-B3 backbone (ImageNet-pretrained) extended with Squeeze-and-Excitation (SE) channel-attention blocks and residual refinement modules. Class imbalance addressed with a custom GAN, "G-RAN," generating synthetic benign images.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Dataset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TN5000 — 5,000 ultrasound images, 3,572 malignant / 1,428 benign, biopsy/FNA-confirmed labels, single institution.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Headline result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Accuracy 89.73%, sensitivity 90.01%, precision 88.23%, F1 88.85%, AUC &gt; 0.90.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Conclusion claimed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 promising decision-support tool; future work flagged as clinical validation, deeper explainability, and hospital workflow integration.</w:t>
            </w:r>
          </w:p>
        </w:tc>
      </w:tr>
    </w:tbl>
    <w:p>
      <w:pPr>
        <w:pStyle w:val="Heading1"/>
      </w:pPr>
      <w:r>
        <w:t xml:space="preserve">2. Architecture</w:t>
      </w:r>
    </w:p>
    <w:p>
      <w:pPr>
        <w:spacing w:after="120"/>
      </w:pPr>
      <w:r>
        <w:t xml:space="preserve">Input (300×300×3, normalised) → EfficientNet-B3 backbone (ImageNet-pretrained) → SE blocks (channel attention) + Residual Refinement Modules → Global Average Pooling → Dense layer (128 units) → Dropout (0.4) → Sigmoid output (malignancy probability).</w:t>
      </w:r>
    </w:p>
    <w:p>
      <w:pPr>
        <w:pStyle w:val="Heading2"/>
      </w:pPr>
      <w:r>
        <w:t xml:space="preserve">Training recipe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2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Phase 1 — transfer learning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Backbone frozen, only the classification head trained, 20 epochs, learning rate 1×10⁻⁴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Phase 2 — fine-tuning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Top backbone layers unfrozen, learning rate 1×10⁻⁵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Optimizer / loss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Adam (β1=0.9, β2=0.999) / binary cross-entropy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Batch size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Early stopping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Patience = 10 epochs, monitored on validation AUC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Class balancing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Custom GAN ("G-RAN": U-Net generator + PatchGAN discriminator), synthetic benign images added to the training split only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Fixed seed (42), TensorFlow/Keras 2.12.0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Split (as stated in Methods)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70% train / 20% validation / 10% test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Split (as stated in Results)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70% train / 10% validation / 20% test — contradicts the Methods section figure above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Reported Results</w:t>
      </w:r>
    </w:p>
    <w:p>
      <w:pPr>
        <w:pStyle w:val="Heading2"/>
      </w:pPr>
      <w:r>
        <w:t xml:space="preserve">3.1 Headline metrics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4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89.73%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Sensitivity (Recall)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90.01%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Precision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88.23%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F1-Score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88.85%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AUC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&gt; 0.90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Reported training time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42 minutes (Abstract, main results table) — but 12 minutes elsewhere (Table 6), for the same model</w:t>
            </w:r>
          </w:p>
        </w:tc>
      </w:tr>
    </w:tbl>
    <w:p>
      <w:pPr>
        <w:pStyle w:val="Heading2"/>
      </w:pPr>
      <w:r>
        <w:t xml:space="preserve">3.2 Comparison against baselines (as reported)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700"/>
        <w:gridCol w:w="1500"/>
        <w:gridCol w:w="1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Standard CNN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81.5%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79.2%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82.0%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80.6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VGG16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85.3%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86.1%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84.5%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85.3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ResNet18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87.2%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88.0%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86.7%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87.3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Plain EfficientNet-B3 (Table 6)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87.1%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87.5%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86.7%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87.1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Plain EfficientNet-B3 (backbone-selection test, §2.3.1)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89.7% ± 0.6%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Hybrid (proposed)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89.73%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90.01%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88.23%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88.85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C49A2E" w:sz="18"/>
              <w:bottom w:val="none"/>
              <w:right w:val="none"/>
            </w:tcBorders>
            <w:shd w:fill="FBF3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49A2E"/>
                <w:sz w:val="21"/>
                <w:szCs w:val="21"/>
              </w:rPr>
              <w:t xml:space="preserve">Note the two EfficientNet-B3 rows above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paper reports plain EfficientNet-B3 (no SE blocks, no residual modules) at two different accuracies in two different sections — 87.1% in one table, 89.7%±0.6% in another, the latter nearly matching the full hybrid's 89.73%. This undercuts the paper's own claim that the SE/residual additions are what drove the improvement.</w:t>
            </w:r>
          </w:p>
        </w:tc>
      </w:tr>
    </w:tbl>
    <w:p>
      <w:pPr>
        <w:pStyle w:val="Heading2"/>
      </w:pPr>
      <w:r>
        <w:t xml:space="preserve">3.3 Ablation study (their most useful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00"/>
        <w:gridCol w:w="32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 removed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Drop vs. full model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 (full model)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89.73%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Data augmentation (incl. G-RAN)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83.50%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−6.23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SE blocks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86.10%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−3.63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Residual modules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86.50%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−3.23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Dropout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88.00%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−1.73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Batch normalisation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87.50%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−2.23</w:t>
            </w:r>
          </w:p>
        </w:tc>
      </w:tr>
    </w:tbl>
    <w:p>
      <w:pPr>
        <w:pStyle w:val="Heading2"/>
      </w:pPr>
      <w:r>
        <w:t xml:space="preserve">3.4 Explainability claims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Localization Accuracy (LA) — fraction of Grad-CAM heatmap energy overlapping expert-annotated lesion regions: LA = 0.84.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Pilot review: two endocrinologists judged 87% of Grad-CAM maps as corresponding to clinically relevant features.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Neither check tests whether the heatmap is causally faithful to the model's decision — both test whether it </w:t>
      </w:r>
      <w:r>
        <w:rPr>
          <w:i/>
          <w:iCs/>
        </w:rPr>
        <w:t xml:space="preserve">looks</w:t>
      </w:r>
      <w:r>
        <w:t xml:space="preserve"> plausible, not whether masking the highlighted region actually changes the prediction.</w:t>
      </w:r>
    </w:p>
    <w:p>
      <w:pPr>
        <w:pStyle w:val="Heading2"/>
      </w:pPr>
      <w:r>
        <w:t xml:space="preserve">3.5 External validation claim</w:t>
      </w:r>
    </w:p>
    <w:p>
      <w:pPr>
        <w:spacing w:after="120"/>
      </w:pPr>
      <w:r>
        <w:t xml:space="preserve">A "preliminary external validation" is reported on a dataset named "THYROID-DATASET-2022," giving 89.7% accuracy and 88.5% sensitivity — used to support a generalisation claim. This dataset has no citation, reference number, or description anywhere else in the paper; every other dataset mentioned (TN5000, and others referenced in passing) is properly cited. The claim is not independently verifiable as written.</w:t>
      </w:r>
    </w:p>
    <w:p>
      <w:r>
        <w:br w:type="page"/>
      </w:r>
    </w:p>
    <w:p>
      <w:pPr>
        <w:pStyle w:val="Heading1"/>
      </w:pPr>
      <w:r>
        <w:t xml:space="preserve">4. Limitations Acknowledged by the Paper Itself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Single-institution dataset — may limit generalisability across populations, scanners, and protocols.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Binary classification only — no TI-RADS-style risk categorisation.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Partial interpretability — the authors themselves note Grad-CAM offers limited interpretability and call for further explainability analysis.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Computational cost of the hybrid modules, a consideration for resource-limited clinical settings.</w:t>
      </w:r>
    </w:p>
    <w:p>
      <w:pPr>
        <w:pStyle w:val="Heading1"/>
      </w:pPr>
      <w:r>
        <w:t xml:space="preserve">5. Side-by-Side: Medicina vs. ThyroVision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60"/>
        <w:gridCol w:w="33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Medicina (closest published work)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ThyroVision (this project)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Backbone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EfficientNet-B3 (custom hybrid)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ResNet-50 (standard, unmodified)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Attention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SE blocks only — never compared against alternatives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CBAM, directly compared against a plain (no-attention) baseline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Class imbalance handling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Custom-built GAN (G-RAN)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Standard augmentation / class weighting (no custom generative model — out of scope for this round)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Generalisation test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Claimed, via an uncited, unverifiable dataset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Train on TN5000, test on DDTI — both datasets named, cited, and the label-source difference stated explicitly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Explainability check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Grad-CAM heatmap + localisation score + clinician approval rating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Same, plus a masking faithfulness check (attended-region vs. random-region confidence drop)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Code / weights released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Will be developed and version-controlled (git) throughout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Internal consistency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Two contradictory figures for EfficientNet-B3 accuracy; two contradictory training-time figures; train/val/test split stated two different ways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Validation checklist enforced at every phase specifically to avoid this class of error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C49A2E" w:sz="18"/>
              <w:bottom w:val="none"/>
              <w:right w:val="none"/>
            </w:tcBorders>
            <w:shd w:fill="FBF3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49A2E"/>
                <w:sz w:val="21"/>
                <w:szCs w:val="21"/>
              </w:rPr>
              <w:t xml:space="preserve">The one-line comparison to lead the meeting with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"Medicina built a more complex, custom architecture and reported a strong headline number, but left their attention choice untested, their generalisation claim unverifiable, and their explainability claim unchecked — and their own tables don't fully agree with each other. ThyroVision uses simpler, standard components specifically so the effort goes into closing those three gaps properly, with a documented validation process at every step."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Medicina Paper — Crux &amp; Comparison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2026-06-19T06:33:43.978Z</dcterms:created>
  <dcterms:modified xsi:type="dcterms:W3CDTF">2026-06-19T06:33:43.979Z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