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1F3864"/>
          <w:sz w:val="48"/>
          <w:szCs w:val="48"/>
        </w:rPr>
        <w:t xml:space="preserve">ThyroVision AI</w:t>
      </w:r>
    </w:p>
    <w:p>
      <w:pPr>
        <w:pBdr>
          <w:bottom w:val="single" w:color="2E75B6" w:sz="12" w:space="8"/>
        </w:pBdr>
        <w:spacing w:after="200"/>
      </w:pPr>
      <w:r>
        <w:rPr>
          <w:color w:val="333333"/>
          <w:sz w:val="26"/>
          <w:szCs w:val="26"/>
        </w:rPr>
        <w:t xml:space="preserve">Full Technical Specification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Problem Statement · Architecture · Datasets · Evaluation Metrics · Every Configuration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Prepared for: Dr. Gunjan — Research Internship, CSE Department, NIT Delhi</w:t>
      </w:r>
    </w:p>
    <w:p>
      <w:pPr>
        <w:spacing w:after="40"/>
      </w:pPr>
      <w:r>
        <w:rPr>
          <w:color w:val="595959"/>
          <w:sz w:val="20"/>
          <w:szCs w:val="20"/>
        </w:rPr>
        <w:t xml:space="preserve">Includes a terminology glossary and anticipated-questions prep for the proposal meeting</w:t>
      </w:r>
    </w:p>
    <w:p>
      <w:pPr>
        <w:spacing w:after="40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How to use this document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Everything here is written so you can answer a follow-up question on the spot, not just present slides. Section 7 (Glossary) and Section 8 (Anticipated Questions) exist specifically so you walk in able to defend every term and every choice, even with no prior ML background. Read top to bottom once before the meeting; keep it open during.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t xml:space="preserve">Thyroid nodules are found in a majority of adults who undergo ultrasound, yet only 5–15% are malignant. The real clinical problem is therefore not detection — ultrasound already finds nodules reliably — but triage: separating the small minority that need biopsy from the large majority that don't, without putting patients through unnecessary fine-needle aspiration (FNA).</w:t>
      </w:r>
    </w:p>
    <w:p>
      <w:pPr>
        <w:spacing w:after="120"/>
      </w:pPr>
      <w:r>
        <w:t xml:space="preserve">This project trains a binary benign-versus-malignant classifier on a ResNet-50 backbone, fine-tuned on thyroid ultrasound data, with CBAM (channel + spatial attention) added to direct the model toward the nodule itself rather than surrounding tissue. It is evaluated on three axes: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Discriminative performance</w:t>
      </w:r>
      <w:r>
        <w:t xml:space="preserve"> — sensitivity, specificity and AUC, measured against a plain ResNet-50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Explainability</w:t>
      </w:r>
      <w:r>
        <w:t xml:space="preserve"> — Grad-CAM heatmaps, verified with a region-masking faithfulness check rather than displayed as proof on their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Generalisation</w:t>
      </w:r>
      <w:r>
        <w:t xml:space="preserve"> — trained on one dataset, tested on a different one the model never saw during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49A2E" w:sz="18"/>
              <w:bottom w:val="none"/>
              <w:right w:val="none"/>
            </w:tcBorders>
            <w:shd w:fill="FBF3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49A2E"/>
                <w:sz w:val="21"/>
                <w:szCs w:val="21"/>
              </w:rPr>
              <w:t xml:space="preserve">Why this framing, if asked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Framing it as triage rather than detection matters because it sets the right success metric. A model could be 95% accurate by simply calling almost everything benign, since only 5–15% of nodules are malignant — accuracy alone would look great and be clinically useless. Sensitivity (catching real cancers) and specificity (not over-flagging benign cases) are the metrics that actually matter here.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Pipeline,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B-mode thyroid ultrasound image, 224×224 or 300×300 px, RGB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Standard input format for ImageNet-pretrained backbones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Resize, normalise pixel values; check for and mask burned-in calipers/text if present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Consistency; prevents the model 'cheating' off measurement markers instead of the nodule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Backbone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ResNet-50, pre-trained on ImageNet, fine-tuned on thyroid data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Reuses general visual knowledge instead of learning from zero on a small dataset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Attention (CBAM)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Channel attention + spatial attention block inserted into the backbone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Directs the network toward the nodule region specifically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Classification head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Global pooling → dense layer → sigmoid output (0–1)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Produces a single malignancy probability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Grad-CAM heatmap + region-masking faithfulness check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Shows where the decision came from, and verifies that's genuinely why</w:t>
            </w:r>
          </w:p>
        </w:tc>
      </w:tr>
    </w:tbl>
    <w:p>
      <w:pPr>
        <w:pStyle w:val="Heading2"/>
      </w:pPr>
      <w:r>
        <w:t xml:space="preserve">2.2 The two-leg experiment — the actual contribution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60"/>
        <w:gridCol w:w="37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answered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— Attention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Plain ResNet-50  vs.  ResNet-50 + CBAM, identical split, identical settings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Does attention measurably improve triage performance?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 — Generalisation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 on TN5000  →  test on DDTI (never seen in training)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Does the model — and does CBAM specifically — hold up across institutions?</w:t>
            </w:r>
          </w:p>
        </w:tc>
      </w:tr>
    </w:tbl>
    <w:p>
      <w:pPr>
        <w:spacing w:after="120"/>
      </w:pPr>
      <w:r>
        <w:t xml:space="preserve">Both backbone choice (ResNet-50) and attention module (CBAM) are pre-built, standard, library-implemented components — the contribution is the controlled comparison and the verification steps around them, not a new architecture.</w:t>
      </w:r>
    </w:p>
    <w:p>
      <w:r>
        <w:br w:type="page"/>
      </w:r>
    </w:p>
    <w:p>
      <w:pPr>
        <w:pStyle w:val="Heading1"/>
      </w:pPr>
      <w:r>
        <w:t xml:space="preserve">3. Exact Configuration</w:t>
      </w:r>
    </w:p>
    <w:p>
      <w:pPr>
        <w:spacing w:after="120"/>
      </w:pPr>
      <w:r>
        <w:t xml:space="preserve">Every setting, stated explicitly — the level of detail a methods section (or a sharp mentor question) requires.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Backbone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ResNet-50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ImageNet-pretrained weights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Attention module (Leg A variant)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CBAM (channel + spatial)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Inserted after backbone feature extraction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224 × 224 × 3 (provisional)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Confirm against final preprocessing decision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Classification head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Global average pooling → Dense → Sigmoid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Single-unit output = malignancy probability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Binary cross-entropy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Standard for binary classification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Optimizer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Adam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Standard adaptive optimizer; matches literature precedent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 be tuned (e.g. 1×10⁻⁴ initial)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Confirm final value once Phase 1 runs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Batch size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 be set by available GPU memory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Typically 16–32 for this image size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Epochs / early stopping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 until validation AUC plateaus; patience ~10 epochs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Prevents overfitting on a modest-sized dataset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Train/val/test split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≈70/10/20, matching TN5000's official ratios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Patient-level if a patient identifier is recoverable; documented as a limitation if not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Augmentation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Flip, rotation, brightness/contrast adjustment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Applied to the training split only — never validation or test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Single split first; escalate to 5-fold if wall-clock time allows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Validate the pipeline cheaply before scaling up the cost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Hardware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GPU (device confirmed at setup)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CPU-only would make iteration impractically slow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If asked "why these settings"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Every value above either matches the closest published paper's reported setup (so the comparison is fair) or follows standard practice for fine-tuning a pretrained CNN on a small-to-mid medical imaging dataset (Adam optimizer, early stopping on validation AUC, train-only augmentation). None of it is arbitrary, and none of it was invented for this project — that's intentional.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1700"/>
        <w:gridCol w:w="12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source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TN5000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5,000 images (3,572 malignant / 1,428 benign)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Biopsy/FNA-confirmed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 + same-dataset test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Single institution (Beijing Cancer Hospital, GE Logiq scanners); malignant-skewed vs. real-world prevalence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DDTI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~480 images / ~390 patients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TI-RADS category (1–3 benign, 4–5 malignant), not biopsy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Held out entirely — Leg B generalisation test only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Tests an image-domain shift AND a label-definition shift simultaneously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49A2E" w:sz="18"/>
              <w:bottom w:val="none"/>
              <w:right w:val="none"/>
            </w:tcBorders>
            <w:shd w:fill="FBF3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49A2E"/>
                <w:sz w:val="21"/>
                <w:szCs w:val="21"/>
              </w:rPr>
              <w:t xml:space="preserve">The rule that protects the whole project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DDTI is never touched during training, tuning, or model selection — only at the final generalisation test, after the TN5000 model is already locked. If this rule is ever broken, even accidentally, the generalisation result becomes meaningless. This is enforced as a standing rule in the project's working memory (CLAUDE.md), not left to manual discipline.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Evaluation Metrics</w:t>
      </w:r>
    </w:p>
    <w:p>
      <w:pPr>
        <w:spacing w:after="120"/>
      </w:pPr>
      <w:r>
        <w:t xml:space="preserve">(TP/TN = true positive/negative, FP/FN = false positive/negative — 'positive' means malignant.)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clinically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(TP+TN)/all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Overall correctness — misleading alone on imbalanced data; never reported by itself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Sensitivity (Recall)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TP/(TP+FN)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Of real cancers, how many were caught — the most important metric; a missed cancer is the costliest error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Specificity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TN/(TN+FP)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Of benign nodules, how many were correctly cleared — drives the reduction in unnecessary biopsies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TP/(TP+FP)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When the model says malignant, how often is it right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F1-score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2·(Prec·Rec)/(Prec+Rec)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Single balance number between precision and recall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AUC (ROC)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Area under TPR-vs-FPR curve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Threshold-independent measure of overall separability; ~0.85–0.95 is strong in this literature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Full breakdown of correct/incorrect calls per class; always reported alongside the numbers above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Localization Accuracy (LA)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Grad-CAM heatmap energy overlapping the expert-annotated lesion box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Quantifies whether the model's attention lands on the actual nodule — literature-comparable (competitor reports LA=0.84)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Masking faithfulness drop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Δ confidence when the Grad-CAM-attended region is masked, vs. Δ when a random region is masked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Verifies the heatmap reflects genuine reasoning, not just a plausible-looking picture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Terminology Glossary</w:t>
      </w:r>
    </w:p>
    <w:p>
      <w:pPr>
        <w:spacing w:after="120"/>
      </w:pPr>
      <w:r>
        <w:t xml:space="preserve">Every term used above or likely to come up in the meeting, defined plainly.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 meaning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CNN (Convolutional Neural Network)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standard deep learning model for images — scans the image with small learnable filters, building from simple patterns (edges) to complex ones (a nodule's shape)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Backbone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main feature-extracting network (here, ResNet-50) — the part of the model that turns an image into a meaningful numerical representation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Starting from a model already trained on millions of general photos (ImageNet), then adapting it to thyroid images — far more data-efficient than training from scratch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Fine-tuning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process of carefully adjusting a pretrained model's weights on your specific task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Attention mechanism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component that lets the model learn which parts of the image matter most, and weight them more heavily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CBAM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Convolutional Block Attention Module — adds both channel attention (which feature types matter) and spatial attention (where in the image matters) to a CNN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 block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Squeeze-and-Excitation block — channel attention only, no spatial component; what the competitor paper used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Grad-CAM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Gradient-weighted Class Activation Mapping — produces a heatmap showing which image regions most influenced a prediction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Epoch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One full pass through all training images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Weights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model's learned knowledge — millions of adjustable numbers; a trained model IS its weights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Checkpoint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saved copy of the model's weights at a point in training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Overfitting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model memorises training examples instead of learning general patterns — looks great on training data, performs poorly on new data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 / validation / test split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Three separate, non-overlapping image groups: train (learn from), validation (tune on), test (final honest score, touched once)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Patient-level split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Ensuring all images from one patient stay in only one of train/val/test, so the model can't 'recognise' a patient instead of learning the disease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leakage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When information from outside the training set improperly influences it — e.g. the same patient appearing in both train and test — and inflates results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When one label is much rarer than another (here, malignant nodules are a minority of real-world cases) — can bias a model toward always predicting the majority class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TI-RADS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Thyroid Imaging Reporting and Data System — a radiologist's structured scoring system for nodule risk, TR1 (benign) to TR5 (highly suspicious)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Domain shift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Performance drop when test data differs from training data — different hospital, scanner, or population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The Gap This Project Targets</w:t>
      </w:r>
    </w:p>
    <w:p>
      <w:pPr>
        <w:spacing w:after="120"/>
      </w:pPr>
      <w:r>
        <w:t xml:space="preserve">Set directly against the closest published work — Bahmane et al. (2025), Medicina: a hybrid EfficientNet-B3 + SE-block model on TN5000, reporting 89.7% accuracy. (Full comparison reference: companion document, Medicina Paper — Crux &amp; Comparison.)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Attention choice untested</w:t>
      </w:r>
      <w:r>
        <w:t xml:space="preserve"> — only SE blocks were tried, never compared against CBAM's added spatial attention. This project runs that comparison (Leg 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Generalisation claim unverifiable</w:t>
      </w:r>
      <w:r>
        <w:t xml:space="preserve"> — their external dataset, "THYROID-DATASET-2022," has no citation anywhere in the paper. This project's TN5000→DDTI test (Leg B) is a verifiable version of what they only gestured 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Grad-CAM reported, not verified</w:t>
      </w:r>
      <w:r>
        <w:t xml:space="preserve"> — they give a localization score and a clinician-approval percentage, but never check whether the heatmap is faithful to the model's actual reasoning. This project adds the masking check.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Internal inconsistencies</w:t>
      </w:r>
      <w:r>
        <w:t xml:space="preserve"> — e.g. plain EfficientNet-B3 reported at two different accuracies in two different tables of the same paper; their own 89.7%/90.0%/AUC&gt;0.90 should be read as a directional target, not a verified one — there is no released code to reproduce it against.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What success actually means here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Not "beat 89.7%." The defensible claim is running the controlled comparisons the closest published work never ran — a tested attention choice, a verifiable cross-dataset evaluation, and a checked explanation. If CBAM doesn't outperform the baseline, or doesn't generalise better, that is still a complete, honest, reportable result.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Anticipated Mentor Questions — and How to Answer</w:t>
      </w:r>
    </w:p>
    <w:p>
      <w:pPr>
        <w:spacing w:after="30" w:before="140"/>
      </w:pPr>
      <w:r>
        <w:rPr>
          <w:b/>
          <w:bCs/>
          <w:i/>
          <w:iCs/>
          <w:color w:val="1F3864"/>
          <w:sz w:val="21"/>
          <w:szCs w:val="21"/>
        </w:rPr>
        <w:t xml:space="preserve">"Why ResNet-50 and not something newer?"</w:t>
      </w:r>
    </w:p>
    <w:p>
      <w:pPr>
        <w:spacing w:after="30"/>
      </w:pPr>
      <w:r>
        <w:rPr>
          <w:sz w:val="20"/>
          <w:szCs w:val="20"/>
        </w:rPr>
        <w:t xml:space="preserve">It's the most common baseline in thyroid ultrasound literature, well-documented, and computationally cheap enough to iterate quickly on a single GPU in a 4-week window. Novelty here is in the attention comparison and evaluation, not the backbone choice.</w:t>
      </w:r>
    </w:p>
    <w:p>
      <w:pPr>
        <w:spacing w:after="30" w:before="140"/>
      </w:pPr>
      <w:r>
        <w:rPr>
          <w:b/>
          <w:bCs/>
          <w:i/>
          <w:iCs/>
          <w:color w:val="1F3864"/>
          <w:sz w:val="21"/>
          <w:szCs w:val="21"/>
        </w:rPr>
        <w:t xml:space="preserve">"Why CBAM specifically, not SE or a Vision Transformer?"</w:t>
      </w:r>
    </w:p>
    <w:p>
      <w:pPr>
        <w:spacing w:after="30"/>
      </w:pPr>
      <w:r>
        <w:rPr>
          <w:sz w:val="20"/>
          <w:szCs w:val="20"/>
        </w:rPr>
        <w:t xml:space="preserve">SE was already tested by the closest published paper — testing it again adds nothing. CBAM adds a spatial component SE lacks, which is directly relevant to localising a nodule. ViT-class models are data-hungry and a known poor fit for a dataset this size without much larger pretraining.</w:t>
      </w:r>
    </w:p>
    <w:p>
      <w:pPr>
        <w:spacing w:after="30" w:before="140"/>
      </w:pPr>
      <w:r>
        <w:rPr>
          <w:b/>
          <w:bCs/>
          <w:i/>
          <w:iCs/>
          <w:color w:val="1F3864"/>
          <w:sz w:val="21"/>
          <w:szCs w:val="21"/>
        </w:rPr>
        <w:t xml:space="preserve">"How do you know your baseline number is trustworthy?"</w:t>
      </w:r>
    </w:p>
    <w:p>
      <w:pPr>
        <w:spacing w:after="30"/>
      </w:pPr>
      <w:r>
        <w:rPr>
          <w:sz w:val="20"/>
          <w:szCs w:val="20"/>
        </w:rPr>
        <w:t xml:space="preserve">A documented validation checklist runs before any result is accepted: zero patient overlap between splits, realistic training time, a sane (non-diverging) learning curve, and a sanity check that first-run accuracy isn't suspiciously high (≥97%), which would suggest data leakage rather than genuine performance.</w:t>
      </w:r>
    </w:p>
    <w:p>
      <w:pPr>
        <w:spacing w:after="30" w:before="140"/>
      </w:pPr>
      <w:r>
        <w:rPr>
          <w:b/>
          <w:bCs/>
          <w:i/>
          <w:iCs/>
          <w:color w:val="1F3864"/>
          <w:sz w:val="21"/>
          <w:szCs w:val="21"/>
        </w:rPr>
        <w:t xml:space="preserve">"What if CBAM doesn't actually help?"</w:t>
      </w:r>
    </w:p>
    <w:p>
      <w:pPr>
        <w:spacing w:after="30"/>
      </w:pPr>
      <w:r>
        <w:rPr>
          <w:sz w:val="20"/>
          <w:szCs w:val="20"/>
        </w:rPr>
        <w:t xml:space="preserve">That's a valid, reportable outcome, not a failed project — it would mean spatial attention isn't adding value on this data, which is itself useful information the field doesn't currently have confirmed for this specific dataset and attention type.</w:t>
      </w:r>
    </w:p>
    <w:p>
      <w:pPr>
        <w:spacing w:after="30" w:before="140"/>
      </w:pPr>
      <w:r>
        <w:rPr>
          <w:b/>
          <w:bCs/>
          <w:i/>
          <w:iCs/>
          <w:color w:val="1F3864"/>
          <w:sz w:val="21"/>
          <w:szCs w:val="21"/>
        </w:rPr>
        <w:t xml:space="preserve">"Isn't DDTI's TI-RADS labelling different from TN5000's biopsy-confirmed labelling — is that a fair test?"</w:t>
      </w:r>
    </w:p>
    <w:p>
      <w:pPr>
        <w:spacing w:after="30"/>
      </w:pPr>
      <w:r>
        <w:rPr>
          <w:sz w:val="20"/>
          <w:szCs w:val="20"/>
        </w:rPr>
        <w:t xml:space="preserve">Yes, and that's stated explicitly rather than hidden — training on TN5000 and testing on DDTI tests both an imaging-domain shift and a label-definition shift simultaneously. Both are legitimate things to learn from, but the report will name both rather than present it as a clean apples-to-apples comparison.</w:t>
      </w:r>
    </w:p>
    <w:p>
      <w:pPr>
        <w:spacing w:after="30" w:before="140"/>
      </w:pPr>
      <w:r>
        <w:rPr>
          <w:b/>
          <w:bCs/>
          <w:i/>
          <w:iCs/>
          <w:color w:val="1F3864"/>
          <w:sz w:val="21"/>
          <w:szCs w:val="21"/>
        </w:rPr>
        <w:t xml:space="preserve">"Why trust your reading of the competitor paper over the paper itself?"</w:t>
      </w:r>
    </w:p>
    <w:p>
      <w:pPr>
        <w:spacing w:after="30"/>
      </w:pPr>
      <w:r>
        <w:rPr>
          <w:sz w:val="20"/>
          <w:szCs w:val="20"/>
        </w:rPr>
        <w:t xml:space="preserve">Not asking for that — the specific issues raised (two different accuracy figures for the same model, an uncited dataset, contradictory training-time figures) are objectively checkable inside the paper's own text and tables, not interpretive judgments.</w:t>
      </w:r>
    </w:p>
    <w:p>
      <w:pPr>
        <w:spacing w:after="30" w:before="140"/>
      </w:pPr>
      <w:r>
        <w:rPr>
          <w:b/>
          <w:bCs/>
          <w:i/>
          <w:iCs/>
          <w:color w:val="1F3864"/>
          <w:sz w:val="21"/>
          <w:szCs w:val="21"/>
        </w:rPr>
        <w:t xml:space="preserve">"What's the actual deliverable at the end?"</w:t>
      </w:r>
    </w:p>
    <w:p>
      <w:pPr>
        <w:spacing w:after="30"/>
      </w:pPr>
      <w:r>
        <w:rPr>
          <w:sz w:val="20"/>
          <w:szCs w:val="20"/>
        </w:rPr>
        <w:t xml:space="preserve">A baseline-vs-CBAM comparison table, a TN5000→DDTI generalisation result, a set of Grad-CAM figures with a quantified masking-faithfulness check, and a written report — scoped to be complete even if a later phase has to be cut for time.</w:t>
      </w:r>
    </w:p>
    <w:p>
      <w:pPr>
        <w:spacing w:after="120"/>
      </w:pPr>
      <w:r>
        <w:t xml:space="preserve"/>
      </w:r>
    </w:p>
    <w:p>
      <w:pPr>
        <w:pBdr>
          <w:top w:val="single" w:color="BFBFBF" w:sz="4" w:space="6"/>
        </w:pBdr>
        <w:spacing w:before="120"/>
      </w:pPr>
      <w:r>
        <w:rPr>
          <w:color w:val="595959"/>
          <w:sz w:val="18"/>
          <w:szCs w:val="18"/>
        </w:rPr>
        <w:t xml:space="preserve">Companion document: </w:t>
      </w:r>
      <w:r>
        <w:rPr>
          <w:i/>
          <w:iCs/>
          <w:color w:val="595959"/>
          <w:sz w:val="18"/>
          <w:szCs w:val="18"/>
        </w:rPr>
        <w:t xml:space="preserve">Medicina Paper — Crux &amp; Comparison, for direct side-by-side reference during the meeting.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ThyroVision — Full Technical Specification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2026-06-19T06:33:02.091Z</dcterms:created>
  <dcterms:modified xsi:type="dcterms:W3CDTF">2026-06-19T06:33:02.106Z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