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1F3864"/>
          <w:sz w:val="48"/>
          <w:szCs w:val="48"/>
        </w:rPr>
        <w:t xml:space="preserve">ThyroVision AI</w:t>
      </w:r>
    </w:p>
    <w:p>
      <w:pPr>
        <w:pBdr>
          <w:bottom w:val="single" w:color="2E75B6" w:sz="12" w:space="8"/>
        </w:pBdr>
        <w:spacing w:after="200"/>
      </w:pPr>
      <w:r>
        <w:rPr>
          <w:color w:val="333333"/>
          <w:sz w:val="26"/>
          <w:szCs w:val="26"/>
        </w:rPr>
        <w:t xml:space="preserve">Project Architecture &amp; Problem Statement</w:t>
      </w:r>
    </w:p>
    <w:p>
      <w:pPr>
        <w:spacing w:after="40"/>
      </w:pPr>
      <w:r>
        <w:rPr>
          <w:color w:val="595959"/>
          <w:sz w:val="20"/>
          <w:szCs w:val="20"/>
        </w:rPr>
        <w:t xml:space="preserve">An Explainable, Attention-Driven Framework for Thyroid Ultrasound Triage</w:t>
      </w:r>
    </w:p>
    <w:p>
      <w:pPr>
        <w:spacing w:after="40"/>
      </w:pPr>
      <w:r>
        <w:rPr>
          <w:color w:val="595959"/>
          <w:sz w:val="20"/>
          <w:szCs w:val="20"/>
        </w:rPr>
        <w:t xml:space="preserve">Prepared for: Dr. Gunjan — Research Internship, CSE Department, NIT Delhi</w:t>
      </w:r>
    </w:p>
    <w:p>
      <w:pPr>
        <w:spacing w:after="40"/>
      </w:pPr>
      <w:r>
        <w:rPr>
          <w:color w:val="595959"/>
          <w:sz w:val="20"/>
          <w:szCs w:val="20"/>
        </w:rPr>
        <w:t xml:space="preserve">Status: Scoped proposal for review</w:t>
      </w:r>
    </w:p>
    <w:p>
      <w:pPr>
        <w:spacing w:after="40"/>
      </w:pPr>
      <w:r>
        <w:rPr>
          <w:color w:val="595959"/>
          <w:sz w:val="20"/>
          <w:szCs w:val="20"/>
        </w:rPr>
        <w:t xml:space="preserve">June 2026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One-line summary</w:t>
            </w:r>
          </w:p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A ResNet-50 thyroid ultrasound classifier with CBAM attention, evaluated honestly across institutions and with a verified explainability check — targeting the specific gaps left open by the closest published work.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Problem Statement</w:t>
      </w:r>
    </w:p>
    <w:p>
      <w:pPr>
        <w:spacing w:after="120"/>
      </w:pPr>
      <w:r>
        <w:t xml:space="preserve">Thyroid nodules are found in a majority of adults who undergo ultrasound, yet only 5–15% are malignant. The real clinical problem is therefore not detection — ultrasound already finds nodules reliably — but triage: separating the small minority that need biopsy from the large majority that do not, without putting patients through unnecessary fine-needle aspiration.</w:t>
      </w:r>
    </w:p>
    <w:p>
      <w:pPr>
        <w:spacing w:after="120"/>
      </w:pPr>
      <w:r>
        <w:t xml:space="preserve">This project trains a binary benign-versus-malignant classifier on a ResNet-50 backbone, fine-tuned on thyroid ultrasound datasets, augmented with CBAM (channel + spatial attention) to direct the model toward the nodule itself rather than surrounding tissue. It is evaluated on three things: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Discriminative performance</w:t>
      </w:r>
      <w:r>
        <w:t xml:space="preserve"> — sensitivity, specificity and AUC, measured against a plain ResNet-50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Explainability</w:t>
      </w:r>
      <w:r>
        <w:t xml:space="preserve"> — by checking whether masking the Grad-CAM-highlighted region actually changes the prediction, rather than treating the heatmap as proof on its 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Generalisation</w:t>
      </w:r>
      <w:r>
        <w:t xml:space="preserve"> — by training on one dataset and testing on a different one the model never saw during training.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49A2E" w:sz="18"/>
              <w:bottom w:val="none"/>
              <w:right w:val="none"/>
            </w:tcBorders>
            <w:shd w:fill="FBF3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49A2E"/>
                <w:sz w:val="21"/>
                <w:szCs w:val="21"/>
              </w:rPr>
              <w:t xml:space="preserve">Framing note (clinical honesty)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project is framed as reducing unnecessary biopsies while not missing real cancers — i.e. improving triage — rather than "detecting cancer." This is why sensitivity (catching cancers) and specificity (not over-flagging) are the real targets, not raw accuracy.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End-to-end pipeline</w:t>
      </w:r>
    </w:p>
    <w:p>
      <w:pPr>
        <w:spacing w:after="120"/>
      </w:pPr>
      <w:r>
        <w:t xml:space="preserve">The system is a single forward pipeline from raw ultrasound image to an explained malignancy prediction. Each stage: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35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B-mode thyroid ultrasound image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Raw clinical data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Resize to fixed size; normalise pixel values; clean burned-in artifacts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Consistency; prevent label leakage from calipers/text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Backbone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ResNet-50, pre-trained on ImageNet, fine-tuned on thyroid data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Feature extraction without training from scratch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Attention (CBAM)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Channel + spatial attention block on the backbone features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Focus the model on the nodule region, not surrounding tissue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Classification head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Pooling → dense layer → sigmoid output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Produces a 0–1 malignancy probability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Grad-CAM heatmap + region-masking faithfulness check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Show — and verify — where the decision came from</w:t>
            </w:r>
          </w:p>
        </w:tc>
      </w:tr>
    </w:tbl>
    <w:p>
      <w:pPr>
        <w:pStyle w:val="Heading2"/>
      </w:pPr>
      <w:r>
        <w:t xml:space="preserve">2.2 The two-leg experiment</w:t>
      </w:r>
    </w:p>
    <w:p>
      <w:pPr>
        <w:spacing w:after="120"/>
      </w:pPr>
      <w:r>
        <w:t xml:space="preserve">The architecture is deliberately built to support two controlled comparisons — these comparisons ARE the contribution, not the model alone.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60"/>
        <w:gridCol w:w="360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Comparison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it answers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 — Attention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Plain ResNet-50  vs.  ResNet-50 + CBAM (identical split, identical settings)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Does spatial+channel attention actually improve triage performance?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 — Generalisation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Train on TN5000  →  test on DDTI (never seen)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Does the model hold up on a different institution / label standard?</w:t>
            </w:r>
          </w:p>
        </w:tc>
      </w:tr>
    </w:tbl>
    <w:p>
      <w:pPr>
        <w:pStyle w:val="Heading2"/>
      </w:pPr>
      <w:r>
        <w:t xml:space="preserve">2.3 Datasets and their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360"/>
        <w:gridCol w:w="30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TN5000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Train + same-dataset test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Biopsy/FNA-confirmed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Largest open set; malignant-skewed (3,572 vs 1,428)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DDTI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External test — held out entirely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TI-RADS category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~480 images; tests image + label-definition shift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TN3K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Optional, with caution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Volunteer-annotated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Not biopsy-confirmed — treat as lower-confidence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A subtlety worth stating to the mentor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TN5000's labels are biopsy-confirmed; DDTI's come from TI-RADS scoring. So training on TN5000 and testing on DDTI tests two shifts at once: a different imaging domain AND a different label definition. Both are legitimate to test, but the report will name both rather than treat DDTI as a clean apples-to-apples external set.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Why This Project — The Gap It Fills</w:t>
      </w:r>
    </w:p>
    <w:p>
      <w:pPr>
        <w:spacing w:after="120"/>
      </w:pPr>
      <w:r>
        <w:t xml:space="preserve">This scope is set directly against the closest published work: a hybrid EfficientNet-B3 model with SE-block attention, evaluated on TN5000, reporting 89.7% accuracy. Reading it closely surfaces four specific, addressable gaps.</w:t>
      </w:r>
    </w:p>
    <w:p>
      <w:pPr>
        <w:pStyle w:val="ListParagraph"/>
        <w:numPr>
          <w:ilvl w:val="0"/>
          <w:numId w:val="3"/>
        </w:numPr>
        <w:spacing w:after="30" w:before="120"/>
      </w:pPr>
      <w:r>
        <w:rPr>
          <w:b/>
          <w:bCs/>
          <w:sz w:val="21"/>
          <w:szCs w:val="21"/>
        </w:rPr>
        <w:t xml:space="preserve">Its attention choice was never tested.</w:t>
      </w:r>
    </w:p>
    <w:p>
      <w:pPr>
        <w:spacing w:after="120"/>
        <w:ind w:left="460"/>
      </w:pPr>
      <w:r>
        <w:rPr>
          <w:sz w:val="20"/>
          <w:szCs w:val="20"/>
        </w:rPr>
        <w:t xml:space="preserve">Only SE blocks were tried, with no comparison against CBAM's added spatial attention. This project runs that comparison directly (Leg A).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sz w:val="21"/>
          <w:szCs w:val="21"/>
        </w:rPr>
        <w:t xml:space="preserve">Its generalisation claim was never genuinely verifiable.</w:t>
      </w:r>
    </w:p>
    <w:p>
      <w:pPr>
        <w:spacing w:after="120"/>
        <w:ind w:left="460"/>
      </w:pPr>
      <w:r>
        <w:rPr>
          <w:sz w:val="20"/>
          <w:szCs w:val="20"/>
        </w:rPr>
        <w:t xml:space="preserve">The external dataset it cites, "THYROID-DATASET-2022," appears nowhere else in the paper — no link, reference number, or description. This project's cross-dataset test (Leg B) is a verifiable version of what they only gestured at.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sz w:val="21"/>
          <w:szCs w:val="21"/>
        </w:rPr>
        <w:t xml:space="preserve">Its Grad-CAM output was reported, not verified.</w:t>
      </w:r>
    </w:p>
    <w:p>
      <w:pPr>
        <w:spacing w:after="120"/>
        <w:ind w:left="460"/>
      </w:pPr>
      <w:r>
        <w:rPr>
          <w:sz w:val="20"/>
          <w:szCs w:val="20"/>
        </w:rPr>
        <w:t xml:space="preserve">It reported a localization-accuracy score and a clinician-approval percentage, but never checked whether the heatmap is faithful to the model's actual reasoning. This project runs that masking check.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sz w:val="21"/>
          <w:szCs w:val="21"/>
        </w:rPr>
        <w:t xml:space="preserve">Its own ablation results are internally inconsistent about the backbone's standalone contribution.</w:t>
      </w:r>
    </w:p>
    <w:p>
      <w:pPr>
        <w:spacing w:after="120"/>
        <w:ind w:left="460"/>
      </w:pPr>
      <w:r>
        <w:rPr>
          <w:sz w:val="20"/>
          <w:szCs w:val="20"/>
        </w:rPr>
        <w:t xml:space="preserve">It reports plain EfficientNet-B3 at two different accuracies in two different tables. This is a caution about reporting cleanly — not a gap this project tests, but one worth naming so it is not repeated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49A2E" w:sz="18"/>
              <w:bottom w:val="none"/>
              <w:right w:val="none"/>
            </w:tcBorders>
            <w:shd w:fill="FBF3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49A2E"/>
                <w:sz w:val="21"/>
                <w:szCs w:val="21"/>
              </w:rPr>
              <w:t xml:space="preserve">Two honest shared limitations (not competitor-only flaws)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TN5000 is malignant-skewed relative to real-world prevalence, and neither the prior work nor this project's current scope connects its output to TI-RADS categories. Both are properties of the dataset and the binary-classification approach generally — not something this round of work claims to fix. Stating them upfront is a sign of rigour, not weakness.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Scope &amp; Success Criteria</w:t>
      </w:r>
    </w:p>
    <w:p>
      <w:pPr>
        <w:pStyle w:val="Heading2"/>
      </w:pPr>
      <w:r>
        <w:t xml:space="preserve">4.1 In scope (the defensible MVP)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Binary benign/malignant classification on a ResNet-50 backbone.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One attention module (CBAM), compared head-to-head against the plain baseline.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Grad-CAM explainability, with a masking-based faithfulness check.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genuine cross-dataset generalisation test (train TN5000 → test DDTI).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Patient-level data splitting and honest reporting (sensitivity, specificity, AUC).</w:t>
      </w:r>
    </w:p>
    <w:p>
      <w:pPr>
        <w:pStyle w:val="Heading2"/>
      </w:pPr>
      <w:r>
        <w:t xml:space="preserve">4.2 Out of scope (this round)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Multi-class TI-RADS (TR1–TR5) categorisation.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Calibrated risk-band output (a natural next extension).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Segmentation as a pre-step (whole-image classification for now).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Multimodal inputs (reports, demographics).</w:t>
      </w:r>
    </w:p>
    <w:p>
      <w:pPr>
        <w:pStyle w:val="Heading2"/>
      </w:pPr>
      <w:r>
        <w:t xml:space="preserve">4.3 What success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Baseline soundness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Plain ResNet-50 ≈ 85% accuracy on TN5000 (literature floor)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Attention contribution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CBAM improves sensitivity / AUC over baseline on the same split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Generalisation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CBAM model's accuracy drop from TN5000 → DDTI is smaller than the baseline's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Masking the Grad-CAM region measurably lowers the prediction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The core claim this project can honestly make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"We ran the controlled comparisons the closest published work never ran: a tested attention choice, a verifiable cross-dataset evaluation, and a checked (not just displayed) explanation." The contribution is rigour and the cross-dataset test — not beating a single decimal on an internally inconsistent number.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Open Questions for the Mentor</w:t>
      </w:r>
    </w:p>
    <w:p>
      <w:pPr>
        <w:spacing w:after="120"/>
      </w:pPr>
      <w:r>
        <w:t xml:space="preserve">Points to settle in review, where your steer changes the plan: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Scope: is binary benign/malignant the right target to commit to, or do you want TI-RADS categorisation attempted within the timeline?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Data: do we have any private/clinical thyroid ultrasound data, or should I rely entirely on the public sets (TN5000, DDTI, TN3K)? Is any Indian dataset available for external validation?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Compute: do I have a lab GPU machine I can run a terminal on, or should I plan around Kaggle/Colab?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Output: are we targeting a workshop/conference paper, a thesis chapter, or an internal report — and what's the timeline expectation?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Prior work: is anyone in the lab already on this, with code I should build on rather than start fresh?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49A2E" w:sz="18"/>
              <w:bottom w:val="none"/>
              <w:right w:val="none"/>
            </w:tcBorders>
            <w:shd w:fill="FBF3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49A2E"/>
                <w:sz w:val="21"/>
                <w:szCs w:val="21"/>
              </w:rPr>
              <w:t xml:space="preserve">One line to open the meeting with</w:t>
            </w:r>
          </w:p>
          <w:p>
            <w:r>
              <w:rPr>
                <w:i/>
                <w:iCs/>
                <w:color w:val="1F3864"/>
                <w:sz w:val="21"/>
                <w:szCs w:val="21"/>
              </w:rPr>
              <w:t xml:space="preserve">“My plan is a fine-tuned ResNet-50 baseline on TN5000, add CBAM attention and compare head-to-head, evaluate with sensitivity/specificity/AUC plus a real cross-dataset test on DDTI, and use Grad-CAM with a masking check for explainability — set against the gaps in the closest published paper. Does that scope match what you had in mind, or would you steer it differently?”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BFBFBF" w:sz="4" w:space="6"/>
        </w:pBdr>
        <w:spacing w:before="120"/>
      </w:pPr>
      <w:r>
        <w:rPr>
          <w:color w:val="595959"/>
          <w:sz w:val="18"/>
          <w:szCs w:val="18"/>
        </w:rPr>
        <w:t xml:space="preserve">Reference — closest published work: </w:t>
      </w:r>
      <w:hyperlink w:history="1" r:id="rIdhywm3dl8466kcd4d3a37d">
        <w:r>
          <w:rPr>
            <w:rStyle w:val="Hyperlink"/>
            <w:sz w:val="18"/>
            <w:szCs w:val="18"/>
          </w:rPr>
          <w:t xml:space="preserve">Bahmane et al., Medicina 2025 (hybrid CNN on TN5000)</w:t>
        </w:r>
      </w:hyperlink>
      <w:r>
        <w:rPr>
          <w:color w:val="595959"/>
          <w:sz w:val="18"/>
          <w:szCs w:val="18"/>
        </w:rPr>
        <w:t xml:space="preserve">  ·  Dataset: </w:t>
      </w:r>
      <w:hyperlink w:history="1" r:id="rIdbk5a0-7dvxi_kcg6tifh2">
        <w:r>
          <w:rPr>
            <w:rStyle w:val="Hyperlink"/>
            <w:sz w:val="18"/>
            <w:szCs w:val="18"/>
          </w:rPr>
          <w:t xml:space="preserve">TN5000 (Scientific Data, 2025)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ThyroVision — Architecture &amp; Problem Statement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ywm3dl8466kcd4d3a37d" Type="http://schemas.openxmlformats.org/officeDocument/2006/relationships/hyperlink" Target="https://pmc.ncbi.nlm.nih.gov/articles/PMC12654495/" TargetMode="External"/><Relationship Id="rIdbk5a0-7dvxi_kcg6tifh2" Type="http://schemas.openxmlformats.org/officeDocument/2006/relationships/hyperlink" Target="https://www.nature.com/articles/s41597-025-05757-4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2026-06-18T06:53:25.773Z</dcterms:created>
  <dcterms:modified xsi:type="dcterms:W3CDTF">2026-06-18T06:53:25.773Z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