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85929E"/>
          <w:sz w:val="16"/>
        </w:rPr>
        <w:t>🖥 TELA = o que aparece na gravação   |   ▶ AÇÃO = o que você faz   |   Texto normal = o que você fala</w:t>
      </w:r>
    </w:p>
    <w:p/>
    <w:p>
      <w:pPr>
        <w:jc w:val="center"/>
      </w:pPr>
      <w:r>
        <w:rPr>
          <w:color w:val="85929E"/>
          <w:sz w:val="22"/>
        </w:rPr>
        <w:t>FIAP PosTech — Pós-graduação em Inteligência Artificial</w:t>
      </w:r>
    </w:p>
    <w:p/>
    <w:p>
      <w:pPr>
        <w:jc w:val="center"/>
      </w:pPr>
      <w:r>
        <w:rPr>
          <w:b/>
          <w:color w:val="1A5276"/>
          <w:sz w:val="52"/>
        </w:rPr>
        <w:t>Assistente Médico Virtual</w:t>
      </w:r>
    </w:p>
    <w:p>
      <w:pPr>
        <w:jc w:val="center"/>
      </w:pPr>
      <w:r>
        <w:rPr>
          <w:color w:val="2E86C1"/>
          <w:sz w:val="28"/>
        </w:rPr>
        <w:t>Script de Apresentação em Vídeo</w:t>
      </w:r>
    </w:p>
    <w:p/>
    <w:p>
      <w:pPr>
        <w:jc w:val="center"/>
      </w:pPr>
      <w:r>
        <w:rPr>
          <w:b/>
          <w:color w:val="2C3E50"/>
          <w:sz w:val="26"/>
        </w:rPr>
        <w:t>Larissa Boscatti</w:t>
      </w:r>
    </w:p>
    <w:p>
      <w:pPr>
        <w:jc w:val="center"/>
      </w:pPr>
      <w:r>
        <w:rPr>
          <w:color w:val="85929E"/>
          <w:sz w:val="20"/>
        </w:rPr>
        <w:t>FIAP PosTech · March de 2026</w:t>
      </w:r>
    </w:p>
    <w:p/>
    <w:p>
      <w:pPr>
        <w:jc w:val="center"/>
        <w:shd w:val="clear" w:color="auto" w:fill="EBF5FB"/>
      </w:pPr>
      <w:r>
        <w:rPr>
          <w:b/>
          <w:color w:val="1A5276"/>
          <w:sz w:val="22"/>
        </w:rPr>
        <w:t xml:space="preserve">  ⏱  Duração estimada total: 8 a 12 minutos  </w:t>
      </w:r>
    </w:p>
    <w:p>
      <w:r>
        <w:br w:type="page"/>
      </w:r>
    </w:p>
    <w:p>
      <w:r>
        <w:rPr>
          <w:b/>
          <w:color w:val="1A5276"/>
          <w:sz w:val="26"/>
        </w:rPr>
        <w:t>ESTRUTURA DO VÍDEO</w:t>
      </w:r>
    </w:p>
    <w:tbl>
      <w:tblPr>
        <w:tblStyle w:val="TableGrid"/>
        <w:tblW w:type="auto" w:w="0"/>
        <w:tblLook w:firstColumn="1" w:firstRow="1" w:lastColumn="0" w:lastRow="0" w:noHBand="0" w:noVBand="1" w:val="04A0"/>
      </w:tblPr>
      <w:tblGrid>
        <w:gridCol w:w="4703"/>
        <w:gridCol w:w="4703"/>
      </w:tblGrid>
      <w:tr>
        <w:tc>
          <w:tcPr>
            <w:tcW w:type="dxa" w:w="4703"/>
            <w:shd w:val="clear" w:color="auto" w:fill="1A5276"/>
          </w:tcPr>
          <w:p>
            <w:r/>
            <w:r>
              <w:rPr>
                <w:b/>
                <w:color w:val="FFFFFF"/>
                <w:sz w:val="20"/>
              </w:rPr>
              <w:t>Seção</w:t>
            </w:r>
          </w:p>
        </w:tc>
        <w:tc>
          <w:tcPr>
            <w:tcW w:type="dxa" w:w="4703"/>
            <w:shd w:val="clear" w:color="auto" w:fill="1A5276"/>
          </w:tcPr>
          <w:p>
            <w:r/>
            <w:r>
              <w:rPr>
                <w:b/>
                <w:color w:val="FFFFFF"/>
                <w:sz w:val="20"/>
              </w:rPr>
              <w:t>Duração estimada</w:t>
            </w:r>
          </w:p>
        </w:tc>
      </w:tr>
      <w:tr>
        <w:tc>
          <w:tcPr>
            <w:tcW w:type="dxa" w:w="4703"/>
            <w:shd w:val="clear" w:color="auto" w:fill="FFFFFF"/>
          </w:tcPr>
          <w:p>
            <w:r/>
            <w:r>
              <w:rPr>
                <w:color w:val="2C3E50"/>
                <w:sz w:val="20"/>
              </w:rPr>
              <w:t>Abertura</w:t>
            </w:r>
          </w:p>
        </w:tc>
        <w:tc>
          <w:tcPr>
            <w:tcW w:type="dxa" w:w="4703"/>
            <w:shd w:val="clear" w:color="auto" w:fill="FFFFFF"/>
          </w:tcPr>
          <w:p>
            <w:r/>
            <w:r>
              <w:rPr>
                <w:color w:val="2C3E50"/>
                <w:sz w:val="20"/>
              </w:rPr>
              <w:t>~1 min</w:t>
            </w:r>
          </w:p>
        </w:tc>
      </w:tr>
      <w:tr>
        <w:tc>
          <w:tcPr>
            <w:tcW w:type="dxa" w:w="4703"/>
            <w:shd w:val="clear" w:color="auto" w:fill="EBF5FB"/>
          </w:tcPr>
          <w:p>
            <w:r/>
            <w:r>
              <w:rPr>
                <w:color w:val="2C3E50"/>
                <w:sz w:val="20"/>
              </w:rPr>
              <w:t>Parte 1 — Treinamento e funcionamento da LLM</w:t>
            </w:r>
          </w:p>
        </w:tc>
        <w:tc>
          <w:tcPr>
            <w:tcW w:type="dxa" w:w="4703"/>
            <w:shd w:val="clear" w:color="auto" w:fill="EBF5FB"/>
          </w:tcPr>
          <w:p>
            <w:r/>
            <w:r>
              <w:rPr>
                <w:color w:val="2C3E50"/>
                <w:sz w:val="20"/>
              </w:rPr>
              <w:t>~3 min</w:t>
            </w:r>
          </w:p>
        </w:tc>
      </w:tr>
      <w:tr>
        <w:tc>
          <w:tcPr>
            <w:tcW w:type="dxa" w:w="4703"/>
            <w:shd w:val="clear" w:color="auto" w:fill="FFFFFF"/>
          </w:tcPr>
          <w:p>
            <w:r/>
            <w:r>
              <w:rPr>
                <w:color w:val="2C3E50"/>
                <w:sz w:val="20"/>
              </w:rPr>
              <w:t>Parte 2 — Execução de um fluxo automatizado</w:t>
            </w:r>
          </w:p>
        </w:tc>
        <w:tc>
          <w:tcPr>
            <w:tcW w:type="dxa" w:w="4703"/>
            <w:shd w:val="clear" w:color="auto" w:fill="FFFFFF"/>
          </w:tcPr>
          <w:p>
            <w:r/>
            <w:r>
              <w:rPr>
                <w:color w:val="2C3E50"/>
                <w:sz w:val="20"/>
              </w:rPr>
              <w:t>~2 min 30 s</w:t>
            </w:r>
          </w:p>
        </w:tc>
      </w:tr>
      <w:tr>
        <w:tc>
          <w:tcPr>
            <w:tcW w:type="dxa" w:w="4703"/>
            <w:shd w:val="clear" w:color="auto" w:fill="EBF5FB"/>
          </w:tcPr>
          <w:p>
            <w:r/>
            <w:r>
              <w:rPr>
                <w:color w:val="2C3E50"/>
                <w:sz w:val="20"/>
              </w:rPr>
              <w:t>Parte 3 — Resposta a perguntas clínicas contextualizadas</w:t>
            </w:r>
          </w:p>
        </w:tc>
        <w:tc>
          <w:tcPr>
            <w:tcW w:type="dxa" w:w="4703"/>
            <w:shd w:val="clear" w:color="auto" w:fill="EBF5FB"/>
          </w:tcPr>
          <w:p>
            <w:r/>
            <w:r>
              <w:rPr>
                <w:color w:val="2C3E50"/>
                <w:sz w:val="20"/>
              </w:rPr>
              <w:t>~2 min 30 s</w:t>
            </w:r>
          </w:p>
        </w:tc>
      </w:tr>
      <w:tr>
        <w:tc>
          <w:tcPr>
            <w:tcW w:type="dxa" w:w="4703"/>
            <w:shd w:val="clear" w:color="auto" w:fill="FFFFFF"/>
          </w:tcPr>
          <w:p>
            <w:r/>
            <w:r>
              <w:rPr>
                <w:color w:val="2C3E50"/>
                <w:sz w:val="20"/>
              </w:rPr>
              <w:t>Parte 4 — Logs e validação das respostas</w:t>
            </w:r>
          </w:p>
        </w:tc>
        <w:tc>
          <w:tcPr>
            <w:tcW w:type="dxa" w:w="4703"/>
            <w:shd w:val="clear" w:color="auto" w:fill="FFFFFF"/>
          </w:tcPr>
          <w:p>
            <w:r/>
            <w:r>
              <w:rPr>
                <w:color w:val="2C3E50"/>
                <w:sz w:val="20"/>
              </w:rPr>
              <w:t>~2 min</w:t>
            </w:r>
          </w:p>
        </w:tc>
      </w:tr>
      <w:tr>
        <w:tc>
          <w:tcPr>
            <w:tcW w:type="dxa" w:w="4703"/>
            <w:shd w:val="clear" w:color="auto" w:fill="EBF5FB"/>
          </w:tcPr>
          <w:p>
            <w:r/>
            <w:r>
              <w:rPr>
                <w:color w:val="2C3E50"/>
                <w:sz w:val="20"/>
              </w:rPr>
              <w:t>Encerramento</w:t>
            </w:r>
          </w:p>
        </w:tc>
        <w:tc>
          <w:tcPr>
            <w:tcW w:type="dxa" w:w="4703"/>
            <w:shd w:val="clear" w:color="auto" w:fill="EBF5FB"/>
          </w:tcPr>
          <w:p>
            <w:r/>
            <w:r>
              <w:rPr>
                <w:color w:val="2C3E50"/>
                <w:sz w:val="20"/>
              </w:rPr>
              <w:t>~1 min</w:t>
            </w:r>
          </w:p>
        </w:tc>
      </w:tr>
    </w:tbl>
    <w:p>
      <w:r>
        <w:br w:type="page"/>
      </w:r>
    </w:p>
    <w:p/>
    <w:p>
      <w:pPr>
        <w:spacing w:before="80" w:after="40"/>
        <w:shd w:val="clear" w:color="auto" w:fill="1A5276"/>
      </w:pPr>
      <w:r>
        <w:rPr>
          <w:b/>
          <w:color w:val="AED6F1"/>
          <w:sz w:val="20"/>
        </w:rPr>
        <w:t xml:space="preserve">  CENA 00  </w:t>
      </w:r>
      <w:r>
        <w:rPr>
          <w:b/>
          <w:color w:val="FFFFFF"/>
          <w:sz w:val="22"/>
        </w:rPr>
        <w:t xml:space="preserve">  ABERTURA</w:t>
      </w:r>
      <w:r>
        <w:rPr>
          <w:i/>
          <w:color w:val="AED6F1"/>
          <w:sz w:val="18"/>
        </w:rPr>
        <w:t xml:space="preserve">  [~60 segundos]</w:t>
      </w:r>
    </w:p>
    <w:p>
      <w:pPr>
        <w:spacing w:before="120" w:after="40"/>
        <w:ind w:left="283"/>
        <w:shd w:val="clear" w:color="auto" w:fill="EBF5FB"/>
      </w:pPr>
      <w:r>
        <w:rPr>
          <w:b/>
          <w:color w:val="2E86C1"/>
          <w:sz w:val="18"/>
        </w:rPr>
        <w:t xml:space="preserve">  🖥  TELA:  </w:t>
      </w:r>
      <w:r>
        <w:rPr>
          <w:i/>
          <w:color w:val="2C3E50"/>
          <w:sz w:val="18"/>
        </w:rPr>
        <w:t>Slide de capa: 'Assistente Médico Virtual — IA de Apoio Clínico' com logo FIAP. Música de fundo suave (opcional). Nome da autora no rodapé.</w:t>
      </w:r>
    </w:p>
    <w:p>
      <w:pPr>
        <w:spacing w:before="80" w:after="80" w:line="360" w:lineRule="exact"/>
        <w:ind w:left="283"/>
      </w:pPr>
      <w:r>
        <w:rPr>
          <w:b w:val="0"/>
          <w:color w:val="2C3E50"/>
          <w:sz w:val="24"/>
        </w:rPr>
        <w:t>Olá! Meu nome é Larissa Boscatti e este é o meu projeto de conclusão da pós-graduação em Inteligência Artificial da FIAP PosTech.</w:t>
      </w:r>
    </w:p>
    <w:p>
      <w:pPr>
        <w:spacing w:before="80" w:after="80" w:line="360" w:lineRule="exact"/>
        <w:ind w:left="283"/>
      </w:pPr>
      <w:r>
        <w:rPr>
          <w:b w:val="0"/>
          <w:color w:val="2C3E50"/>
          <w:sz w:val="24"/>
        </w:rPr>
        <w:t>Hoje vou apresentar o Assistente Médico Virtual: um sistema de apoio à decisão clínica baseado em inteligência artificial generativa, desenvolvido do zero com tecnologias de ponta.</w:t>
      </w:r>
    </w:p>
    <w:p>
      <w:pPr>
        <w:spacing w:before="120" w:after="40"/>
        <w:ind w:left="283"/>
        <w:shd w:val="clear" w:color="auto" w:fill="EBF5FB"/>
      </w:pPr>
      <w:r>
        <w:rPr>
          <w:b/>
          <w:color w:val="2E86C1"/>
          <w:sz w:val="18"/>
        </w:rPr>
        <w:t xml:space="preserve">  🖥  TELA:  </w:t>
      </w:r>
      <w:r>
        <w:rPr>
          <w:i/>
          <w:color w:val="2C3E50"/>
          <w:sz w:val="18"/>
        </w:rPr>
        <w:t>Slide com os 4 tópicos do vídeo listados como bullets animados.</w:t>
      </w:r>
    </w:p>
    <w:p>
      <w:pPr>
        <w:spacing w:before="80" w:after="80" w:line="360" w:lineRule="exact"/>
        <w:ind w:left="283"/>
      </w:pPr>
      <w:r>
        <w:rPr>
          <w:b w:val="0"/>
          <w:color w:val="2C3E50"/>
          <w:sz w:val="24"/>
        </w:rPr>
        <w:t>Ao longo deste vídeo, vou mostrar quatro aspectos fundamentais do sistema. Primeiro, como o modelo de linguagem foi treinado e como ele funciona. Segundo, a execução de um fluxo clínico automatizado completo. Terceiro, como o assistente responde a perguntas médicas reais. E por último, como o sistema registra e valida cada resposta gerada.</w:t>
      </w:r>
    </w:p>
    <w:p>
      <w:pPr>
        <w:spacing w:before="40" w:after="120"/>
        <w:ind w:left="283"/>
        <w:shd w:val="clear" w:color="auto" w:fill="D4EFDF"/>
      </w:pPr>
      <w:r>
        <w:rPr>
          <w:i/>
          <w:color w:val="1E8449"/>
          <w:sz w:val="18"/>
        </w:rPr>
        <w:t xml:space="preserve">  📌  Dica de produção: use uma transição suave entre a capa e o primeiro slide de conteúdo.</w:t>
      </w:r>
    </w:p>
    <w:p>
      <w:pPr>
        <w:spacing w:before="80" w:after="80"/>
      </w:pPr>
      <w:r>
        <w:rPr>
          <w:color w:val="D5D8DC"/>
          <w:sz w:val="14"/>
        </w:rPr>
        <w:t>──────────────────────────────────────────────────────────────────────────────────────────</w:t>
      </w:r>
    </w:p>
    <w:p/>
    <w:p>
      <w:pPr>
        <w:spacing w:before="80" w:after="40"/>
        <w:shd w:val="clear" w:color="auto" w:fill="1A5276"/>
      </w:pPr>
      <w:r>
        <w:rPr>
          <w:b/>
          <w:color w:val="AED6F1"/>
          <w:sz w:val="20"/>
        </w:rPr>
        <w:t xml:space="preserve">  CENA 01  </w:t>
      </w:r>
      <w:r>
        <w:rPr>
          <w:b/>
          <w:color w:val="FFFFFF"/>
          <w:sz w:val="22"/>
        </w:rPr>
        <w:t xml:space="preserve">  TREINAMENTO E FUNCIONAMENTO DA LLM PERSONALIZADA</w:t>
      </w:r>
      <w:r>
        <w:rPr>
          <w:i/>
          <w:color w:val="AED6F1"/>
          <w:sz w:val="18"/>
        </w:rPr>
        <w:t xml:space="preserve">  [~3 minutos]</w:t>
      </w:r>
    </w:p>
    <w:p>
      <w:pPr>
        <w:spacing w:before="120" w:after="40"/>
        <w:ind w:left="283"/>
        <w:shd w:val="clear" w:color="auto" w:fill="EBF5FB"/>
      </w:pPr>
      <w:r>
        <w:rPr>
          <w:b/>
          <w:color w:val="2E86C1"/>
          <w:sz w:val="18"/>
        </w:rPr>
        <w:t xml:space="preserve">  🖥  TELA:  </w:t>
      </w:r>
      <w:r>
        <w:rPr>
          <w:i/>
          <w:color w:val="2C3E50"/>
          <w:sz w:val="18"/>
        </w:rPr>
        <w:t>Slide com diagrama: 'Modelo Base (Mistral-7B) → QLoRA → Modelo Fine-tunado' com seta e percentual de parâmetros treináveis (~0.1%).</w:t>
      </w:r>
    </w:p>
    <w:p>
      <w:pPr>
        <w:spacing w:before="80" w:after="80" w:line="360" w:lineRule="exact"/>
        <w:ind w:left="283"/>
      </w:pPr>
      <w:r>
        <w:rPr>
          <w:b w:val="0"/>
          <w:color w:val="2C3E50"/>
          <w:sz w:val="24"/>
        </w:rPr>
        <w:t>O coração do sistema é um modelo de linguagem de grande porte — um LLM — especializado no domínio médico através de uma técnica chamada fine-tuning com QLoRA.</w:t>
      </w:r>
    </w:p>
    <w:p>
      <w:pPr>
        <w:spacing w:before="80" w:after="80" w:line="360" w:lineRule="exact"/>
        <w:ind w:left="283"/>
      </w:pPr>
      <w:r>
        <w:rPr>
          <w:b w:val="0"/>
          <w:color w:val="2C3E50"/>
          <w:sz w:val="24"/>
        </w:rPr>
        <w:t>O modelo base utilizado é o Mistral-7B, com 7 bilhões de parâmetros. Treinar um modelo desse tamanho do zero exigiria semanas e hardware de data center. Com QLoRA, conseguimos adaptar o modelo existente ao domínio médico em poucas horas, em uma única GPU.</w:t>
      </w:r>
    </w:p>
    <w:p>
      <w:pPr>
        <w:spacing w:before="120" w:after="40"/>
        <w:ind w:left="283"/>
        <w:shd w:val="clear" w:color="auto" w:fill="EBF5FB"/>
      </w:pPr>
      <w:r>
        <w:rPr>
          <w:b/>
          <w:color w:val="2E86C1"/>
          <w:sz w:val="18"/>
        </w:rPr>
        <w:t xml:space="preserve">  🖥  TELA:  </w:t>
      </w:r>
      <w:r>
        <w:rPr>
          <w:i/>
          <w:color w:val="2C3E50"/>
          <w:sz w:val="18"/>
        </w:rPr>
        <w:t>Slide técnico explicando QLoRA: '4-bit quantization + LoRA adapters'. Mostrar: VRAM original ~28 GB vs VRAM com QLoRA ~8 GB.</w:t>
      </w:r>
    </w:p>
    <w:p>
      <w:pPr>
        <w:spacing w:before="80" w:after="80" w:line="360" w:lineRule="exact"/>
        <w:ind w:left="283"/>
      </w:pPr>
      <w:r>
        <w:rPr>
          <w:b w:val="0"/>
          <w:color w:val="2C3E50"/>
          <w:sz w:val="24"/>
        </w:rPr>
        <w:t>Como isso é possível? QLoRA combina duas técnicas. A quantização 4-bit comprime os pesos do modelo de 16 para 4 bits, reduzindo o consumo de VRAM de 28 GB para apenas 8 GB. Isso torna o treinamento viável em GPUs de consumidor como a RTX 4090.</w:t>
      </w:r>
    </w:p>
    <w:p>
      <w:pPr>
        <w:spacing w:before="80" w:after="80" w:line="360" w:lineRule="exact"/>
        <w:ind w:left="283"/>
      </w:pPr>
      <w:r>
        <w:rPr>
          <w:b w:val="0"/>
          <w:color w:val="2C3E50"/>
          <w:sz w:val="24"/>
        </w:rPr>
        <w:t>E o LoRA — Low-Rank Adaptation — injeta pequenos adaptadores treináveis nas camadas de atenção do modelo. Em vez de atualizar todos os 7 bilhões de parâmetros, treinamos apenas 0,1% deles: as matrizes de query e value projection. O resultado é um modelo especializado com apenas 130 megabytes de adaptadores adicionais.</w:t>
      </w:r>
    </w:p>
    <w:p>
      <w:pPr>
        <w:spacing w:before="120" w:after="40"/>
        <w:ind w:left="283"/>
        <w:shd w:val="clear" w:color="auto" w:fill="EBF5FB"/>
      </w:pPr>
      <w:r>
        <w:rPr>
          <w:b/>
          <w:color w:val="2E86C1"/>
          <w:sz w:val="18"/>
        </w:rPr>
        <w:t xml:space="preserve">  🖥  TELA:  </w:t>
      </w:r>
      <w:r>
        <w:rPr>
          <w:i/>
          <w:color w:val="2C3E50"/>
          <w:sz w:val="18"/>
        </w:rPr>
        <w:t>Mostrar o arquivo config.yaml no editor de código. Destacar: r=16, lora_alpha=32, learning_rate=2e-4, num_train_epochs=3, gradient_accumulation_steps=4.</w:t>
      </w:r>
    </w:p>
    <w:p>
      <w:pPr>
        <w:spacing w:before="40" w:after="40"/>
        <w:ind w:left="454"/>
      </w:pPr>
      <w:r>
        <w:rPr>
          <w:b/>
          <w:color w:val="CA6F1E"/>
          <w:sz w:val="20"/>
        </w:rPr>
        <w:t>▶  Abrir o arquivo fine_tuning/config.yaml no editor e dar zoom nos parâmetros LoRA e de treinamento.</w:t>
      </w:r>
    </w:p>
    <w:p>
      <w:pPr>
        <w:spacing w:before="80" w:after="80" w:line="360" w:lineRule="exact"/>
        <w:ind w:left="283"/>
      </w:pPr>
      <w:r>
        <w:rPr>
          <w:b w:val="0"/>
          <w:color w:val="2C3E50"/>
          <w:sz w:val="24"/>
        </w:rPr>
        <w:t>Estes são os hiperparâmetros do treinamento. O rank do LoRA é 16 — quanto maior, mais capacidade de adaptação, mas mais memória. A taxa de aprendizado é 2 por 10 elevado a menos 4, com scheduler cosine para um decaimento suave ao longo das 3 épocas de treinamento. O gradient accumulation em 4 steps simula um batch efetivo de 16 amostras.</w:t>
      </w:r>
    </w:p>
    <w:p>
      <w:pPr>
        <w:spacing w:before="120" w:after="40"/>
        <w:ind w:left="283"/>
        <w:shd w:val="clear" w:color="auto" w:fill="EBF5FB"/>
      </w:pPr>
      <w:r>
        <w:rPr>
          <w:b/>
          <w:color w:val="2E86C1"/>
          <w:sz w:val="18"/>
        </w:rPr>
        <w:t xml:space="preserve">  🖥  TELA:  </w:t>
      </w:r>
      <w:r>
        <w:rPr>
          <w:i/>
          <w:color w:val="2C3E50"/>
          <w:sz w:val="18"/>
        </w:rPr>
        <w:t>Mostrar o terminal com o log de treinamento: passos, loss decrescente, tempo estimado. Se disponível, mostrar o gráfico training_loss.png.</w:t>
      </w:r>
    </w:p>
    <w:p>
      <w:pPr>
        <w:spacing w:before="40" w:after="40"/>
        <w:ind w:left="454"/>
      </w:pPr>
      <w:r>
        <w:rPr>
          <w:b/>
          <w:color w:val="CA6F1E"/>
          <w:sz w:val="20"/>
        </w:rPr>
        <w:t>▶  Exibir a imagem logs/training_loss.png com o gráfico da curva de perda.</w:t>
      </w:r>
    </w:p>
    <w:p>
      <w:pPr>
        <w:spacing w:before="80" w:after="80" w:line="360" w:lineRule="exact"/>
        <w:ind w:left="283"/>
      </w:pPr>
      <w:r>
        <w:rPr>
          <w:b w:val="0"/>
          <w:color w:val="2C3E50"/>
          <w:sz w:val="24"/>
        </w:rPr>
        <w:t>Durante o treinamento, acompanhamos a curva de perda — o loss. À medida que o modelo aprende os padrões do dataset médico, o loss diminui progressivamente. Um loss decrescente e estável indica que o modelo está generalizando bem, sem overfitting nos dados de treinamento.</w:t>
      </w:r>
    </w:p>
    <w:p>
      <w:pPr>
        <w:spacing w:before="120" w:after="40"/>
        <w:ind w:left="283"/>
        <w:shd w:val="clear" w:color="auto" w:fill="EBF5FB"/>
      </w:pPr>
      <w:r>
        <w:rPr>
          <w:b/>
          <w:color w:val="2E86C1"/>
          <w:sz w:val="18"/>
        </w:rPr>
        <w:t xml:space="preserve">  🖥  TELA:  </w:t>
      </w:r>
      <w:r>
        <w:rPr>
          <w:i/>
          <w:color w:val="2C3E50"/>
          <w:sz w:val="18"/>
        </w:rPr>
        <w:t>Mostrar o repositório theladycode/NEURIX no HuggingFace Hub no navegador. Destacar os arquivos do adaptador LoRA: adapter_config.json, adapter_model.safetensors.</w:t>
      </w:r>
    </w:p>
    <w:p>
      <w:pPr>
        <w:spacing w:before="40" w:after="40"/>
        <w:ind w:left="454"/>
      </w:pPr>
      <w:r>
        <w:rPr>
          <w:b/>
          <w:color w:val="CA6F1E"/>
          <w:sz w:val="20"/>
        </w:rPr>
        <w:t>▶  Abrir o browser no repositório theladycode/NEURIX no HuggingFace Hub.</w:t>
      </w:r>
    </w:p>
    <w:p>
      <w:pPr>
        <w:spacing w:before="80" w:after="80" w:line="360" w:lineRule="exact"/>
        <w:ind w:left="283"/>
      </w:pPr>
      <w:r>
        <w:rPr>
          <w:b w:val="0"/>
          <w:color w:val="2C3E50"/>
          <w:sz w:val="24"/>
        </w:rPr>
        <w:t>Após o treinamento, os adaptadores são publicados no HuggingFace Hub, no repositório theladycode/NEURIX. Isso permite que o modelo seja carregado por qualquer aplicação que forneça o token de acesso — inclusive pelo nosso container Docker, que baixa os pesos na primeira inicialização.</w:t>
      </w:r>
    </w:p>
    <w:p>
      <w:pPr>
        <w:spacing w:before="80" w:after="80" w:line="360" w:lineRule="exact"/>
        <w:ind w:left="283"/>
      </w:pPr>
      <w:r>
        <w:rPr>
          <w:b w:val="0"/>
          <w:color w:val="2C3E50"/>
          <w:sz w:val="24"/>
        </w:rPr>
        <w:t>Na prática, quando a aplicação sobe, ela detecta o arquivo adapter_config.json, lê o nome do modelo base — Mistral-7B — carrega os pesos completos do hub, e aplica os adaptadores LoRA por cima, recriando o modelo fine-tunado completo em memória.</w:t>
      </w:r>
    </w:p>
    <w:p>
      <w:pPr>
        <w:spacing w:before="40" w:after="120"/>
        <w:ind w:left="283"/>
        <w:shd w:val="clear" w:color="auto" w:fill="D4EFDF"/>
      </w:pPr>
      <w:r>
        <w:rPr>
          <w:i/>
          <w:color w:val="1E8449"/>
          <w:sz w:val="18"/>
        </w:rPr>
        <w:t xml:space="preserve">  📌  Se tiver o log de inicialização do Docker disponível, mostre as linhas: 'Adaptador LoRA detectado', 'Modelo base: mistralai/Mistral-7B-v0.1', 'Adaptadores LoRA aplicados ao modelo base'.</w:t>
      </w:r>
    </w:p>
    <w:p>
      <w:pPr>
        <w:spacing w:before="80" w:after="80"/>
      </w:pPr>
      <w:r>
        <w:rPr>
          <w:color w:val="D5D8DC"/>
          <w:sz w:val="14"/>
        </w:rPr>
        <w:t>──────────────────────────────────────────────────────────────────────────────────────────</w:t>
      </w:r>
    </w:p>
    <w:p/>
    <w:p>
      <w:pPr>
        <w:spacing w:before="80" w:after="40"/>
        <w:shd w:val="clear" w:color="auto" w:fill="1A5276"/>
      </w:pPr>
      <w:r>
        <w:rPr>
          <w:b/>
          <w:color w:val="AED6F1"/>
          <w:sz w:val="20"/>
        </w:rPr>
        <w:t xml:space="preserve">  CENA 02  </w:t>
      </w:r>
      <w:r>
        <w:rPr>
          <w:b/>
          <w:color w:val="FFFFFF"/>
          <w:sz w:val="22"/>
        </w:rPr>
        <w:t xml:space="preserve">  EXECUÇÃO DE UM FLUXO AUTOMATIZADO</w:t>
      </w:r>
      <w:r>
        <w:rPr>
          <w:i/>
          <w:color w:val="AED6F1"/>
          <w:sz w:val="18"/>
        </w:rPr>
        <w:t xml:space="preserve">  [~2 minutos 30 segundos]</w:t>
      </w:r>
    </w:p>
    <w:p>
      <w:pPr>
        <w:spacing w:before="120" w:after="40"/>
        <w:ind w:left="283"/>
        <w:shd w:val="clear" w:color="auto" w:fill="EBF5FB"/>
      </w:pPr>
      <w:r>
        <w:rPr>
          <w:b/>
          <w:color w:val="2E86C1"/>
          <w:sz w:val="18"/>
        </w:rPr>
        <w:t xml:space="preserve">  🖥  TELA:  </w:t>
      </w:r>
      <w:r>
        <w:rPr>
          <w:i/>
          <w:color w:val="2C3E50"/>
          <w:sz w:val="18"/>
        </w:rPr>
        <w:t>Slide com o diagrama do fluxo LangGraph: 6 nós conectados com setas, roteamento condicional destacado em amarelo.</w:t>
      </w:r>
    </w:p>
    <w:p>
      <w:pPr>
        <w:spacing w:before="80" w:after="80" w:line="360" w:lineRule="exact"/>
        <w:ind w:left="283"/>
      </w:pPr>
      <w:r>
        <w:rPr>
          <w:b w:val="0"/>
          <w:color w:val="2C3E50"/>
          <w:sz w:val="24"/>
        </w:rPr>
        <w:t>Além do chat conversacional, o sistema possui um fluxo automatizado de decisão clínica implementado com LangGraph. Diferente de uma chain linear, o LangGraph é um grafo dirigido com estado compartilhado, capaz de tomar decisões de roteamento em tempo real.</w:t>
      </w:r>
    </w:p>
    <w:p>
      <w:pPr>
        <w:spacing w:before="80" w:after="80" w:line="360" w:lineRule="exact"/>
        <w:ind w:left="283"/>
      </w:pPr>
      <w:r>
        <w:rPr>
          <w:b w:val="0"/>
          <w:color w:val="2C3E50"/>
          <w:sz w:val="24"/>
        </w:rPr>
        <w:t>O fluxo possui seis nós. Primeiro: verificação de exames pendentes. Segundo: consulta ao histórico clínico. Terceiro: sugestão de conduta terapêutica. Quarto: validação de segurança — que decide se há alertas. Se houver alertas, o fluxo passa pelo quinto nó, que notifica a equipe médica. Por fim, o sexto nó consolida tudo em um relatório final.</w:t>
      </w:r>
    </w:p>
    <w:p>
      <w:pPr>
        <w:spacing w:before="120" w:after="40"/>
        <w:ind w:left="283"/>
        <w:shd w:val="clear" w:color="auto" w:fill="EBF5FB"/>
      </w:pPr>
      <w:r>
        <w:rPr>
          <w:b/>
          <w:color w:val="2E86C1"/>
          <w:sz w:val="18"/>
        </w:rPr>
        <w:t xml:space="preserve">  🖥  TELA:  </w:t>
      </w:r>
      <w:r>
        <w:rPr>
          <w:i/>
          <w:color w:val="2C3E50"/>
          <w:sz w:val="18"/>
        </w:rPr>
        <w:t>Abrir a interface React no browser (http://localhost:3000). Navegar para a seção 'Prontuário Paciente'.</w:t>
      </w:r>
    </w:p>
    <w:p>
      <w:pPr>
        <w:spacing w:before="40" w:after="40"/>
        <w:ind w:left="454"/>
      </w:pPr>
      <w:r>
        <w:rPr>
          <w:b/>
          <w:color w:val="CA6F1E"/>
          <w:sz w:val="20"/>
        </w:rPr>
        <w:t>▶  Abrir http://localhost:3000 no browser. Clicar em 'Prontuário Paciente' na sidebar.</w:t>
      </w:r>
    </w:p>
    <w:p>
      <w:pPr>
        <w:spacing w:before="80" w:after="80" w:line="360" w:lineRule="exact"/>
        <w:ind w:left="283"/>
      </w:pPr>
      <w:r>
        <w:rPr>
          <w:b w:val="0"/>
          <w:color w:val="2C3E50"/>
          <w:sz w:val="24"/>
        </w:rPr>
        <w:t>Na interface, acesso a seção Prontuário do Paciente, onde posso inserir os dados completos de um caso clínico.</w:t>
      </w:r>
    </w:p>
    <w:p>
      <w:pPr>
        <w:spacing w:before="120" w:after="40"/>
        <w:ind w:left="283"/>
        <w:shd w:val="clear" w:color="auto" w:fill="EBF5FB"/>
      </w:pPr>
      <w:r>
        <w:rPr>
          <w:b/>
          <w:color w:val="2E86C1"/>
          <w:sz w:val="18"/>
        </w:rPr>
        <w:t xml:space="preserve">  🖥  TELA:  </w:t>
      </w:r>
      <w:r>
        <w:rPr>
          <w:i/>
          <w:color w:val="2C3E50"/>
          <w:sz w:val="18"/>
        </w:rPr>
        <w:t>Preencher o formulário com o caso de exemplo abaixo.</w:t>
      </w:r>
    </w:p>
    <w:p>
      <w:pPr>
        <w:spacing w:before="40" w:after="40"/>
        <w:ind w:left="454"/>
      </w:pPr>
      <w:r>
        <w:rPr>
          <w:b/>
          <w:color w:val="CA6F1E"/>
          <w:sz w:val="20"/>
        </w:rPr>
        <w:t>▶  Preencher o formulário com os dados a seguir — digitar devagar para a câmera acompanhar:</w:t>
      </w:r>
    </w:p>
    <w:p>
      <w:pPr>
        <w:ind w:left="567"/>
        <w:shd w:val="clear" w:color="auto" w:fill="F9F9F9"/>
      </w:pPr>
    </w:p>
    <w:p>
      <w:pPr>
        <w:spacing w:after="20"/>
        <w:ind w:left="680"/>
        <w:shd w:val="clear" w:color="auto" w:fill="F9F9F9"/>
      </w:pPr>
      <w:r>
        <w:rPr>
          <w:b/>
          <w:color w:val="2E86C1"/>
          <w:sz w:val="20"/>
        </w:rPr>
        <w:t xml:space="preserve">ID do Paciente: </w:t>
      </w:r>
      <w:r>
        <w:rPr>
          <w:color w:val="2C3E50"/>
          <w:sz w:val="20"/>
        </w:rPr>
        <w:t>PAC-2024-001</w:t>
      </w:r>
    </w:p>
    <w:p>
      <w:pPr>
        <w:spacing w:after="20"/>
        <w:ind w:left="680"/>
        <w:shd w:val="clear" w:color="auto" w:fill="F9F9F9"/>
      </w:pPr>
      <w:r>
        <w:rPr>
          <w:b/>
          <w:color w:val="2E86C1"/>
          <w:sz w:val="20"/>
        </w:rPr>
        <w:t xml:space="preserve">Sintomas: </w:t>
      </w:r>
      <w:r>
        <w:rPr>
          <w:color w:val="2C3E50"/>
          <w:sz w:val="20"/>
        </w:rPr>
        <w:t>Dor torácica opressiva há 2 horas com irradiação para o braço esquerdo, sudorese intensa e dispneia progressiva.</w:t>
      </w:r>
    </w:p>
    <w:p>
      <w:pPr>
        <w:spacing w:after="20"/>
        <w:ind w:left="680"/>
        <w:shd w:val="clear" w:color="auto" w:fill="F9F9F9"/>
      </w:pPr>
      <w:r>
        <w:rPr>
          <w:b/>
          <w:color w:val="2E86C1"/>
          <w:sz w:val="20"/>
        </w:rPr>
        <w:t xml:space="preserve">Exames: </w:t>
      </w:r>
      <w:r>
        <w:rPr>
          <w:color w:val="2C3E50"/>
          <w:sz w:val="20"/>
        </w:rPr>
        <w:t>Troponina I: 2.8 ng/mL (VR &lt; 0.04), ECG: supradesnivelamento de ST em V1-V4, Creatinina: 1.1 mg/dL</w:t>
      </w:r>
    </w:p>
    <w:p>
      <w:pPr>
        <w:spacing w:after="20"/>
        <w:ind w:left="680"/>
        <w:shd w:val="clear" w:color="auto" w:fill="F9F9F9"/>
      </w:pPr>
      <w:r>
        <w:rPr>
          <w:b/>
          <w:color w:val="2E86C1"/>
          <w:sz w:val="20"/>
        </w:rPr>
        <w:t xml:space="preserve">Histórico: </w:t>
      </w:r>
      <w:r>
        <w:rPr>
          <w:color w:val="2C3E50"/>
          <w:sz w:val="20"/>
        </w:rPr>
        <w:t>HAS há 10 anos, DM2, tabagista (20 anos/maço). Pai com IAM aos 58 anos.</w:t>
      </w:r>
    </w:p>
    <w:p>
      <w:pPr>
        <w:spacing w:after="20"/>
        <w:ind w:left="680"/>
        <w:shd w:val="clear" w:color="auto" w:fill="F9F9F9"/>
      </w:pPr>
      <w:r>
        <w:rPr>
          <w:b/>
          <w:color w:val="2E86C1"/>
          <w:sz w:val="20"/>
        </w:rPr>
        <w:t xml:space="preserve">Alergias: </w:t>
      </w:r>
      <w:r>
        <w:rPr>
          <w:color w:val="2C3E50"/>
          <w:sz w:val="20"/>
        </w:rPr>
        <w:t>Nenhuma conhecida</w:t>
      </w:r>
    </w:p>
    <w:p>
      <w:pPr>
        <w:spacing w:after="20"/>
        <w:ind w:left="680"/>
        <w:shd w:val="clear" w:color="auto" w:fill="F9F9F9"/>
      </w:pPr>
      <w:r>
        <w:rPr>
          <w:b/>
          <w:color w:val="2E86C1"/>
          <w:sz w:val="20"/>
        </w:rPr>
        <w:t xml:space="preserve">Medicamentos em uso: </w:t>
      </w:r>
      <w:r>
        <w:rPr>
          <w:color w:val="2C3E50"/>
          <w:sz w:val="20"/>
        </w:rPr>
        <w:t>Metformina 850mg 2x/dia, Losartana 50mg 1x/dia</w:t>
      </w:r>
    </w:p>
    <w:p/>
    <w:p>
      <w:pPr>
        <w:spacing w:before="40" w:after="40"/>
        <w:ind w:left="454"/>
      </w:pPr>
      <w:r>
        <w:rPr>
          <w:b/>
          <w:color w:val="CA6F1E"/>
          <w:sz w:val="20"/>
        </w:rPr>
        <w:t>▶  Clicar no botão 'Executar Análise LangGraph' e aguardar o processamento.</w:t>
      </w:r>
    </w:p>
    <w:p>
      <w:pPr>
        <w:spacing w:before="80" w:after="80" w:line="360" w:lineRule="exact"/>
        <w:ind w:left="283"/>
      </w:pPr>
      <w:r>
        <w:rPr>
          <w:b w:val="0"/>
          <w:color w:val="2C3E50"/>
          <w:sz w:val="24"/>
        </w:rPr>
        <w:t>Com os dados preenchidos, executo a análise. O LangGraph inicia o fluxo: primeiro analisa os exames — troponina de 2.8 com valor de referência abaixo de 0.04 e supradesnivelamento de ST — achados consistentes com infarto agudo do miocárdio.</w:t>
      </w:r>
    </w:p>
    <w:p>
      <w:pPr>
        <w:spacing w:before="120" w:after="40"/>
        <w:ind w:left="283"/>
        <w:shd w:val="clear" w:color="auto" w:fill="EBF5FB"/>
      </w:pPr>
      <w:r>
        <w:rPr>
          <w:b/>
          <w:color w:val="2E86C1"/>
          <w:sz w:val="18"/>
        </w:rPr>
        <w:t xml:space="preserve">  🖥  TELA:  </w:t>
      </w:r>
      <w:r>
        <w:rPr>
          <w:i/>
          <w:color w:val="2C3E50"/>
          <w:sz w:val="18"/>
        </w:rPr>
        <w:t>Mostrar o resultado retornado: relatório com seções de exames, conduta e alertas. Destacar o alerta CRÍTICO em vermelho.</w:t>
      </w:r>
    </w:p>
    <w:p>
      <w:pPr>
        <w:spacing w:before="80" w:after="80" w:line="360" w:lineRule="exact"/>
        <w:ind w:left="283"/>
      </w:pPr>
      <w:r>
        <w:rPr>
          <w:b w:val="0"/>
          <w:color w:val="2C3E50"/>
          <w:sz w:val="24"/>
        </w:rPr>
        <w:t>O nó de validação de segurança detecta os achados críticos — troponina elevada e ST elevado — e cria um alerta de nível CRÍTICO. O fluxo é roteado para o nó de notificação antes de gerar a resposta final.</w:t>
      </w:r>
    </w:p>
    <w:p>
      <w:pPr>
        <w:spacing w:before="80" w:after="80" w:line="360" w:lineRule="exact"/>
        <w:ind w:left="283"/>
      </w:pPr>
      <w:r>
        <w:rPr>
          <w:b w:val="0"/>
          <w:color w:val="2C3E50"/>
          <w:sz w:val="24"/>
        </w:rPr>
        <w:t>O relatório final consolida: análise dos exames, correlação com o histórico de risco cardiovascular, sugestão de conduta segundo o protocolo de IAMCSST — intervenção coronária percutânea primária — e os alertas identificados. Cada seção inclui um disclaimer obrigatório indicando que a validação cabe ao médico assistente.</w:t>
      </w:r>
    </w:p>
    <w:p>
      <w:pPr>
        <w:spacing w:before="40" w:after="120"/>
        <w:ind w:left="283"/>
        <w:shd w:val="clear" w:color="auto" w:fill="D4EFDF"/>
      </w:pPr>
      <w:r>
        <w:rPr>
          <w:i/>
          <w:color w:val="1E8449"/>
          <w:sz w:val="18"/>
        </w:rPr>
        <w:t xml:space="preserve">  📌  Caso o modelo demore, pause o vídeo no momento do processamento e retome com o resultado na tela. Deixe claro que o tempo de resposta depende do hardware.</w:t>
      </w:r>
    </w:p>
    <w:p>
      <w:pPr>
        <w:spacing w:before="80" w:after="80"/>
      </w:pPr>
      <w:r>
        <w:rPr>
          <w:color w:val="D5D8DC"/>
          <w:sz w:val="14"/>
        </w:rPr>
        <w:t>──────────────────────────────────────────────────────────────────────────────────────────</w:t>
      </w:r>
    </w:p>
    <w:p/>
    <w:p>
      <w:pPr>
        <w:spacing w:before="80" w:after="40"/>
        <w:shd w:val="clear" w:color="auto" w:fill="1A5276"/>
      </w:pPr>
      <w:r>
        <w:rPr>
          <w:b/>
          <w:color w:val="AED6F1"/>
          <w:sz w:val="20"/>
        </w:rPr>
        <w:t xml:space="preserve">  CENA 03  </w:t>
      </w:r>
      <w:r>
        <w:rPr>
          <w:b/>
          <w:color w:val="FFFFFF"/>
          <w:sz w:val="22"/>
        </w:rPr>
        <w:t xml:space="preserve">  RESPOSTA A PERGUNTAS CLÍNICAS CONTEXTUALIZADAS</w:t>
      </w:r>
      <w:r>
        <w:rPr>
          <w:i/>
          <w:color w:val="AED6F1"/>
          <w:sz w:val="18"/>
        </w:rPr>
        <w:t xml:space="preserve">  [~2 minutos 30 segundos]</w:t>
      </w:r>
    </w:p>
    <w:p>
      <w:pPr>
        <w:spacing w:before="120" w:after="40"/>
        <w:ind w:left="283"/>
        <w:shd w:val="clear" w:color="auto" w:fill="EBF5FB"/>
      </w:pPr>
      <w:r>
        <w:rPr>
          <w:b/>
          <w:color w:val="2E86C1"/>
          <w:sz w:val="18"/>
        </w:rPr>
        <w:t xml:space="preserve">  🖥  TELA:  </w:t>
      </w:r>
      <w:r>
        <w:rPr>
          <w:i/>
          <w:color w:val="2C3E50"/>
          <w:sz w:val="18"/>
        </w:rPr>
        <w:t>Navegar para a seção 'Consulta Clínica' na sidebar da interface React.</w:t>
      </w:r>
    </w:p>
    <w:p>
      <w:pPr>
        <w:spacing w:before="40" w:after="40"/>
        <w:ind w:left="454"/>
      </w:pPr>
      <w:r>
        <w:rPr>
          <w:b/>
          <w:color w:val="CA6F1E"/>
          <w:sz w:val="20"/>
        </w:rPr>
        <w:t>▶  Clicar em 'Consulta Clínica' na sidebar.</w:t>
      </w:r>
    </w:p>
    <w:p>
      <w:pPr>
        <w:spacing w:before="80" w:after="80" w:line="360" w:lineRule="exact"/>
        <w:ind w:left="283"/>
      </w:pPr>
      <w:r>
        <w:rPr>
          <w:b w:val="0"/>
          <w:color w:val="2C3E50"/>
          <w:sz w:val="24"/>
        </w:rPr>
        <w:t>Agora vou demonstrar o chat clínico conversacional. Esta é a interface principal de uso do assistente para consultas pontuais. O sistema usa RAG — Retrieval-Augmented Generation — para fundamentar as respostas em documentos médicos indexados, reduzindo o risco de alucinações.</w:t>
      </w:r>
    </w:p>
    <w:p>
      <w:pPr>
        <w:spacing w:before="80" w:after="80" w:line="360" w:lineRule="exact"/>
        <w:ind w:left="283"/>
      </w:pPr>
      <w:r>
        <w:rPr>
          <w:b w:val="0"/>
          <w:color w:val="2C3E50"/>
          <w:sz w:val="24"/>
        </w:rPr>
        <w:t>Antes de chegar ao LLM, cada pergunta dispara uma busca semântica no índice FAISS, que retorna os quatro documentos mais relevantes. Esses documentos são injetados no prompt como contexto, junto com o histórico da conversa.</w:t>
      </w:r>
    </w:p>
    <w:p>
      <w:pPr>
        <w:spacing w:before="120" w:after="40"/>
        <w:ind w:left="283"/>
        <w:shd w:val="clear" w:color="auto" w:fill="EBF5FB"/>
      </w:pPr>
      <w:r>
        <w:rPr>
          <w:b/>
          <w:color w:val="2E86C1"/>
          <w:sz w:val="18"/>
        </w:rPr>
        <w:t xml:space="preserve">  🖥  TELA:  </w:t>
      </w:r>
      <w:r>
        <w:rPr>
          <w:i/>
          <w:color w:val="2C3E50"/>
          <w:sz w:val="18"/>
        </w:rPr>
        <w:t>Campo de texto vazio. Digitar a primeira pergunta.</w:t>
      </w:r>
    </w:p>
    <w:p>
      <w:pPr>
        <w:spacing w:before="40" w:after="40"/>
        <w:ind w:left="454"/>
      </w:pPr>
      <w:r>
        <w:rPr>
          <w:b/>
          <w:color w:val="CA6F1E"/>
          <w:sz w:val="20"/>
        </w:rPr>
        <w:t>▶  Digitar no campo de texto: 'Qual o tratamento de primeira linha para hipertensão arterial estágio 1?'</w:t>
      </w:r>
    </w:p>
    <w:p>
      <w:pPr>
        <w:spacing w:before="40" w:after="40"/>
        <w:ind w:left="454"/>
      </w:pPr>
      <w:r>
        <w:rPr>
          <w:b/>
          <w:color w:val="CA6F1E"/>
          <w:sz w:val="20"/>
        </w:rPr>
        <w:t>▶  Pressionar Enter ou clicar em Enviar.</w:t>
      </w:r>
    </w:p>
    <w:p>
      <w:pPr>
        <w:spacing w:before="80" w:after="80" w:line="360" w:lineRule="exact"/>
        <w:ind w:left="283"/>
      </w:pPr>
      <w:r>
        <w:rPr>
          <w:b w:val="0"/>
          <w:color w:val="2C3E50"/>
          <w:sz w:val="24"/>
        </w:rPr>
        <w:t>Vou começar com uma pergunta clássica: o tratamento de primeira linha para hipertensão estágio 1.</w:t>
      </w:r>
    </w:p>
    <w:p>
      <w:pPr>
        <w:spacing w:before="120" w:after="40"/>
        <w:ind w:left="283"/>
        <w:shd w:val="clear" w:color="auto" w:fill="EBF5FB"/>
      </w:pPr>
      <w:r>
        <w:rPr>
          <w:b/>
          <w:color w:val="2E86C1"/>
          <w:sz w:val="18"/>
        </w:rPr>
        <w:t xml:space="preserve">  🖥  TELA:  </w:t>
      </w:r>
      <w:r>
        <w:rPr>
          <w:i/>
          <w:color w:val="2C3E50"/>
          <w:sz w:val="18"/>
        </w:rPr>
        <w:t>Mostrar a resposta gerada pelo modelo. Destacar: modificações de estilo de vida, opções farmacológicas (IECA, BRA, BCC), citação da diretriz.</w:t>
      </w:r>
    </w:p>
    <w:p>
      <w:pPr>
        <w:spacing w:before="80" w:after="80" w:line="360" w:lineRule="exact"/>
        <w:ind w:left="283"/>
      </w:pPr>
      <w:r>
        <w:rPr>
          <w:b w:val="0"/>
          <w:color w:val="2C3E50"/>
          <w:sz w:val="24"/>
        </w:rPr>
        <w:t>O modelo responde de forma estruturada, citando a Diretriz Brasileira de Hipertensão Arterial. Primeiro as medidas não farmacológicas — dieta hipossódica, atividade física, redução de peso — e depois as opções farmacológicas em ordem de preferência: IECA ou BRA como primeira escolha, BCC ou diurético tiazídico como alternativa.</w:t>
      </w:r>
    </w:p>
    <w:p>
      <w:pPr>
        <w:spacing w:before="120" w:after="40"/>
        <w:ind w:left="283"/>
        <w:shd w:val="clear" w:color="auto" w:fill="EBF5FB"/>
      </w:pPr>
      <w:r>
        <w:rPr>
          <w:b/>
          <w:color w:val="2E86C1"/>
          <w:sz w:val="18"/>
        </w:rPr>
        <w:t xml:space="preserve">  🖥  TELA:  </w:t>
      </w:r>
      <w:r>
        <w:rPr>
          <w:i/>
          <w:color w:val="2C3E50"/>
          <w:sz w:val="18"/>
        </w:rPr>
        <w:t>Campo de texto aguardando nova mensagem. O histórico da primeira pergunta ainda aparece.</w:t>
      </w:r>
    </w:p>
    <w:p>
      <w:pPr>
        <w:spacing w:before="40" w:after="40"/>
        <w:ind w:left="454"/>
      </w:pPr>
      <w:r>
        <w:rPr>
          <w:b/>
          <w:color w:val="CA6F1E"/>
          <w:sz w:val="20"/>
        </w:rPr>
        <w:t>▶  Digitar a pergunta de acompanhamento: 'E se o paciente tiver insuficiência renal crônica, muda alguma coisa?'</w:t>
      </w:r>
    </w:p>
    <w:p>
      <w:pPr>
        <w:spacing w:before="40" w:after="40"/>
        <w:ind w:left="454"/>
      </w:pPr>
      <w:r>
        <w:rPr>
          <w:b/>
          <w:color w:val="CA6F1E"/>
          <w:sz w:val="20"/>
        </w:rPr>
        <w:t>▶  Pressionar Enter.</w:t>
      </w:r>
    </w:p>
    <w:p>
      <w:pPr>
        <w:spacing w:before="80" w:after="80" w:line="360" w:lineRule="exact"/>
        <w:ind w:left="283"/>
      </w:pPr>
      <w:r>
        <w:rPr>
          <w:b w:val="0"/>
          <w:color w:val="2C3E50"/>
          <w:sz w:val="24"/>
        </w:rPr>
        <w:t>Agora vem o aspecto mais importante: a contextualização. Faço uma pergunta de acompanhamento sem repetir o tema — apenas complemento com uma comorbidade.</w:t>
      </w:r>
    </w:p>
    <w:p>
      <w:pPr>
        <w:spacing w:before="120" w:after="40"/>
        <w:ind w:left="283"/>
        <w:shd w:val="clear" w:color="auto" w:fill="EBF5FB"/>
      </w:pPr>
      <w:r>
        <w:rPr>
          <w:b/>
          <w:color w:val="2E86C1"/>
          <w:sz w:val="18"/>
        </w:rPr>
        <w:t xml:space="preserve">  🖥  TELA:  </w:t>
      </w:r>
      <w:r>
        <w:rPr>
          <w:i/>
          <w:color w:val="2C3E50"/>
          <w:sz w:val="18"/>
        </w:rPr>
        <w:t>Mostrar a resposta do modelo adaptada para IRC. Destacar: preferência por BRA, cuidado com IECA em função renal, monitoramento de potássio e creatinina.</w:t>
      </w:r>
    </w:p>
    <w:p>
      <w:pPr>
        <w:spacing w:before="80" w:after="80" w:line="360" w:lineRule="exact"/>
        <w:ind w:left="283"/>
      </w:pPr>
      <w:r>
        <w:rPr>
          <w:b w:val="0"/>
          <w:color w:val="2C3E50"/>
          <w:sz w:val="24"/>
        </w:rPr>
        <w:t>O assistente mantém o contexto da conversa. Sabe que estamos falando de hipertensão e adapta a resposta para o novo cenário: com insuficiência renal crônica, BRA é preferível ao IECA pelo perfil de segurança renal, é necessário monitorar potássio — risco de hipercalemia — e a creatinina sérica. Isso demonstra compreensão contextual real, não apenas busca por palavras-chave.</w:t>
      </w:r>
    </w:p>
    <w:p>
      <w:pPr>
        <w:spacing w:before="40" w:after="40"/>
        <w:ind w:left="454"/>
      </w:pPr>
      <w:r>
        <w:rPr>
          <w:b/>
          <w:color w:val="CA6F1E"/>
          <w:sz w:val="20"/>
        </w:rPr>
        <w:t>▶  Clicar no chip de sugestão: 'Quais são os critérios diagnósticos para sepse?'</w:t>
      </w:r>
    </w:p>
    <w:p>
      <w:pPr>
        <w:spacing w:before="80" w:after="80" w:line="360" w:lineRule="exact"/>
        <w:ind w:left="283"/>
      </w:pPr>
      <w:r>
        <w:rPr>
          <w:b w:val="0"/>
          <w:color w:val="2C3E50"/>
          <w:sz w:val="24"/>
        </w:rPr>
        <w:t>Os chips de sugestão rápida facilitam o início de uma consulta. Clico em 'Quais são os critérios diagnósticos para sepse?' e o sistema responde com os critérios do Sepsis-3: disfunção orgânica ameaçadora à vida causada por resposta desregulada do hospedeiro à infecção, quantificada pela escala SOFA.</w:t>
      </w:r>
    </w:p>
    <w:p>
      <w:pPr>
        <w:spacing w:before="40" w:after="120"/>
        <w:ind w:left="283"/>
        <w:shd w:val="clear" w:color="auto" w:fill="D4EFDF"/>
      </w:pPr>
      <w:r>
        <w:rPr>
          <w:i/>
          <w:color w:val="1E8449"/>
          <w:sz w:val="18"/>
        </w:rPr>
        <w:t xml:space="preserve">  📌  Se o modelo demorar mais do esperado, mantenha a câmera na interface e continue a narração. Você pode dizer: 'Enquanto o modelo processa, vale notar que...' e explicar o RAG.</w:t>
      </w:r>
    </w:p>
    <w:p>
      <w:pPr>
        <w:spacing w:before="80" w:after="80"/>
      </w:pPr>
      <w:r>
        <w:rPr>
          <w:color w:val="D5D8DC"/>
          <w:sz w:val="14"/>
        </w:rPr>
        <w:t>──────────────────────────────────────────────────────────────────────────────────────────</w:t>
      </w:r>
    </w:p>
    <w:p/>
    <w:p>
      <w:pPr>
        <w:spacing w:before="80" w:after="40"/>
        <w:shd w:val="clear" w:color="auto" w:fill="1A5276"/>
      </w:pPr>
      <w:r>
        <w:rPr>
          <w:b/>
          <w:color w:val="AED6F1"/>
          <w:sz w:val="20"/>
        </w:rPr>
        <w:t xml:space="preserve">  CENA 04  </w:t>
      </w:r>
      <w:r>
        <w:rPr>
          <w:b/>
          <w:color w:val="FFFFFF"/>
          <w:sz w:val="22"/>
        </w:rPr>
        <w:t xml:space="preserve">  LOGS E VALIDAÇÃO DAS RESPOSTAS</w:t>
      </w:r>
      <w:r>
        <w:rPr>
          <w:i/>
          <w:color w:val="AED6F1"/>
          <w:sz w:val="18"/>
        </w:rPr>
        <w:t xml:space="preserve">  [~2 minutos]</w:t>
      </w:r>
    </w:p>
    <w:p>
      <w:pPr>
        <w:spacing w:before="120" w:after="40"/>
        <w:ind w:left="283"/>
        <w:shd w:val="clear" w:color="auto" w:fill="EBF5FB"/>
      </w:pPr>
      <w:r>
        <w:rPr>
          <w:b/>
          <w:color w:val="2E86C1"/>
          <w:sz w:val="18"/>
        </w:rPr>
        <w:t xml:space="preserve">  🖥  TELA:  </w:t>
      </w:r>
      <w:r>
        <w:rPr>
          <w:i/>
          <w:color w:val="2C3E50"/>
          <w:sz w:val="18"/>
        </w:rPr>
        <w:t>Navegar para a seção 'Log e Auditoria' na sidebar.</w:t>
      </w:r>
    </w:p>
    <w:p>
      <w:pPr>
        <w:spacing w:before="40" w:after="40"/>
        <w:ind w:left="454"/>
      </w:pPr>
      <w:r>
        <w:rPr>
          <w:b/>
          <w:color w:val="CA6F1E"/>
          <w:sz w:val="20"/>
        </w:rPr>
        <w:t>▶  Clicar em 'Log e Auditoria' na sidebar.</w:t>
      </w:r>
    </w:p>
    <w:p>
      <w:pPr>
        <w:spacing w:before="80" w:after="80" w:line="360" w:lineRule="exact"/>
        <w:ind w:left="283"/>
      </w:pPr>
      <w:r>
        <w:rPr>
          <w:b w:val="0"/>
          <w:color w:val="2C3E50"/>
          <w:sz w:val="24"/>
        </w:rPr>
        <w:t>Um sistema de apoio clínico precisa ser auditável. Cada interação — seja via chat, análise de prontuário ou API — é registrada automaticamente no log de auditoria.</w:t>
      </w:r>
    </w:p>
    <w:p>
      <w:pPr>
        <w:spacing w:before="120" w:after="40"/>
        <w:ind w:left="283"/>
        <w:shd w:val="clear" w:color="auto" w:fill="EBF5FB"/>
      </w:pPr>
      <w:r>
        <w:rPr>
          <w:b/>
          <w:color w:val="2E86C1"/>
          <w:sz w:val="18"/>
        </w:rPr>
        <w:t xml:space="preserve">  🖥  TELA:  </w:t>
      </w:r>
      <w:r>
        <w:rPr>
          <w:i/>
          <w:color w:val="2C3E50"/>
          <w:sz w:val="18"/>
        </w:rPr>
        <w:t>Mostrar a tabela de logs com as interações das demonstrações anteriores. Destacar as colunas: Timestamp, Chain, Alerta, Pergunta.</w:t>
      </w:r>
    </w:p>
    <w:p>
      <w:pPr>
        <w:spacing w:before="80" w:after="80" w:line="360" w:lineRule="exact"/>
        <w:ind w:left="283"/>
      </w:pPr>
      <w:r>
        <w:rPr>
          <w:b w:val="0"/>
          <w:color w:val="2C3E50"/>
          <w:sz w:val="24"/>
        </w:rPr>
        <w:t>Vejo aqui as interações das demonstrações anteriores. A análise do prontuário aparece com flag de alerta ativo — vermelho — indicando que o módulo de segurança interveio. As consultas clínicas aparecem sem alerta — verde — pois foram perguntas de apoio clínico padrão.</w:t>
      </w:r>
    </w:p>
    <w:p>
      <w:pPr>
        <w:spacing w:before="120" w:after="40"/>
        <w:ind w:left="283"/>
        <w:shd w:val="clear" w:color="auto" w:fill="EBF5FB"/>
      </w:pPr>
      <w:r>
        <w:rPr>
          <w:b/>
          <w:color w:val="2E86C1"/>
          <w:sz w:val="18"/>
        </w:rPr>
        <w:t xml:space="preserve">  🖥  TELA:  </w:t>
      </w:r>
      <w:r>
        <w:rPr>
          <w:i/>
          <w:color w:val="2C3E50"/>
          <w:sz w:val="18"/>
        </w:rPr>
        <w:t>Clicar em 'Detalhes' de uma das interações de consulta clínica.</w:t>
      </w:r>
    </w:p>
    <w:p>
      <w:pPr>
        <w:spacing w:before="40" w:after="40"/>
        <w:ind w:left="454"/>
      </w:pPr>
      <w:r>
        <w:rPr>
          <w:b/>
          <w:color w:val="CA6F1E"/>
          <w:sz w:val="20"/>
        </w:rPr>
        <w:t>▶  Clicar em 'Detalhes' da interação sobre hipertensão.</w:t>
      </w:r>
    </w:p>
    <w:p>
      <w:pPr>
        <w:spacing w:before="80" w:after="80" w:line="360" w:lineRule="exact"/>
        <w:ind w:left="283"/>
      </w:pPr>
      <w:r>
        <w:rPr>
          <w:b w:val="0"/>
          <w:color w:val="2C3E50"/>
          <w:sz w:val="24"/>
        </w:rPr>
        <w:t>Ao abrir os detalhes de uma interação, tenho acesso às informações de rastreabilidade completas.</w:t>
      </w:r>
    </w:p>
    <w:p>
      <w:pPr>
        <w:spacing w:before="120" w:after="40"/>
        <w:ind w:left="283"/>
        <w:shd w:val="clear" w:color="auto" w:fill="EBF5FB"/>
      </w:pPr>
      <w:r>
        <w:rPr>
          <w:b/>
          <w:color w:val="2E86C1"/>
          <w:sz w:val="18"/>
        </w:rPr>
        <w:t xml:space="preserve">  🖥  TELA:  </w:t>
      </w:r>
      <w:r>
        <w:rPr>
          <w:i/>
          <w:color w:val="2C3E50"/>
          <w:sz w:val="18"/>
        </w:rPr>
        <w:t>Mostrar o modal de detalhes. Destacar: ID Interação, Confiança estimada, Motivo, documentos RAG.</w:t>
      </w:r>
    </w:p>
    <w:p>
      <w:pPr>
        <w:spacing w:before="80" w:after="80" w:line="360" w:lineRule="exact"/>
        <w:ind w:left="283"/>
      </w:pPr>
      <w:r>
        <w:rPr>
          <w:b w:val="0"/>
          <w:color w:val="2C3E50"/>
          <w:sz w:val="24"/>
        </w:rPr>
        <w:t>O campo 'Confiança estimada' é calculado automaticamente: é a média dos scores de similaridade dos documentos recuperados pelo RAG, ajustada por um fator de segurança se houve alerta. Quanto mais próximo de 1, mais fundamentada em documentos a resposta está.</w:t>
      </w:r>
    </w:p>
    <w:p>
      <w:pPr>
        <w:spacing w:before="80" w:after="80" w:line="360" w:lineRule="exact"/>
        <w:ind w:left="283"/>
      </w:pPr>
      <w:r>
        <w:rPr>
          <w:b w:val="0"/>
          <w:color w:val="2C3E50"/>
          <w:sz w:val="24"/>
        </w:rPr>
        <w:t>O campo 'Motivo da resposta' identifica qual protocolo foi o mais relevante: neste caso, a Diretriz Brasileira de Hipertensão com score de 0.87. Isso permite ao médico revisor entender por que o sistema chegou àquela resposta.</w:t>
      </w:r>
    </w:p>
    <w:p>
      <w:pPr>
        <w:spacing w:before="120" w:after="40"/>
        <w:ind w:left="283"/>
        <w:shd w:val="clear" w:color="auto" w:fill="EBF5FB"/>
      </w:pPr>
      <w:r>
        <w:rPr>
          <w:b/>
          <w:color w:val="2E86C1"/>
          <w:sz w:val="18"/>
        </w:rPr>
        <w:t xml:space="preserve">  🖥  TELA:  </w:t>
      </w:r>
      <w:r>
        <w:rPr>
          <w:i/>
          <w:color w:val="2C3E50"/>
          <w:sz w:val="18"/>
        </w:rPr>
        <w:t>Abrir o Swagger UI em http://localhost:8000/docs no browser.</w:t>
      </w:r>
    </w:p>
    <w:p>
      <w:pPr>
        <w:spacing w:before="40" w:after="40"/>
        <w:ind w:left="454"/>
      </w:pPr>
      <w:r>
        <w:rPr>
          <w:b/>
          <w:color w:val="CA6F1E"/>
          <w:sz w:val="20"/>
        </w:rPr>
        <w:t>▶  Abrir nova aba no browser: http://localhost:8000/docs</w:t>
      </w:r>
    </w:p>
    <w:p>
      <w:pPr>
        <w:spacing w:before="80" w:after="80" w:line="360" w:lineRule="exact"/>
        <w:ind w:left="283"/>
      </w:pPr>
      <w:r>
        <w:rPr>
          <w:b w:val="0"/>
          <w:color w:val="2C3E50"/>
          <w:sz w:val="24"/>
        </w:rPr>
        <w:t>Além da interface React, todo o sistema é acessível via API REST, com documentação Swagger automática. Isso permite integração com sistemas hospitalares, PEPs e prontuários eletrônicos.</w:t>
      </w:r>
    </w:p>
    <w:p>
      <w:pPr>
        <w:spacing w:before="120" w:after="40"/>
        <w:ind w:left="283"/>
        <w:shd w:val="clear" w:color="auto" w:fill="EBF5FB"/>
      </w:pPr>
      <w:r>
        <w:rPr>
          <w:b/>
          <w:color w:val="2E86C1"/>
          <w:sz w:val="18"/>
        </w:rPr>
        <w:t xml:space="preserve">  🖥  TELA:  </w:t>
      </w:r>
      <w:r>
        <w:rPr>
          <w:i/>
          <w:color w:val="2C3E50"/>
          <w:sz w:val="18"/>
        </w:rPr>
        <w:t>Expandir o endpoint GET /audit/{id_interacao} no Swagger.</w:t>
      </w:r>
    </w:p>
    <w:p>
      <w:pPr>
        <w:spacing w:before="40" w:after="40"/>
        <w:ind w:left="454"/>
      </w:pPr>
      <w:r>
        <w:rPr>
          <w:b/>
          <w:color w:val="CA6F1E"/>
          <w:sz w:val="20"/>
        </w:rPr>
        <w:t>▶  Expandir o endpoint GET /audit/{id_interacao}. Clicar em 'Try it out'. Inserir o ID de interação copiado da tela anterior. Clicar em Execute.</w:t>
      </w:r>
    </w:p>
    <w:p>
      <w:pPr>
        <w:spacing w:before="80" w:after="80" w:line="360" w:lineRule="exact"/>
        <w:ind w:left="283"/>
      </w:pPr>
      <w:r>
        <w:rPr>
          <w:b w:val="0"/>
          <w:color w:val="2C3E50"/>
          <w:sz w:val="24"/>
        </w:rPr>
        <w:t>Usando o ID de interação retornado em qualquer resposta, posso buscar o registro completo de auditoria via API: documentos RAG com scores, confiança estimada, motivo da resposta e todos os metadados.</w:t>
      </w:r>
    </w:p>
    <w:p>
      <w:pPr>
        <w:spacing w:before="120" w:after="40"/>
        <w:ind w:left="283"/>
        <w:shd w:val="clear" w:color="auto" w:fill="EBF5FB"/>
      </w:pPr>
      <w:r>
        <w:rPr>
          <w:b/>
          <w:color w:val="2E86C1"/>
          <w:sz w:val="18"/>
        </w:rPr>
        <w:t xml:space="preserve">  🖥  TELA:  </w:t>
      </w:r>
      <w:r>
        <w:rPr>
          <w:i/>
          <w:color w:val="2C3E50"/>
          <w:sz w:val="18"/>
        </w:rPr>
        <w:t>Mostrar o JSON de resposta completo com todos os campos de auditoria.</w:t>
      </w:r>
    </w:p>
    <w:p>
      <w:pPr>
        <w:spacing w:before="80" w:after="80" w:line="360" w:lineRule="exact"/>
        <w:ind w:left="283"/>
      </w:pPr>
      <w:r>
        <w:rPr>
          <w:b w:val="0"/>
          <w:color w:val="2C3E50"/>
          <w:sz w:val="24"/>
        </w:rPr>
        <w:t>Este nível de rastreabilidade é fundamental para sistemas médicos: permite que equipes de qualidade, compliance e regulatória verifiquem como cada resposta foi gerada, em que documentos se baseou, e se o módulo de segurança precisou intervir.</w:t>
      </w:r>
    </w:p>
    <w:p>
      <w:pPr>
        <w:spacing w:before="40" w:after="120"/>
        <w:ind w:left="283"/>
        <w:shd w:val="clear" w:color="auto" w:fill="D4EFDF"/>
      </w:pPr>
      <w:r>
        <w:rPr>
          <w:i/>
          <w:color w:val="1E8449"/>
          <w:sz w:val="18"/>
        </w:rPr>
        <w:t xml:space="preserve">  📌  Se preferir, mostre diretamente o arquivo logs/interactions.jsonl no terminal em vez do Swagger — o efeito visual de um JSON bruto também é impactante.</w:t>
      </w:r>
    </w:p>
    <w:p>
      <w:pPr>
        <w:spacing w:before="80" w:after="80"/>
      </w:pPr>
      <w:r>
        <w:rPr>
          <w:color w:val="D5D8DC"/>
          <w:sz w:val="14"/>
        </w:rPr>
        <w:t>──────────────────────────────────────────────────────────────────────────────────────────</w:t>
      </w:r>
    </w:p>
    <w:p/>
    <w:p>
      <w:pPr>
        <w:spacing w:before="80" w:after="40"/>
        <w:shd w:val="clear" w:color="auto" w:fill="1A5276"/>
      </w:pPr>
      <w:r>
        <w:rPr>
          <w:b/>
          <w:color w:val="AED6F1"/>
          <w:sz w:val="20"/>
        </w:rPr>
        <w:t xml:space="preserve">  CENA 05  </w:t>
      </w:r>
      <w:r>
        <w:rPr>
          <w:b/>
          <w:color w:val="FFFFFF"/>
          <w:sz w:val="22"/>
        </w:rPr>
        <w:t xml:space="preserve">  ENCERRAMENTO</w:t>
      </w:r>
      <w:r>
        <w:rPr>
          <w:i/>
          <w:color w:val="AED6F1"/>
          <w:sz w:val="18"/>
        </w:rPr>
        <w:t xml:space="preserve">  [~60 segundos]</w:t>
      </w:r>
    </w:p>
    <w:p>
      <w:pPr>
        <w:spacing w:before="120" w:after="40"/>
        <w:ind w:left="283"/>
        <w:shd w:val="clear" w:color="auto" w:fill="EBF5FB"/>
      </w:pPr>
      <w:r>
        <w:rPr>
          <w:b/>
          <w:color w:val="2E86C1"/>
          <w:sz w:val="18"/>
        </w:rPr>
        <w:t xml:space="preserve">  🖥  TELA:  </w:t>
      </w:r>
      <w:r>
        <w:rPr>
          <w:i/>
          <w:color w:val="2C3E50"/>
          <w:sz w:val="18"/>
        </w:rPr>
        <w:t>Slide de encerramento com stack completo listado e QR code para o repositório (opcional).</w:t>
      </w:r>
    </w:p>
    <w:p>
      <w:pPr>
        <w:spacing w:before="80" w:after="80" w:line="360" w:lineRule="exact"/>
        <w:ind w:left="283"/>
      </w:pPr>
      <w:r>
        <w:rPr>
          <w:b w:val="0"/>
          <w:color w:val="2C3E50"/>
          <w:sz w:val="24"/>
        </w:rPr>
        <w:t>E assim concluímos a demonstração do Assistente Médico Virtual.</w:t>
      </w:r>
    </w:p>
    <w:p>
      <w:pPr>
        <w:spacing w:before="80" w:after="80" w:line="360" w:lineRule="exact"/>
        <w:ind w:left="283"/>
      </w:pPr>
      <w:r>
        <w:rPr>
          <w:b w:val="0"/>
          <w:color w:val="2C3E50"/>
          <w:sz w:val="24"/>
        </w:rPr>
        <w:t>Recapitulando: treinamos um modelo de linguagem de 7 bilhões de parâmetros no domínio médico com QLoRA, sem a necessidade de hardware de data center. Implementamos um fluxo de decisão clínica automatizado com LangGraph, capaz de analisar exames, histórico e gerar alertas críticos. Demonstramos respostas contextualizadas e multi-turno baseadas em RAG com FAISS. E mostramos um sistema de auditoria completo, com rastreabilidade de cada decisão gerada.</w:t>
      </w:r>
    </w:p>
    <w:p>
      <w:pPr>
        <w:spacing w:before="80" w:after="80" w:line="360" w:lineRule="exact"/>
        <w:ind w:left="283"/>
      </w:pPr>
      <w:r>
        <w:rPr>
          <w:b w:val="0"/>
          <w:color w:val="2C3E50"/>
          <w:sz w:val="24"/>
        </w:rPr>
        <w:t>O projeto demonstra que é possível construir, com tecnologias open-source, um sistema de IA médica robusto, explicável e governado — que respeita os princípios de segurança do paciente e transparência algorítmica.</w:t>
      </w:r>
    </w:p>
    <w:p>
      <w:pPr>
        <w:spacing w:before="80" w:after="80" w:line="360" w:lineRule="exact"/>
        <w:ind w:left="283"/>
      </w:pPr>
      <w:r>
        <w:rPr>
          <w:b w:val="0"/>
          <w:color w:val="2C3E50"/>
          <w:sz w:val="24"/>
        </w:rPr>
        <w:t>Obrigada pela atenção! Em caso de dúvidas sobre a arquitetura ou o código, o projeto completo está disponível no repositório com documentação detalhada.</w:t>
      </w:r>
    </w:p>
    <w:p>
      <w:pPr>
        <w:spacing w:before="40" w:after="120"/>
        <w:ind w:left="283"/>
        <w:shd w:val="clear" w:color="auto" w:fill="D4EFDF"/>
      </w:pPr>
      <w:r>
        <w:rPr>
          <w:i/>
          <w:color w:val="1E8449"/>
          <w:sz w:val="18"/>
        </w:rPr>
        <w:t xml:space="preserve">  📌  Encerre com um sorriso e uma pausa de 2 segundos antes de cortar. Se houver música de fundo, deixe ela subir suavemente no encerramento.</w:t>
      </w:r>
    </w:p>
    <w:p>
      <w:r>
        <w:br w:type="page"/>
      </w:r>
    </w:p>
    <w:p>
      <w:r>
        <w:rPr>
          <w:b/>
          <w:color w:val="1A5276"/>
          <w:sz w:val="26"/>
        </w:rPr>
        <w:t>ORIENTAÇÕES GERAIS DE GRAVAÇÃO</w:t>
      </w:r>
    </w:p>
    <w:tbl>
      <w:tblPr>
        <w:tblStyle w:val="TableGrid"/>
        <w:tblW w:type="auto" w:w="0"/>
        <w:tblLook w:firstColumn="1" w:firstRow="1" w:lastColumn="0" w:lastRow="0" w:noHBand="0" w:noVBand="1" w:val="04A0"/>
      </w:tblPr>
      <w:tblGrid>
        <w:gridCol w:w="4703"/>
        <w:gridCol w:w="4703"/>
      </w:tblGrid>
      <w:tr>
        <w:tc>
          <w:tcPr>
            <w:tcW w:type="dxa" w:w="4703"/>
            <w:shd w:val="clear" w:color="auto" w:fill="1A5276"/>
          </w:tcPr>
          <w:p>
            <w:r/>
            <w:r>
              <w:rPr>
                <w:b/>
                <w:color w:val="FFFFFF"/>
                <w:sz w:val="20"/>
              </w:rPr>
              <w:t>Aspecto</w:t>
            </w:r>
          </w:p>
        </w:tc>
        <w:tc>
          <w:tcPr>
            <w:tcW w:type="dxa" w:w="4703"/>
            <w:shd w:val="clear" w:color="auto" w:fill="1A5276"/>
          </w:tcPr>
          <w:p>
            <w:r/>
            <w:r>
              <w:rPr>
                <w:b/>
                <w:color w:val="FFFFFF"/>
                <w:sz w:val="20"/>
              </w:rPr>
              <w:t>Orientação</w:t>
            </w:r>
          </w:p>
        </w:tc>
      </w:tr>
      <w:tr>
        <w:tc>
          <w:tcPr>
            <w:tcW w:type="dxa" w:w="4703"/>
            <w:shd w:val="clear" w:color="auto" w:fill="FFFFFF"/>
          </w:tcPr>
          <w:p>
            <w:r/>
            <w:r>
              <w:rPr>
                <w:b/>
                <w:color w:val="2C3E50"/>
                <w:sz w:val="19"/>
              </w:rPr>
              <w:t>Resolução</w:t>
            </w:r>
          </w:p>
        </w:tc>
        <w:tc>
          <w:tcPr>
            <w:tcW w:type="dxa" w:w="4703"/>
            <w:shd w:val="clear" w:color="auto" w:fill="FFFFFF"/>
          </w:tcPr>
          <w:p>
            <w:r/>
            <w:r>
              <w:rPr>
                <w:color w:val="2C3E50"/>
                <w:sz w:val="19"/>
              </w:rPr>
              <w:t>Grave em 1080p (1920×1080) ou 4K. Use modo escuro no sistema operacional para melhor contraste.</w:t>
            </w:r>
          </w:p>
        </w:tc>
      </w:tr>
      <w:tr>
        <w:tc>
          <w:tcPr>
            <w:tcW w:type="dxa" w:w="4703"/>
            <w:shd w:val="clear" w:color="auto" w:fill="EBF5FB"/>
          </w:tcPr>
          <w:p>
            <w:r/>
            <w:r>
              <w:rPr>
                <w:b/>
                <w:color w:val="2C3E50"/>
                <w:sz w:val="19"/>
              </w:rPr>
              <w:t>Áudio</w:t>
            </w:r>
          </w:p>
        </w:tc>
        <w:tc>
          <w:tcPr>
            <w:tcW w:type="dxa" w:w="4703"/>
            <w:shd w:val="clear" w:color="auto" w:fill="EBF5FB"/>
          </w:tcPr>
          <w:p>
            <w:r/>
            <w:r>
              <w:rPr>
                <w:color w:val="2C3E50"/>
                <w:sz w:val="19"/>
              </w:rPr>
              <w:t>Use fone de ouvido com microfone ou microfone externo. Grave em ambiente silencioso.</w:t>
            </w:r>
          </w:p>
        </w:tc>
      </w:tr>
      <w:tr>
        <w:tc>
          <w:tcPr>
            <w:tcW w:type="dxa" w:w="4703"/>
            <w:shd w:val="clear" w:color="auto" w:fill="FFFFFF"/>
          </w:tcPr>
          <w:p>
            <w:r/>
            <w:r>
              <w:rPr>
                <w:b/>
                <w:color w:val="2C3E50"/>
                <w:sz w:val="19"/>
              </w:rPr>
              <w:t>Velocidade</w:t>
            </w:r>
          </w:p>
        </w:tc>
        <w:tc>
          <w:tcPr>
            <w:tcW w:type="dxa" w:w="4703"/>
            <w:shd w:val="clear" w:color="auto" w:fill="FFFFFF"/>
          </w:tcPr>
          <w:p>
            <w:r/>
            <w:r>
              <w:rPr>
                <w:color w:val="2C3E50"/>
                <w:sz w:val="19"/>
              </w:rPr>
              <w:t>Fale em ritmo pausado — cerca de 130 palavras por minuto. O script está calibrado para esse ritmo.</w:t>
            </w:r>
          </w:p>
        </w:tc>
      </w:tr>
      <w:tr>
        <w:tc>
          <w:tcPr>
            <w:tcW w:type="dxa" w:w="4703"/>
            <w:shd w:val="clear" w:color="auto" w:fill="EBF5FB"/>
          </w:tcPr>
          <w:p>
            <w:r/>
            <w:r>
              <w:rPr>
                <w:b/>
                <w:color w:val="2C3E50"/>
                <w:sz w:val="19"/>
              </w:rPr>
              <w:t>Zoom na tela</w:t>
            </w:r>
          </w:p>
        </w:tc>
        <w:tc>
          <w:tcPr>
            <w:tcW w:type="dxa" w:w="4703"/>
            <w:shd w:val="clear" w:color="auto" w:fill="EBF5FB"/>
          </w:tcPr>
          <w:p>
            <w:r/>
            <w:r>
              <w:rPr>
                <w:color w:val="2C3E50"/>
                <w:sz w:val="19"/>
              </w:rPr>
              <w:t>Use Ctrl+= ou o zoom do browser para aumentar textos antes de gravar. Fonte mínima: 14px.</w:t>
            </w:r>
          </w:p>
        </w:tc>
      </w:tr>
      <w:tr>
        <w:tc>
          <w:tcPr>
            <w:tcW w:type="dxa" w:w="4703"/>
            <w:shd w:val="clear" w:color="auto" w:fill="FFFFFF"/>
          </w:tcPr>
          <w:p>
            <w:r/>
            <w:r>
              <w:rPr>
                <w:b/>
                <w:color w:val="2C3E50"/>
                <w:sz w:val="19"/>
              </w:rPr>
              <w:t>Cortes</w:t>
            </w:r>
          </w:p>
        </w:tc>
        <w:tc>
          <w:tcPr>
            <w:tcW w:type="dxa" w:w="4703"/>
            <w:shd w:val="clear" w:color="auto" w:fill="FFFFFF"/>
          </w:tcPr>
          <w:p>
            <w:r/>
            <w:r>
              <w:rPr>
                <w:color w:val="2C3E50"/>
                <w:sz w:val="19"/>
              </w:rPr>
              <w:t>Pode gravar em partes e editar. Cada CENA pode ser uma gravação separada.</w:t>
            </w:r>
          </w:p>
        </w:tc>
      </w:tr>
      <w:tr>
        <w:tc>
          <w:tcPr>
            <w:tcW w:type="dxa" w:w="4703"/>
            <w:shd w:val="clear" w:color="auto" w:fill="EBF5FB"/>
          </w:tcPr>
          <w:p>
            <w:r/>
            <w:r>
              <w:rPr>
                <w:b/>
                <w:color w:val="2C3E50"/>
                <w:sz w:val="19"/>
              </w:rPr>
              <w:t>Demonstração live</w:t>
            </w:r>
          </w:p>
        </w:tc>
        <w:tc>
          <w:tcPr>
            <w:tcW w:type="dxa" w:w="4703"/>
            <w:shd w:val="clear" w:color="auto" w:fill="EBF5FB"/>
          </w:tcPr>
          <w:p>
            <w:r/>
            <w:r>
              <w:rPr>
                <w:color w:val="2C3E50"/>
                <w:sz w:val="19"/>
              </w:rPr>
              <w:t>Se o modelo demorar, grave a resposta em uma tomada separada e corte na edição.</w:t>
            </w:r>
          </w:p>
        </w:tc>
      </w:tr>
      <w:tr>
        <w:tc>
          <w:tcPr>
            <w:tcW w:type="dxa" w:w="4703"/>
            <w:shd w:val="clear" w:color="auto" w:fill="FFFFFF"/>
          </w:tcPr>
          <w:p>
            <w:r/>
            <w:r>
              <w:rPr>
                <w:b/>
                <w:color w:val="2C3E50"/>
                <w:sz w:val="19"/>
              </w:rPr>
              <w:t>Subtítulos</w:t>
            </w:r>
          </w:p>
        </w:tc>
        <w:tc>
          <w:tcPr>
            <w:tcW w:type="dxa" w:w="4703"/>
            <w:shd w:val="clear" w:color="auto" w:fill="FFFFFF"/>
          </w:tcPr>
          <w:p>
            <w:r/>
            <w:r>
              <w:rPr>
                <w:color w:val="2C3E50"/>
                <w:sz w:val="19"/>
              </w:rPr>
              <w:t>Considere adicionar subtítulos automáticos na edição (DaVinci Resolve, CapCut ou YouTube automático).</w:t>
            </w:r>
          </w:p>
        </w:tc>
      </w:tr>
      <w:tr>
        <w:tc>
          <w:tcPr>
            <w:tcW w:type="dxa" w:w="4703"/>
            <w:shd w:val="clear" w:color="auto" w:fill="EBF5FB"/>
          </w:tcPr>
          <w:p>
            <w:r/>
            <w:r>
              <w:rPr>
                <w:b/>
                <w:color w:val="2C3E50"/>
                <w:sz w:val="19"/>
              </w:rPr>
              <w:t>Duração final</w:t>
            </w:r>
          </w:p>
        </w:tc>
        <w:tc>
          <w:tcPr>
            <w:tcW w:type="dxa" w:w="4703"/>
            <w:shd w:val="clear" w:color="auto" w:fill="EBF5FB"/>
          </w:tcPr>
          <w:p>
            <w:r/>
            <w:r>
              <w:rPr>
                <w:color w:val="2C3E50"/>
                <w:sz w:val="19"/>
              </w:rPr>
              <w:t>O script foi calibrado para 8 a 12 minutos. Se precisar cortar, elimine a Cena 3.4 (terceira pergunta).</w:t>
            </w:r>
          </w:p>
        </w:tc>
      </w:tr>
    </w:tbl>
    <w:p/>
    <w:p>
      <w:pPr>
        <w:jc w:val="center"/>
      </w:pPr>
      <w:r>
        <w:rPr>
          <w:i/>
          <w:color w:val="85929E"/>
          <w:sz w:val="18"/>
        </w:rPr>
        <w:t>Larissa Boscatti — FIAP PosTech — Assistente Médico Virtual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