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</wp:posOffset>
            </wp:positionV>
            <wp:extent cx="5734050" cy="318135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96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 the functions of each of the following [2]</w:t>
      </w:r>
    </w:p>
    <w:p w:rsidR="00000000" w:rsidDel="00000000" w:rsidP="00000000" w:rsidRDefault="00000000" w:rsidRPr="00000000" w14:paraId="0000000D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Uterus lining: </w:t>
      </w:r>
    </w:p>
    <w:p w:rsidR="00000000" w:rsidDel="00000000" w:rsidP="00000000" w:rsidRDefault="00000000" w:rsidRPr="00000000" w14:paraId="0000000E">
      <w:pPr>
        <w:spacing w:after="200" w:line="276" w:lineRule="auto"/>
        <w:ind w:left="0" w:firstLine="72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ind w:left="0" w:firstLine="72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Oviduct:</w:t>
      </w:r>
    </w:p>
    <w:p w:rsidR="00000000" w:rsidDel="00000000" w:rsidP="00000000" w:rsidRDefault="00000000" w:rsidRPr="00000000" w14:paraId="00000011">
      <w:pPr>
        <w:spacing w:after="200" w:line="276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4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Using the information in </w:t>
      </w:r>
      <w:r w:rsidDel="00000000" w:rsidR="00000000" w:rsidRPr="00000000">
        <w:rPr>
          <w:b w:val="1"/>
          <w:rtl w:val="0"/>
        </w:rPr>
        <w:t xml:space="preserve">Fig 1.2</w:t>
      </w:r>
      <w:r w:rsidDel="00000000" w:rsidR="00000000" w:rsidRPr="00000000">
        <w:rPr>
          <w:rtl w:val="0"/>
        </w:rPr>
        <w:t xml:space="preserve">, suggest and explain a time range during the menstruation cycle when implantation will likely be successful. [3]</w:t>
      </w:r>
    </w:p>
    <w:p w:rsidR="00000000" w:rsidDel="00000000" w:rsidP="00000000" w:rsidRDefault="00000000" w:rsidRPr="00000000" w14:paraId="0000001D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