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B4D"/>
          <w:sz w:val="40"/>
          <w:szCs w:val="40"/>
        </w:rPr>
        <w:t xml:space="preserve">MEGALÁMPARAS</w:t>
      </w:r>
    </w:p>
    <w:p>
      <w:pPr>
        <w:spacing w:after="100"/>
      </w:pPr>
      <w:r>
        <w:rPr>
          <w:i/>
          <w:iCs/>
          <w:color w:val="666666"/>
          <w:sz w:val="20"/>
          <w:szCs w:val="20"/>
        </w:rPr>
        <w:t xml:space="preserve">Iluminación decorativa y mobiliario de exterior · Salcedo, Ecuador</w:t>
      </w:r>
    </w:p>
    <w:p>
      <w:pPr>
        <w:pBdr>
          <w:bottom w:val="single" w:color="C98A2C" w:sz="12" w:space="6"/>
        </w:pBdr>
        <w:spacing w:after="300"/>
      </w:pPr>
      <w:r>
        <w:rPr>
          <w:sz w:val="4"/>
          <w:szCs w:val="4"/>
        </w:rPr>
        <w:t xml:space="preserve"> </w:t>
      </w:r>
    </w:p>
    <w:p>
      <w:pPr>
        <w:spacing w:after="80"/>
      </w:pPr>
      <w:r>
        <w:rPr>
          <w:b/>
          <w:bCs/>
          <w:color w:val="1F3B4D"/>
          <w:sz w:val="32"/>
          <w:szCs w:val="32"/>
        </w:rPr>
        <w:t xml:space="preserve">Política de Privacidad y Protección de Datos Personales</w:t>
      </w:r>
    </w:p>
    <w:p>
      <w:pPr>
        <w:spacing w:after="400"/>
      </w:pPr>
      <w:r>
        <w:rPr>
          <w:color w:val="444444"/>
          <w:sz w:val="22"/>
          <w:szCs w:val="22"/>
        </w:rPr>
        <w:t xml:space="preserve">Clientes, Proveedores y Colaboradores · Versión 1.0 — Julio 2026</w:t>
      </w:r>
    </w:p>
    <w:p>
      <w:pPr>
        <w:pBdr>
          <w:left w:val="single" w:color="C98A2C" w:sz="12" w:space="8"/>
        </w:pBdr>
        <w:shd w:fill="F2F2F2" w:val="clear"/>
        <w:spacing w:after="200" w:before="120"/>
      </w:pPr>
      <w:r>
        <w:rPr>
          <w:i/>
          <w:iCs/>
          <w:color w:val="555555"/>
          <w:sz w:val="19"/>
          <w:szCs w:val="19"/>
        </w:rPr>
        <w:t xml:space="preserve">Plantilla basada en la Ley Orgánica de Protección de Datos Personales (LOPDP) del Ecuador y su Reglamento General, bajo supervisión de la Superintendencia de Protección de Datos Personales. Debe validarse legalmente y adaptarse a los sistemas y proveedores reales que use la Empresa (tienda en línea, WordPress, pasarelas de pago, IESS, etc.) antes de publicarse.</w:t>
      </w:r>
    </w:p>
    <w:p>
      <w:pPr>
        <w:pStyle w:val="Heading1"/>
        <w:pBdr>
          <w:bottom w:val="single" w:color="D9D9D9" w:sz="4" w:space="4"/>
        </w:pBdr>
        <w:spacing w:after="140" w:before="320"/>
      </w:pPr>
      <w:r>
        <w:rPr>
          <w:b/>
          <w:bCs/>
          <w:color w:val="1F3B4D"/>
          <w:sz w:val="26"/>
          <w:szCs w:val="26"/>
        </w:rPr>
        <w:t xml:space="preserve">1. Responsable del tratamiento de datos</w:t>
      </w:r>
    </w:p>
    <w:p>
      <w:pPr>
        <w:spacing w:after="140"/>
        <w:jc w:val="both"/>
      </w:pPr>
      <w:r>
        <w:rPr>
          <w:sz w:val="21"/>
          <w:szCs w:val="21"/>
        </w:rPr>
        <w:t xml:space="preserve">MEGALÁMPARAS, con domicilio en Salcedo, provincia de Cotopaxi, Ecuador, es responsable del tratamiento de los datos personales que recaba de sus clientes, proveedores, postulantes y colaboradores, en el marco de sus actividades de venta de iluminación decorativa y mobiliario de exterior.</w:t>
      </w:r>
    </w:p>
    <w:p>
      <w:pPr>
        <w:pStyle w:val="Heading1"/>
        <w:pBdr>
          <w:bottom w:val="single" w:color="D9D9D9" w:sz="4" w:space="4"/>
        </w:pBdr>
        <w:spacing w:after="140" w:before="320"/>
      </w:pPr>
      <w:r>
        <w:rPr>
          <w:b/>
          <w:bCs/>
          <w:color w:val="1F3B4D"/>
          <w:sz w:val="26"/>
          <w:szCs w:val="26"/>
        </w:rPr>
        <w:t xml:space="preserve">2. Datos personales que recopilamos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1F3B4D" w:val="clear"/>
            <w:tcMar>
              <w:top w:type="dxa" w:w="100"/>
              <w:left w:type="dxa" w:w="120"/>
              <w:bottom w:type="dxa" w:w="100"/>
              <w:right w:type="dxa" w:w="120"/>
            </w:tcMar>
          </w:tcPr>
          <w:p>
            <w:r>
              <w:rPr>
                <w:b/>
                <w:bCs/>
                <w:color w:val="FFFFFF"/>
                <w:sz w:val="20"/>
                <w:szCs w:val="20"/>
              </w:rPr>
              <w:t xml:space="preserve">Categoría de titular</w:t>
            </w:r>
          </w:p>
        </w:tc>
        <w:tc>
          <w:tcPr>
            <w:tcW w:type="dxa" w:w="5826"/>
            <w:shd w:fill="1F3B4D" w:val="clear"/>
            <w:tcMar>
              <w:top w:type="dxa" w:w="100"/>
              <w:left w:type="dxa" w:w="120"/>
              <w:bottom w:type="dxa" w:w="100"/>
              <w:right w:type="dxa" w:w="120"/>
            </w:tcMar>
          </w:tcPr>
          <w:p>
            <w:r>
              <w:rPr>
                <w:b/>
                <w:bCs/>
                <w:color w:val="FFFFFF"/>
                <w:sz w:val="20"/>
                <w:szCs w:val="20"/>
              </w:rPr>
              <w:t xml:space="preserve">Datos recopilados</w:t>
            </w:r>
          </w:p>
        </w:tc>
      </w:tr>
      <w:tr>
        <w:tc>
          <w:tcPr>
            <w:tcW w:type="dxa" w:w="3200"/>
            <w:shd w:fill="F2F2F2" w:val="clear"/>
            <w:tcMar>
              <w:top w:type="dxa" w:w="100"/>
              <w:left w:type="dxa" w:w="120"/>
              <w:bottom w:type="dxa" w:w="100"/>
              <w:right w:type="dxa" w:w="120"/>
            </w:tcMar>
          </w:tcPr>
          <w:p>
            <w:r>
              <w:rPr>
                <w:b/>
                <w:bCs/>
                <w:color w:val="222222"/>
                <w:sz w:val="20"/>
                <w:szCs w:val="20"/>
              </w:rPr>
              <w:t xml:space="preserve">Clientes</w:t>
            </w:r>
          </w:p>
        </w:tc>
        <w:tc>
          <w:tcPr>
            <w:tcW w:type="dxa" w:w="5826"/>
            <w:tcMar>
              <w:top w:type="dxa" w:w="100"/>
              <w:left w:type="dxa" w:w="120"/>
              <w:bottom w:type="dxa" w:w="100"/>
              <w:right w:type="dxa" w:w="120"/>
            </w:tcMar>
          </w:tcPr>
          <w:p>
            <w:r>
              <w:rPr>
                <w:b w:val="false"/>
                <w:bCs w:val="false"/>
                <w:color w:val="222222"/>
                <w:sz w:val="20"/>
                <w:szCs w:val="20"/>
              </w:rPr>
              <w:t xml:space="preserve">Nombre, cédula/RUC, dirección de entrega, correo electrónico, teléfono, historial de compras.</w:t>
            </w:r>
          </w:p>
        </w:tc>
      </w:tr>
      <w:tr>
        <w:tc>
          <w:tcPr>
            <w:tcW w:type="dxa" w:w="3200"/>
            <w:shd w:fill="F2F2F2" w:val="clear"/>
            <w:tcMar>
              <w:top w:type="dxa" w:w="100"/>
              <w:left w:type="dxa" w:w="120"/>
              <w:bottom w:type="dxa" w:w="100"/>
              <w:right w:type="dxa" w:w="120"/>
            </w:tcMar>
          </w:tcPr>
          <w:p>
            <w:r>
              <w:rPr>
                <w:b/>
                <w:bCs/>
                <w:color w:val="222222"/>
                <w:sz w:val="20"/>
                <w:szCs w:val="20"/>
              </w:rPr>
              <w:t xml:space="preserve">Postulantes de empleo</w:t>
            </w:r>
          </w:p>
        </w:tc>
        <w:tc>
          <w:tcPr>
            <w:tcW w:type="dxa" w:w="5826"/>
            <w:tcMar>
              <w:top w:type="dxa" w:w="100"/>
              <w:left w:type="dxa" w:w="120"/>
              <w:bottom w:type="dxa" w:w="100"/>
              <w:right w:type="dxa" w:w="120"/>
            </w:tcMar>
          </w:tcPr>
          <w:p>
            <w:r>
              <w:rPr>
                <w:b w:val="false"/>
                <w:bCs w:val="false"/>
                <w:color w:val="222222"/>
                <w:sz w:val="20"/>
                <w:szCs w:val="20"/>
              </w:rPr>
              <w:t xml:space="preserve">Hoja de vida, referencias, resultados de entrevistas, certificados académicos.</w:t>
            </w:r>
          </w:p>
        </w:tc>
      </w:tr>
      <w:tr>
        <w:tc>
          <w:tcPr>
            <w:tcW w:type="dxa" w:w="3200"/>
            <w:shd w:fill="F2F2F2" w:val="clear"/>
            <w:tcMar>
              <w:top w:type="dxa" w:w="100"/>
              <w:left w:type="dxa" w:w="120"/>
              <w:bottom w:type="dxa" w:w="100"/>
              <w:right w:type="dxa" w:w="120"/>
            </w:tcMar>
          </w:tcPr>
          <w:p>
            <w:r>
              <w:rPr>
                <w:b/>
                <w:bCs/>
                <w:color w:val="222222"/>
                <w:sz w:val="20"/>
                <w:szCs w:val="20"/>
              </w:rPr>
              <w:t xml:space="preserve">Colaboradores</w:t>
            </w:r>
          </w:p>
        </w:tc>
        <w:tc>
          <w:tcPr>
            <w:tcW w:type="dxa" w:w="5826"/>
            <w:tcMar>
              <w:top w:type="dxa" w:w="100"/>
              <w:left w:type="dxa" w:w="120"/>
              <w:bottom w:type="dxa" w:w="100"/>
              <w:right w:type="dxa" w:w="120"/>
            </w:tcMar>
          </w:tcPr>
          <w:p>
            <w:r>
              <w:rPr>
                <w:b w:val="false"/>
                <w:bCs w:val="false"/>
                <w:color w:val="222222"/>
                <w:sz w:val="20"/>
                <w:szCs w:val="20"/>
              </w:rPr>
              <w:t xml:space="preserve">Datos de identificación, datos bancarios, datos de afiliación al IESS, información de contacto de emergencia.</w:t>
            </w:r>
          </w:p>
        </w:tc>
      </w:tr>
      <w:tr>
        <w:tc>
          <w:tcPr>
            <w:tcW w:type="dxa" w:w="3200"/>
            <w:shd w:fill="F2F2F2" w:val="clear"/>
            <w:tcMar>
              <w:top w:type="dxa" w:w="100"/>
              <w:left w:type="dxa" w:w="120"/>
              <w:bottom w:type="dxa" w:w="100"/>
              <w:right w:type="dxa" w:w="120"/>
            </w:tcMar>
          </w:tcPr>
          <w:p>
            <w:r>
              <w:rPr>
                <w:b/>
                <w:bCs/>
                <w:color w:val="222222"/>
                <w:sz w:val="20"/>
                <w:szCs w:val="20"/>
              </w:rPr>
              <w:t xml:space="preserve">Proveedores</w:t>
            </w:r>
          </w:p>
        </w:tc>
        <w:tc>
          <w:tcPr>
            <w:tcW w:type="dxa" w:w="5826"/>
            <w:tcMar>
              <w:top w:type="dxa" w:w="100"/>
              <w:left w:type="dxa" w:w="120"/>
              <w:bottom w:type="dxa" w:w="100"/>
              <w:right w:type="dxa" w:w="120"/>
            </w:tcMar>
          </w:tcPr>
          <w:p>
            <w:r>
              <w:rPr>
                <w:b w:val="false"/>
                <w:bCs w:val="false"/>
                <w:color w:val="222222"/>
                <w:sz w:val="20"/>
                <w:szCs w:val="20"/>
              </w:rPr>
              <w:t xml:space="preserve">Razón social, RUC, datos de contacto y de facturación.</w:t>
            </w:r>
          </w:p>
        </w:tc>
      </w:tr>
    </w:tbl>
    <w:p>
      <w:pPr>
        <w:pStyle w:val="Heading1"/>
        <w:pBdr>
          <w:bottom w:val="single" w:color="D9D9D9" w:sz="4" w:space="4"/>
        </w:pBdr>
        <w:spacing w:after="140" w:before="320"/>
      </w:pPr>
      <w:r>
        <w:rPr>
          <w:b/>
          <w:bCs/>
          <w:color w:val="1F3B4D"/>
          <w:sz w:val="26"/>
          <w:szCs w:val="26"/>
        </w:rPr>
        <w:t xml:space="preserve">3. Finalidades del tratamiento</w:t>
      </w:r>
    </w:p>
    <w:p>
      <w:pPr>
        <w:pStyle w:val="ListParagraph"/>
        <w:numPr>
          <w:ilvl w:val="0"/>
          <w:numId w:val="1"/>
        </w:numPr>
        <w:spacing w:after="80"/>
        <w:jc w:val="both"/>
      </w:pPr>
      <w:r>
        <w:rPr>
          <w:sz w:val="21"/>
          <w:szCs w:val="21"/>
        </w:rPr>
        <w:t xml:space="preserve">Gestionar la venta, entrega y garantía de los productos adquiridos.</w:t>
      </w:r>
    </w:p>
    <w:p>
      <w:pPr>
        <w:pStyle w:val="ListParagraph"/>
        <w:numPr>
          <w:ilvl w:val="0"/>
          <w:numId w:val="1"/>
        </w:numPr>
        <w:spacing w:after="80"/>
        <w:jc w:val="both"/>
      </w:pPr>
      <w:r>
        <w:rPr>
          <w:sz w:val="21"/>
          <w:szCs w:val="21"/>
        </w:rPr>
        <w:t xml:space="preserve">Emitir comprobantes de venta y cumplir obligaciones tributarias ante el SRI.</w:t>
      </w:r>
    </w:p>
    <w:p>
      <w:pPr>
        <w:pStyle w:val="ListParagraph"/>
        <w:numPr>
          <w:ilvl w:val="0"/>
          <w:numId w:val="1"/>
        </w:numPr>
        <w:spacing w:after="80"/>
        <w:jc w:val="both"/>
      </w:pPr>
      <w:r>
        <w:rPr>
          <w:sz w:val="21"/>
          <w:szCs w:val="21"/>
        </w:rPr>
        <w:t xml:space="preserve">Administrar procesos de selección y la relación laboral con los colaboradores, incluyendo el pago de remuneraciones y el reporte al IESS.</w:t>
      </w:r>
    </w:p>
    <w:p>
      <w:pPr>
        <w:pStyle w:val="ListParagraph"/>
        <w:numPr>
          <w:ilvl w:val="0"/>
          <w:numId w:val="1"/>
        </w:numPr>
        <w:spacing w:after="80"/>
        <w:jc w:val="both"/>
      </w:pPr>
      <w:r>
        <w:rPr>
          <w:sz w:val="21"/>
          <w:szCs w:val="21"/>
        </w:rPr>
        <w:t xml:space="preserve">Enviar comunicaciones comerciales, promociones o novedades de catálogo, únicamente cuando el titular haya otorgado su consentimiento expreso.</w:t>
      </w:r>
    </w:p>
    <w:p>
      <w:pPr>
        <w:pStyle w:val="ListParagraph"/>
        <w:numPr>
          <w:ilvl w:val="0"/>
          <w:numId w:val="1"/>
        </w:numPr>
        <w:spacing w:after="80"/>
        <w:jc w:val="both"/>
      </w:pPr>
      <w:r>
        <w:rPr>
          <w:sz w:val="21"/>
          <w:szCs w:val="21"/>
        </w:rPr>
        <w:t xml:space="preserve">Atender requerimientos de autoridades públicas competentes.</w:t>
      </w:r>
    </w:p>
    <w:p>
      <w:pPr>
        <w:pStyle w:val="Heading1"/>
        <w:pBdr>
          <w:bottom w:val="single" w:color="D9D9D9" w:sz="4" w:space="4"/>
        </w:pBdr>
        <w:spacing w:after="140" w:before="320"/>
      </w:pPr>
      <w:r>
        <w:rPr>
          <w:b/>
          <w:bCs/>
          <w:color w:val="1F3B4D"/>
          <w:sz w:val="26"/>
          <w:szCs w:val="26"/>
        </w:rPr>
        <w:t xml:space="preserve">4. Base de legitimación</w:t>
      </w:r>
    </w:p>
    <w:p>
      <w:pPr>
        <w:spacing w:after="140"/>
        <w:jc w:val="both"/>
      </w:pPr>
      <w:r>
        <w:rPr>
          <w:sz w:val="21"/>
          <w:szCs w:val="21"/>
        </w:rPr>
        <w:t xml:space="preserve">El tratamiento de datos se realiza sobre la base del consentimiento del titular, la ejecución de una relación contractual (compra-venta o relación laboral), y el cumplimiento de obligaciones legales tributarias y laborales, conforme a los Arts. 7 y 8 de la LOPDP.</w:t>
      </w:r>
    </w:p>
    <w:p>
      <w:pPr>
        <w:pStyle w:val="Heading1"/>
        <w:pBdr>
          <w:bottom w:val="single" w:color="D9D9D9" w:sz="4" w:space="4"/>
        </w:pBdr>
        <w:spacing w:after="140" w:before="320"/>
      </w:pPr>
      <w:r>
        <w:rPr>
          <w:b/>
          <w:bCs/>
          <w:color w:val="1F3B4D"/>
          <w:sz w:val="26"/>
          <w:szCs w:val="26"/>
        </w:rPr>
        <w:t xml:space="preserve">5. Derechos de los titulares (Derechos ARCO+)</w:t>
      </w:r>
    </w:p>
    <w:p>
      <w:pPr>
        <w:spacing w:after="140"/>
        <w:jc w:val="both"/>
      </w:pPr>
      <w:r>
        <w:rPr>
          <w:sz w:val="21"/>
          <w:szCs w:val="21"/>
        </w:rPr>
        <w:t xml:space="preserve">Conforme a la LOPDP, todo titular de datos personales puede ejercer en cualquier momento los siguientes derechos, de forma gratuita:</w:t>
      </w:r>
    </w:p>
    <w:p>
      <w:pPr>
        <w:pStyle w:val="ListParagraph"/>
        <w:numPr>
          <w:ilvl w:val="0"/>
          <w:numId w:val="1"/>
        </w:numPr>
        <w:spacing w:after="80"/>
        <w:jc w:val="both"/>
      </w:pPr>
      <w:r>
        <w:rPr>
          <w:sz w:val="21"/>
          <w:szCs w:val="21"/>
        </w:rPr>
        <w:t xml:space="preserve">Acceso: conocer qué datos personales suyos son tratados por la Empresa y con qué finalidad.</w:t>
      </w:r>
    </w:p>
    <w:p>
      <w:pPr>
        <w:pStyle w:val="ListParagraph"/>
        <w:numPr>
          <w:ilvl w:val="0"/>
          <w:numId w:val="1"/>
        </w:numPr>
        <w:spacing w:after="80"/>
        <w:jc w:val="both"/>
      </w:pPr>
      <w:r>
        <w:rPr>
          <w:sz w:val="21"/>
          <w:szCs w:val="21"/>
        </w:rPr>
        <w:t xml:space="preserve">Rectificación: solicitar la corrección de datos inexactos o desactualizados.</w:t>
      </w:r>
    </w:p>
    <w:p>
      <w:pPr>
        <w:pStyle w:val="ListParagraph"/>
        <w:numPr>
          <w:ilvl w:val="0"/>
          <w:numId w:val="1"/>
        </w:numPr>
        <w:spacing w:after="80"/>
        <w:jc w:val="both"/>
      </w:pPr>
      <w:r>
        <w:rPr>
          <w:sz w:val="21"/>
          <w:szCs w:val="21"/>
        </w:rPr>
        <w:t xml:space="preserve">Cancelación/Eliminación: solicitar la eliminación de sus datos cuando ya no sean necesarios para la finalidad que motivó su recolección.</w:t>
      </w:r>
    </w:p>
    <w:p>
      <w:pPr>
        <w:pStyle w:val="ListParagraph"/>
        <w:numPr>
          <w:ilvl w:val="0"/>
          <w:numId w:val="1"/>
        </w:numPr>
        <w:spacing w:after="80"/>
        <w:jc w:val="both"/>
      </w:pPr>
      <w:r>
        <w:rPr>
          <w:sz w:val="21"/>
          <w:szCs w:val="21"/>
        </w:rPr>
        <w:t xml:space="preserve">Oposición: oponerse al tratamiento de sus datos para fines específicos, como el envío de comunicaciones comerciales.</w:t>
      </w:r>
    </w:p>
    <w:p>
      <w:pPr>
        <w:pStyle w:val="ListParagraph"/>
        <w:numPr>
          <w:ilvl w:val="0"/>
          <w:numId w:val="1"/>
        </w:numPr>
        <w:spacing w:after="80"/>
        <w:jc w:val="both"/>
      </w:pPr>
      <w:r>
        <w:rPr>
          <w:sz w:val="21"/>
          <w:szCs w:val="21"/>
        </w:rPr>
        <w:t xml:space="preserve">Portabilidad: solicitar la entrega de sus datos en un formato estructurado para transferirlos a otro responsable.</w:t>
      </w:r>
    </w:p>
    <w:p>
      <w:pPr>
        <w:pStyle w:val="ListParagraph"/>
        <w:numPr>
          <w:ilvl w:val="0"/>
          <w:numId w:val="1"/>
        </w:numPr>
        <w:spacing w:after="80"/>
        <w:jc w:val="both"/>
      </w:pPr>
      <w:r>
        <w:rPr>
          <w:sz w:val="21"/>
          <w:szCs w:val="21"/>
        </w:rPr>
        <w:t xml:space="preserve">Revocatoria del consentimiento: retirar en cualquier momento el consentimiento previamente otorgado.</w:t>
      </w:r>
    </w:p>
    <w:p>
      <w:pPr>
        <w:spacing w:after="140"/>
        <w:jc w:val="both"/>
      </w:pPr>
      <w:r>
        <w:rPr>
          <w:sz w:val="21"/>
          <w:szCs w:val="21"/>
        </w:rPr>
        <w:t xml:space="preserve">Estas solicitudes pueden presentarse por escrito al correo de contacto que la Empresa designe para protección de datos, y serán atendidas dentro de los plazos establecidos por la LOPDP y su Reglamento.</w:t>
      </w:r>
    </w:p>
    <w:p>
      <w:pPr>
        <w:pStyle w:val="Heading1"/>
        <w:pBdr>
          <w:bottom w:val="single" w:color="D9D9D9" w:sz="4" w:space="4"/>
        </w:pBdr>
        <w:spacing w:after="140" w:before="320"/>
      </w:pPr>
      <w:r>
        <w:rPr>
          <w:b/>
          <w:bCs/>
          <w:color w:val="1F3B4D"/>
          <w:sz w:val="26"/>
          <w:szCs w:val="26"/>
        </w:rPr>
        <w:t xml:space="preserve">6. Conservación de los datos</w:t>
      </w:r>
    </w:p>
    <w:p>
      <w:pPr>
        <w:spacing w:after="140"/>
        <w:jc w:val="both"/>
      </w:pPr>
      <w:r>
        <w:rPr>
          <w:sz w:val="21"/>
          <w:szCs w:val="21"/>
        </w:rPr>
        <w:t xml:space="preserve">Los datos personales se conservarán únicamente durante el tiempo necesario para cumplir la finalidad para la que fueron recabados y las obligaciones legales aplicables (por ejemplo, los registros contables y laborales se conservan conforme a los plazos exigidos por el SRI y el Ministerio del Trabajo). Los datos de postulantes no seleccionados se eliminarán una vez concluido el proceso, salvo consentimiento expreso para conservarlos en un banco de candidatos.</w:t>
      </w:r>
    </w:p>
    <w:p>
      <w:pPr>
        <w:pStyle w:val="Heading1"/>
        <w:pBdr>
          <w:bottom w:val="single" w:color="D9D9D9" w:sz="4" w:space="4"/>
        </w:pBdr>
        <w:spacing w:after="140" w:before="320"/>
      </w:pPr>
      <w:r>
        <w:rPr>
          <w:b/>
          <w:bCs/>
          <w:color w:val="1F3B4D"/>
          <w:sz w:val="26"/>
          <w:szCs w:val="26"/>
        </w:rPr>
        <w:t xml:space="preserve">7. Encargados del tratamiento y transferencias</w:t>
      </w:r>
    </w:p>
    <w:p>
      <w:pPr>
        <w:spacing w:after="140"/>
        <w:jc w:val="both"/>
      </w:pPr>
      <w:r>
        <w:rPr>
          <w:sz w:val="21"/>
          <w:szCs w:val="21"/>
        </w:rPr>
        <w:t xml:space="preserve">La Empresa podrá compartir datos personales con terceros estrictamente necesarios para su operación, tales como empresas de mensajería/transporte para la entrega de pedidos, pasarelas de pago, proveedores de hosting del sitio web, y el IESS o el SRI en cumplimiento de obligaciones legales. En todos los casos se exigirá a dichos terceros el cumplimiento de medidas de seguridad y confidencialidad adecuadas, conforme al Art. 32 de la LOPDP.</w:t>
      </w:r>
    </w:p>
    <w:p>
      <w:pPr>
        <w:spacing w:after="140"/>
        <w:jc w:val="both"/>
      </w:pPr>
      <w:r>
        <w:rPr>
          <w:sz w:val="21"/>
          <w:szCs w:val="21"/>
        </w:rPr>
        <w:t xml:space="preserve">La Empresa no realizará transferencias internacionales de datos personales salvo que existan garantías adecuadas de protección, conforme al Capítulo correspondiente de la LOPDP.</w:t>
      </w:r>
    </w:p>
    <w:p>
      <w:pPr>
        <w:pStyle w:val="Heading1"/>
        <w:pBdr>
          <w:bottom w:val="single" w:color="D9D9D9" w:sz="4" w:space="4"/>
        </w:pBdr>
        <w:spacing w:after="140" w:before="320"/>
      </w:pPr>
      <w:r>
        <w:rPr>
          <w:b/>
          <w:bCs/>
          <w:color w:val="1F3B4D"/>
          <w:sz w:val="26"/>
          <w:szCs w:val="26"/>
        </w:rPr>
        <w:t xml:space="preserve">8. Medidas de seguridad</w:t>
      </w:r>
    </w:p>
    <w:p>
      <w:pPr>
        <w:pStyle w:val="ListParagraph"/>
        <w:numPr>
          <w:ilvl w:val="0"/>
          <w:numId w:val="1"/>
        </w:numPr>
        <w:spacing w:after="80"/>
        <w:jc w:val="both"/>
      </w:pPr>
      <w:r>
        <w:rPr>
          <w:sz w:val="21"/>
          <w:szCs w:val="21"/>
        </w:rPr>
        <w:t xml:space="preserve">Acceso restringido a los sistemas que contienen datos personales, mediante usuarios y contraseñas individuales.</w:t>
      </w:r>
    </w:p>
    <w:p>
      <w:pPr>
        <w:pStyle w:val="ListParagraph"/>
        <w:numPr>
          <w:ilvl w:val="0"/>
          <w:numId w:val="1"/>
        </w:numPr>
        <w:spacing w:after="80"/>
        <w:jc w:val="both"/>
      </w:pPr>
      <w:r>
        <w:rPr>
          <w:sz w:val="21"/>
          <w:szCs w:val="21"/>
        </w:rPr>
        <w:t xml:space="preserve">Copias de seguridad periódicas de la información de clientes y colaboradores.</w:t>
      </w:r>
    </w:p>
    <w:p>
      <w:pPr>
        <w:pStyle w:val="ListParagraph"/>
        <w:numPr>
          <w:ilvl w:val="0"/>
          <w:numId w:val="1"/>
        </w:numPr>
        <w:spacing w:after="80"/>
        <w:jc w:val="both"/>
      </w:pPr>
      <w:r>
        <w:rPr>
          <w:sz w:val="21"/>
          <w:szCs w:val="21"/>
        </w:rPr>
        <w:t xml:space="preserve">Cifrado de datos sensibles en tránsito cuando se manejen a través del sitio web o plataformas de pago.</w:t>
      </w:r>
    </w:p>
    <w:p>
      <w:pPr>
        <w:pStyle w:val="ListParagraph"/>
        <w:numPr>
          <w:ilvl w:val="0"/>
          <w:numId w:val="1"/>
        </w:numPr>
        <w:spacing w:after="80"/>
        <w:jc w:val="both"/>
      </w:pPr>
      <w:r>
        <w:rPr>
          <w:sz w:val="21"/>
          <w:szCs w:val="21"/>
        </w:rPr>
        <w:t xml:space="preserve">Confidencialidad contractual para el personal que tenga acceso a bases de datos de clientes o colaboradores.</w:t>
      </w:r>
    </w:p>
    <w:p>
      <w:pPr>
        <w:pStyle w:val="Heading1"/>
        <w:pBdr>
          <w:bottom w:val="single" w:color="D9D9D9" w:sz="4" w:space="4"/>
        </w:pBdr>
        <w:spacing w:after="140" w:before="320"/>
      </w:pPr>
      <w:r>
        <w:rPr>
          <w:b/>
          <w:bCs/>
          <w:color w:val="1F3B4D"/>
          <w:sz w:val="26"/>
          <w:szCs w:val="26"/>
        </w:rPr>
        <w:t xml:space="preserve">9. Autoridad de control</w:t>
      </w:r>
    </w:p>
    <w:p>
      <w:pPr>
        <w:spacing w:after="140"/>
        <w:jc w:val="both"/>
      </w:pPr>
      <w:r>
        <w:rPr>
          <w:sz w:val="21"/>
          <w:szCs w:val="21"/>
        </w:rPr>
        <w:t xml:space="preserve">Los titulares que consideren vulnerados sus derechos pueden presentar su reclamo ante la Superintendencia de Protección de Datos Personales del Ecuador, entidad rectora en esta materia, sin perjuicio de las acciones legales que correspondan.</w:t>
      </w:r>
    </w:p>
    <w:p>
      <w:pPr>
        <w:pStyle w:val="Heading1"/>
        <w:pBdr>
          <w:bottom w:val="single" w:color="D9D9D9" w:sz="4" w:space="4"/>
        </w:pBdr>
        <w:spacing w:after="140" w:before="320"/>
      </w:pPr>
      <w:r>
        <w:rPr>
          <w:b/>
          <w:bCs/>
          <w:color w:val="1F3B4D"/>
          <w:sz w:val="26"/>
          <w:szCs w:val="26"/>
        </w:rPr>
        <w:t xml:space="preserve">10. Contacto</w:t>
      </w:r>
    </w:p>
    <w:p>
      <w:pPr>
        <w:spacing w:after="140"/>
        <w:jc w:val="both"/>
      </w:pPr>
      <w:r>
        <w:rPr>
          <w:sz w:val="21"/>
          <w:szCs w:val="21"/>
        </w:rPr>
        <w:t xml:space="preserve">Para ejercer sus derechos o realizar consultas sobre esta política, el titular puede escribir al correo electrónico y dirección física que MEGALÁMPARAS designe formalmente como punto de contacto de protección de datos, mismos que deberán completarse antes de la publicación oficial de este documento.</w:t>
      </w:r>
    </w:p>
    <w:p>
      <w:pPr>
        <w:pStyle w:val="Heading1"/>
        <w:pBdr>
          <w:bottom w:val="single" w:color="D9D9D9" w:sz="4" w:space="4"/>
        </w:pBdr>
        <w:spacing w:after="140" w:before="320"/>
      </w:pPr>
      <w:r>
        <w:rPr>
          <w:b/>
          <w:bCs/>
          <w:color w:val="1F3B4D"/>
          <w:sz w:val="26"/>
          <w:szCs w:val="26"/>
        </w:rPr>
        <w:t xml:space="preserve">11. Vigencia y actualizaciones</w:t>
      </w:r>
    </w:p>
    <w:p>
      <w:pPr>
        <w:spacing w:after="140"/>
        <w:jc w:val="both"/>
      </w:pPr>
      <w:r>
        <w:rPr>
          <w:sz w:val="21"/>
          <w:szCs w:val="21"/>
        </w:rPr>
        <w:t xml:space="preserve">Esta política podrá actualizarse para reflejar cambios normativos o en los procesos de la Empresa. La versión vigente estará siempre disponible en el sitio web de MEGALÁMPARAS y/o en sus puntos de atención.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Megalámparas · Salcedo, Ecuador · Documento interno — plantilla de referencia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C" w:sz="6" w:space="4"/>
      </w:pBdr>
      <w:jc w:val="right"/>
    </w:pPr>
    <w:r>
      <w:rPr>
        <w:b/>
        <w:bCs/>
        <w:color w:val="1F3B4D"/>
        <w:sz w:val="18"/>
        <w:szCs w:val="18"/>
      </w:rPr>
      <w:t xml:space="preserve">MEGALÁMPARAS</w:t>
    </w:r>
    <w:r>
      <w:rPr>
        <w:color w:val="666666"/>
        <w:sz w:val="16"/>
        <w:szCs w:val="16"/>
      </w:rPr>
      <w:t xml:space="preserve">  ·  Política de Privacidad y Protección de Datos Personales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2026-07-09T02:00:47.182Z</dcterms:created>
  <dcterms:modified xsi:type="dcterms:W3CDTF">2026-07-09T02:00:47.183Z</dcterms:modified>
</cp:coreProperties>
</file>

<file path=docProps/custom.xml><?xml version="1.0" encoding="utf-8"?>
<Properties xmlns="http://schemas.openxmlformats.org/officeDocument/2006/custom-properties" xmlns:vt="http://schemas.openxmlformats.org/officeDocument/2006/docPropsVTypes"/>
</file>