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B4D"/>
          <w:sz w:val="40"/>
          <w:szCs w:val="40"/>
        </w:rPr>
        <w:t xml:space="preserve">MEGALÁMPARAS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Iluminación decorativa y mobiliario de exterior · Salcedo, Ecuador</w:t>
      </w:r>
    </w:p>
    <w:p>
      <w:pPr>
        <w:pBdr>
          <w:bottom w:val="single" w:color="C98A2C" w:sz="12" w:space="6"/>
        </w:pBdr>
        <w:spacing w:after="300"/>
      </w:pPr>
      <w:r>
        <w:rPr>
          <w:sz w:val="4"/>
          <w:szCs w:val="4"/>
        </w:rPr>
        <w:t xml:space="preserve"> </w:t>
      </w:r>
    </w:p>
    <w:p>
      <w:pPr>
        <w:spacing w:after="80"/>
      </w:pPr>
      <w:r>
        <w:rPr>
          <w:b/>
          <w:bCs/>
          <w:color w:val="1F3B4D"/>
          <w:sz w:val="32"/>
          <w:szCs w:val="32"/>
        </w:rPr>
        <w:t xml:space="preserve">Reglamento Interno de Trabajo</w:t>
      </w:r>
    </w:p>
    <w:p>
      <w:pPr>
        <w:spacing w:after="400"/>
      </w:pPr>
      <w:r>
        <w:rPr>
          <w:color w:val="444444"/>
          <w:sz w:val="22"/>
          <w:szCs w:val="22"/>
        </w:rPr>
        <w:t xml:space="preserve">Políticas generales de la empresa · Versión 1.0 — Julio 2026</w:t>
      </w:r>
    </w:p>
    <w:p>
      <w:pPr>
        <w:pBdr>
          <w:left w:val="single" w:color="C98A2C" w:sz="12" w:space="8"/>
        </w:pBdr>
        <w:shd w:fill="F2F2F2" w:val="clear"/>
        <w:spacing w:after="200" w:before="120"/>
      </w:pPr>
      <w:r>
        <w:rPr>
          <w:i/>
          <w:iCs/>
          <w:color w:val="555555"/>
          <w:sz w:val="19"/>
          <w:szCs w:val="19"/>
        </w:rPr>
        <w:t xml:space="preserve">Documento plantilla elaborado con base en el Código del Trabajo del Ecuador y normativa conexa del Ministerio del Trabajo. Antes de su aplicación, debe ser revisado por un profesional del derecho laboral y aprobado/registrado ante la Dirección Regional del Trabajo correspondiente, conforme al Art. 64 del Código del Trabajo.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I — Disposiciones Generales</w:t>
      </w:r>
    </w:p>
    <w:p>
      <w:pPr>
        <w:spacing w:after="140"/>
        <w:jc w:val="both"/>
      </w:pPr>
      <w:r>
        <w:rPr>
          <w:sz w:val="21"/>
          <w:szCs w:val="21"/>
        </w:rPr>
        <w:t xml:space="preserve">El presente Reglamento Interno de Trabajo regula las relaciones laborales entre MEGALÁMPARAS (en adelante "la Empresa"), dedicada a la comercialización de iluminación decorativa y mobiliario de exterior, con domicilio en Salcedo, provincia de Cotopaxi, Ecuador, y todo el personal que preste sus servicios bajo relación de dependencia, de conformidad con el Código del Trabajo y demás normativa laboral vigente en el Ecuador.</w:t>
      </w:r>
    </w:p>
    <w:p>
      <w:pPr>
        <w:spacing w:after="140"/>
        <w:jc w:val="both"/>
      </w:pPr>
      <w:r>
        <w:rPr>
          <w:sz w:val="21"/>
          <w:szCs w:val="21"/>
        </w:rPr>
        <w:t xml:space="preserve">Este reglamento es de cumplimiento obligatorio para todos los trabajadores de la Empresa, cualquiera sea su cargo, modalidad de contratación o lugar de trabajo (oficinas, bodega, punto de venta o teletrabajo, cuando aplique).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II — De la Jornada de Trabajo</w:t>
      </w:r>
    </w:p>
    <w:p>
      <w:pPr>
        <w:pStyle w:val="Heading2"/>
        <w:spacing w:after="100" w:before="220"/>
      </w:pPr>
      <w:r>
        <w:rPr>
          <w:b/>
          <w:bCs/>
          <w:color w:val="C98A2C"/>
          <w:sz w:val="22"/>
          <w:szCs w:val="22"/>
        </w:rPr>
        <w:t xml:space="preserve">Horario laboral</w:t>
      </w:r>
    </w:p>
    <w:p>
      <w:pPr>
        <w:spacing w:after="140"/>
        <w:jc w:val="both"/>
      </w:pPr>
      <w:r>
        <w:rPr>
          <w:sz w:val="21"/>
          <w:szCs w:val="21"/>
        </w:rPr>
        <w:t xml:space="preserve">La jornada ordinaria de trabajo es de ocho (8) horas diarias y cuarenta (40) horas semanales, de lunes a viernes, en el horario de 08h30 a 17h30, con una (1) hora de almuerzo no imputable a la jornada, conforme al Art. 47 del Código del Trabajo. Los horarios específicos por área (ventas, bodega, atención al cliente) serán comunicados por escrito al momento de la contratación.</w:t>
      </w:r>
    </w:p>
    <w:p>
      <w:pPr>
        <w:pStyle w:val="Heading2"/>
        <w:spacing w:after="100" w:before="220"/>
      </w:pPr>
      <w:r>
        <w:rPr>
          <w:b/>
          <w:bCs/>
          <w:color w:val="C98A2C"/>
          <w:sz w:val="22"/>
          <w:szCs w:val="22"/>
        </w:rPr>
        <w:t xml:space="preserve">Horas suplementarias y extraordinarias</w:t>
      </w:r>
    </w:p>
    <w:p>
      <w:pPr>
        <w:spacing w:after="140"/>
        <w:jc w:val="both"/>
      </w:pPr>
      <w:r>
        <w:rPr>
          <w:sz w:val="21"/>
          <w:szCs w:val="21"/>
        </w:rPr>
        <w:t xml:space="preserve">El trabajo fuera de la jornada ordinaria será considerado suplementario o extraordinario y se remunerará conforme a los recargos establecidos en el Art. 55 del Código del Trabajo (50% de recargo en horas suplementarias diurnas hasta las 24h00, 100% entre las 24h00 y 06h00, y en días de descanso obligatorio). Todo trabajo suplementario debe ser previamente autorizado por el jefe inmediato.</w:t>
      </w:r>
    </w:p>
    <w:p>
      <w:pPr>
        <w:pStyle w:val="Heading2"/>
        <w:spacing w:after="100" w:before="220"/>
      </w:pPr>
      <w:r>
        <w:rPr>
          <w:b/>
          <w:bCs/>
          <w:color w:val="C98A2C"/>
          <w:sz w:val="22"/>
          <w:szCs w:val="22"/>
        </w:rPr>
        <w:t xml:space="preserve">Registro de asistencia</w:t>
      </w:r>
    </w:p>
    <w:p>
      <w:pPr>
        <w:spacing w:after="140"/>
        <w:jc w:val="both"/>
      </w:pPr>
      <w:r>
        <w:rPr>
          <w:sz w:val="21"/>
          <w:szCs w:val="21"/>
        </w:rPr>
        <w:t xml:space="preserve">Todo el personal debe registrar su ingreso y salida a través del medio que la Empresa determine (reloj biométrico, hoja de control u otro). Los atrasos y ausencias injustificadas se sujetarán al régimen disciplinario descrito en el Capítulo VII.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III — Remuneración y Beneficios de Ley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5826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Sueldo básico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inferior al Salario Básico Unificado (SBU) vigente fijado por el Ministerio del Trabajo, según la función y tabla sectorial aplicable.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Décimo Tercer Sueldo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Equivalente a la doceava parte de las remuneraciones percibidas en el año; se paga hasta el 24 de diciembre de cada año.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Décimo Cuarto Sueldo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Equivalente a un Salario Básico Unificado; se paga hasta el 15 de agosto (régimen Sierra/Oriente) o hasta el 15 de marzo (régimen Costa/Galápagos), según corresponda.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Vacaciones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días de descanso anual remunerado luego de 11 meses continuos de servicio; a partir del quinto año, un día adicional por cada año excedente (Art. 69 del Código del Trabajo).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Fondos de Reserva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partir del segundo año de trabajo continuo, conforme lo dispuesto por el IESS.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Afiliación al IESS</w:t>
            </w:r>
          </w:p>
        </w:tc>
        <w:tc>
          <w:tcPr>
            <w:tcW w:type="dxa" w:w="5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Obligatoria desde el primer día de trabajo, sin excepción.</w:t>
            </w:r>
          </w:p>
        </w:tc>
      </w:tr>
    </w:tbl>
    <w:p>
      <w:pPr>
        <w:pBdr>
          <w:left w:val="single" w:color="C98A2C" w:sz="12" w:space="8"/>
        </w:pBdr>
        <w:shd w:fill="F2F2F2" w:val="clear"/>
        <w:spacing w:after="200" w:before="120"/>
      </w:pPr>
      <w:r>
        <w:rPr>
          <w:i/>
          <w:iCs/>
          <w:color w:val="555555"/>
          <w:sz w:val="19"/>
          <w:szCs w:val="19"/>
        </w:rPr>
        <w:t xml:space="preserve">Los valores y porcentajes citados corresponden a la normativa vigente al momento de elaboración de este documento y deben verificarse cada año contra las tablas oficiales del Ministerio del Trabajo y el IESS, ya que el SBU y las tablas sectoriales se actualizan periódicamente.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IV — Derechos y Obligaciones de los Trabajadores</w:t>
      </w:r>
    </w:p>
    <w:p>
      <w:pPr>
        <w:pStyle w:val="Heading2"/>
        <w:spacing w:after="100" w:before="220"/>
      </w:pPr>
      <w:r>
        <w:rPr>
          <w:b/>
          <w:bCs/>
          <w:color w:val="C98A2C"/>
          <w:sz w:val="22"/>
          <w:szCs w:val="22"/>
        </w:rPr>
        <w:t xml:space="preserve">Derechos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Recibir un trato digno, respetuoso y libre de discriminación o acoso laboral.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Percibir su remuneración de forma puntual y completa, conforme a la ley y a su contrato.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Acceder a capacitación relacionada con sus funciones.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Gozar de un ambiente de trabajo seguro, conforme a la normativa de seguridad y salud ocupacional.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Ejercer sus derechos sindicales y de asociación reconocidos por la Constitución y la ley.</w:t>
      </w:r>
    </w:p>
    <w:p>
      <w:pPr>
        <w:pStyle w:val="Heading2"/>
        <w:spacing w:after="100" w:before="220"/>
      </w:pPr>
      <w:r>
        <w:rPr>
          <w:b/>
          <w:bCs/>
          <w:color w:val="C98A2C"/>
          <w:sz w:val="22"/>
          <w:szCs w:val="22"/>
        </w:rPr>
        <w:t xml:space="preserve">Obligaciones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Cumplir con las labores asignadas con diligencia, honestidad y responsabilidad.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Cuidar los productos, herramientas, vehículos y demás bienes de la Empresa.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Guardar reserva sobre información confidencial de clientes, proveedores y precios internos.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Cumplir el horario de trabajo y registrar su asistencia de forma veraz.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Observar las normas de seguridad al manipular productos de vidrio, metal e instalaciones eléctricas propias del giro del negocio.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V — Seguridad y Salud Ocupacional</w:t>
      </w:r>
    </w:p>
    <w:p>
      <w:pPr>
        <w:spacing w:after="140"/>
        <w:jc w:val="both"/>
      </w:pPr>
      <w:r>
        <w:rPr>
          <w:sz w:val="21"/>
          <w:szCs w:val="21"/>
        </w:rPr>
        <w:t xml:space="preserve">La Empresa se compromete a mantener condiciones de trabajo seguras en bodega, punto de venta y áreas administrativas, incluyendo señalización adecuada, manejo seguro de mercadería frágil (lámparas, vidrio, cerámica) y provisión de equipo de protección personal cuando la función lo requiera, en cumplimiento del Reglamento de Seguridad y Salud de los Trabajadores y Mejoramiento del Medio Ambiente de Trabajo.</w:t>
      </w:r>
    </w:p>
    <w:p>
      <w:pPr>
        <w:spacing w:after="140"/>
        <w:jc w:val="both"/>
      </w:pPr>
      <w:r>
        <w:rPr>
          <w:sz w:val="21"/>
          <w:szCs w:val="21"/>
        </w:rPr>
        <w:t xml:space="preserve">Todo accidente de trabajo, por leve que parezca, debe ser reportado de inmediato al jefe inmediato y registrado conforme a los procedimientos del IESS (Seguro General de Riesgos del Trabajo).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VI — Permisos, Licencias e Inasistencias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Licencia por maternidad: 12 semanas remuneradas, conforme al Art. 152 del Código del Trabajo.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Licencia por paternidad: entre 10 y 25 días según el caso, conforme al Art. 152.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Permiso por calamidad doméstica o enfermedad debidamente justificada, con la documentación de respaldo correspondiente.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1"/>
          <w:szCs w:val="21"/>
        </w:rPr>
        <w:t xml:space="preserve">Permisos personales: deben solicitarse con al menos 24 horas de anticipación al jefe inmediato, salvo casos de emergencia.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VII — Régimen Disciplinario</w:t>
      </w:r>
    </w:p>
    <w:p>
      <w:pPr>
        <w:spacing w:after="140"/>
        <w:jc w:val="both"/>
      </w:pPr>
      <w:r>
        <w:rPr>
          <w:sz w:val="21"/>
          <w:szCs w:val="21"/>
        </w:rPr>
        <w:t xml:space="preserve">Las faltas se clasifican en leves y graves. Las faltas leves (atrasos reiterados, incumplimiento de procedimientos internos, uso inadecuado de uniformes) se sancionan con amonestación verbal, escrita o multa conforme al Art. 44 del Código del Trabajo (hasta el 10% de la remuneración). Las faltas graves —definidas en el Art. 172 del Código del Trabajo, como el hurto, la agresión física, el abandono injustificado del trabajo o la revelación de información confidencial— podrán derivar en visto bueno solicitado ante la autoridad de trabajo competente.</w:t>
      </w:r>
    </w:p>
    <w:p>
      <w:pPr>
        <w:pBdr>
          <w:left w:val="single" w:color="C98A2C" w:sz="12" w:space="8"/>
        </w:pBdr>
        <w:shd w:fill="F2F2F2" w:val="clear"/>
        <w:spacing w:after="200" w:before="120"/>
      </w:pPr>
      <w:r>
        <w:rPr>
          <w:i/>
          <w:iCs/>
          <w:color w:val="555555"/>
          <w:sz w:val="19"/>
          <w:szCs w:val="19"/>
        </w:rPr>
        <w:t xml:space="preserve">Ninguna sanción puede aplicarse sin el debido proceso. El despido intempestivo o la terminación sin sujetarse a las causales legales generan responsabilidad patronal e indemnizaciones a favor del trabajador conforme al Código del Trabajo.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VIII — Terminación de la Relación Laboral</w:t>
      </w:r>
    </w:p>
    <w:p>
      <w:pPr>
        <w:spacing w:after="140"/>
        <w:jc w:val="both"/>
      </w:pPr>
      <w:r>
        <w:rPr>
          <w:sz w:val="21"/>
          <w:szCs w:val="21"/>
        </w:rPr>
        <w:t xml:space="preserve">La relación laboral podrá terminar por las causales previstas en el Art. 169 del Código del Trabajo: mutuo acuerdo, conclusión de la obra o servicio, muerte o incapacidad del trabajador o del empleador, caso fortuito o fuerza mayor, visto bueno solicitado por cualquiera de las partes, o desahucio presentado por el trabajador. En todos los casos se liquidarán los haberes correspondientes (proporcionales de décimo tercero, décimo cuarto, vacaciones no gozadas y demás valores pendientes) dentro de los plazos de ley.</w:t>
      </w:r>
    </w:p>
    <w:p>
      <w:pPr>
        <w:pStyle w:val="Heading1"/>
        <w:pBdr>
          <w:bottom w:val="single" w:color="D9D9D9" w:sz="4" w:space="4"/>
        </w:pBdr>
        <w:spacing w:after="140" w:before="320"/>
      </w:pPr>
      <w:r>
        <w:rPr>
          <w:b/>
          <w:bCs/>
          <w:color w:val="1F3B4D"/>
          <w:sz w:val="26"/>
          <w:szCs w:val="26"/>
        </w:rPr>
        <w:t xml:space="preserve">Capítulo IX — Disposiciones Finales</w:t>
      </w:r>
    </w:p>
    <w:p>
      <w:pPr>
        <w:spacing w:after="140"/>
        <w:jc w:val="both"/>
      </w:pPr>
      <w:r>
        <w:rPr>
          <w:sz w:val="21"/>
          <w:szCs w:val="21"/>
        </w:rPr>
        <w:t xml:space="preserve">Este reglamento podrá ser modificado por la Empresa cuando cambios normativos u organizacionales lo requieran, debiendo socializarse oportunamente con el personal y, de ser necesario, actualizarse el registro ante la autoridad laboral competente.</w:t>
      </w:r>
    </w:p>
    <w:p>
      <w:pPr>
        <w:spacing w:after="140"/>
        <w:jc w:val="both"/>
      </w:pPr>
      <w:r>
        <w:rPr>
          <w:sz w:val="21"/>
          <w:szCs w:val="21"/>
        </w:rPr>
        <w:t xml:space="preserve">Lo no previsto en este reglamento se sujetará a lo dispuesto por el Código del Trabajo, la Constitución de la República del Ecuador y demás normativa laboral vigente.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Megalámparas · Salcedo, Ecuador · Documento interno — plantilla de referencia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8A2C" w:sz="6" w:space="4"/>
      </w:pBdr>
      <w:jc w:val="right"/>
    </w:pPr>
    <w:r>
      <w:rPr>
        <w:b/>
        <w:bCs/>
        <w:color w:val="1F3B4D"/>
        <w:sz w:val="18"/>
        <w:szCs w:val="18"/>
      </w:rPr>
      <w:t xml:space="preserve">MEGALÁMPARAS</w:t>
    </w:r>
    <w:r>
      <w:rPr>
        <w:color w:val="666666"/>
        <w:sz w:val="16"/>
        <w:szCs w:val="16"/>
      </w:rPr>
      <w:t xml:space="preserve">  ·  Reglamento Interno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2026-07-09T01:59:49.169Z</dcterms:created>
  <dcterms:modified xsi:type="dcterms:W3CDTF">2026-07-09T01:59:49.184Z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