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B4D"/>
          <w:sz w:val="40"/>
          <w:szCs w:val="40"/>
        </w:rPr>
        <w:t xml:space="preserve">MEGALÁMPARAS</w:t>
      </w:r>
    </w:p>
    <w:p>
      <w:pPr>
        <w:spacing w:after="100"/>
      </w:pPr>
      <w:r>
        <w:rPr>
          <w:i/>
          <w:iCs/>
          <w:color w:val="666666"/>
          <w:sz w:val="20"/>
          <w:szCs w:val="20"/>
        </w:rPr>
        <w:t xml:space="preserve">Iluminación decorativa y mobiliario de exterior · Salcedo, Ecuador</w:t>
      </w:r>
    </w:p>
    <w:p>
      <w:pPr>
        <w:pBdr>
          <w:bottom w:val="single" w:color="C98A2C" w:sz="12" w:space="6"/>
        </w:pBdr>
        <w:spacing w:after="300"/>
      </w:pPr>
      <w:r>
        <w:rPr>
          <w:sz w:val="4"/>
          <w:szCs w:val="4"/>
        </w:rPr>
        <w:t xml:space="preserve"> </w:t>
      </w:r>
    </w:p>
    <w:p>
      <w:pPr>
        <w:spacing w:after="80"/>
      </w:pPr>
      <w:r>
        <w:rPr>
          <w:b/>
          <w:bCs/>
          <w:color w:val="1F3B4D"/>
          <w:sz w:val="32"/>
          <w:szCs w:val="32"/>
        </w:rPr>
        <w:t xml:space="preserve">Política de Contratación y Selección de Personal</w:t>
      </w:r>
    </w:p>
    <w:p>
      <w:pPr>
        <w:spacing w:after="400"/>
      </w:pPr>
      <w:r>
        <w:rPr>
          <w:color w:val="444444"/>
          <w:sz w:val="22"/>
          <w:szCs w:val="22"/>
        </w:rPr>
        <w:t xml:space="preserve">Recursos Humanos · Versión 1.0 — Julio 2026</w:t>
      </w:r>
    </w:p>
    <w:p>
      <w:pPr>
        <w:pBdr>
          <w:left w:val="single" w:color="C98A2C" w:sz="12" w:space="8"/>
        </w:pBdr>
        <w:shd w:fill="F2F2F2" w:val="clear"/>
        <w:spacing w:after="200" w:before="120"/>
      </w:pPr>
      <w:r>
        <w:rPr>
          <w:i/>
          <w:iCs/>
          <w:color w:val="555555"/>
          <w:sz w:val="19"/>
          <w:szCs w:val="19"/>
        </w:rPr>
        <w:t xml:space="preserve">Plantilla de referencia alineada al Código del Trabajo del Ecuador, la Ley Orgánica para la Justicia Laboral y Reconocimiento del Trabajo en el Hogar, y las resoluciones del Ministerio del Trabajo. Debe adaptarse y validarse legalmente antes de su implementación.</w:t>
      </w:r>
    </w:p>
    <w:p>
      <w:pPr>
        <w:pStyle w:val="Heading1"/>
        <w:pBdr>
          <w:bottom w:val="single" w:color="D9D9D9" w:sz="4" w:space="4"/>
        </w:pBdr>
        <w:spacing w:after="140" w:before="320"/>
      </w:pPr>
      <w:r>
        <w:rPr>
          <w:b/>
          <w:bCs/>
          <w:color w:val="1F3B4D"/>
          <w:sz w:val="26"/>
          <w:szCs w:val="26"/>
        </w:rPr>
        <w:t xml:space="preserve">1. Objetivo y alcance</w:t>
      </w:r>
    </w:p>
    <w:p>
      <w:pPr>
        <w:spacing w:after="140"/>
        <w:jc w:val="both"/>
      </w:pPr>
      <w:r>
        <w:rPr>
          <w:sz w:val="21"/>
          <w:szCs w:val="21"/>
        </w:rPr>
        <w:t xml:space="preserve">Establecer los criterios y el procedimiento que MEGALÁMPARAS aplicará para reclutar, seleccionar y contratar personal para sus áreas de ventas, bodega, atención al cliente y administración, garantizando procesos transparentes, no discriminatorios y apegados a la legislación laboral ecuatoriana.</w:t>
      </w:r>
    </w:p>
    <w:p>
      <w:pPr>
        <w:pStyle w:val="Heading1"/>
        <w:pBdr>
          <w:bottom w:val="single" w:color="D9D9D9" w:sz="4" w:space="4"/>
        </w:pBdr>
        <w:spacing w:after="140" w:before="320"/>
      </w:pPr>
      <w:r>
        <w:rPr>
          <w:b/>
          <w:bCs/>
          <w:color w:val="1F3B4D"/>
          <w:sz w:val="26"/>
          <w:szCs w:val="26"/>
        </w:rPr>
        <w:t xml:space="preserve">2. Principios del proceso de selección</w:t>
      </w:r>
    </w:p>
    <w:p>
      <w:pPr>
        <w:pStyle w:val="ListParagraph"/>
        <w:numPr>
          <w:ilvl w:val="0"/>
          <w:numId w:val="1"/>
        </w:numPr>
        <w:spacing w:after="80"/>
        <w:jc w:val="both"/>
      </w:pPr>
      <w:r>
        <w:rPr>
          <w:sz w:val="21"/>
          <w:szCs w:val="21"/>
        </w:rPr>
        <w:t xml:space="preserve">Igualdad de oportunidades: no se admitirá discriminación por género, etnia, edad, discapacidad, orientación sexual, estado civil, condición migratoria, religión o afiliación política, conforme al Art. 46 de la Constitución y al Art. 42 numeral 33 del Código del Trabajo.</w:t>
      </w:r>
    </w:p>
    <w:p>
      <w:pPr>
        <w:pStyle w:val="ListParagraph"/>
        <w:numPr>
          <w:ilvl w:val="0"/>
          <w:numId w:val="1"/>
        </w:numPr>
        <w:spacing w:after="80"/>
        <w:jc w:val="both"/>
      </w:pPr>
      <w:r>
        <w:rPr>
          <w:sz w:val="21"/>
          <w:szCs w:val="21"/>
        </w:rPr>
        <w:t xml:space="preserve">Inclusión laboral: la Empresa dará cumplimiento a la cuota legal de inclusión de personas con discapacidad cuando el número de trabajadores lo amerite, conforme al Art. 42 numeral 33 del Código del Trabajo (mínimo 4% del total de trabajadores en empresas con 25 o más empleados).</w:t>
      </w:r>
    </w:p>
    <w:p>
      <w:pPr>
        <w:pStyle w:val="ListParagraph"/>
        <w:numPr>
          <w:ilvl w:val="0"/>
          <w:numId w:val="1"/>
        </w:numPr>
        <w:spacing w:after="80"/>
        <w:jc w:val="both"/>
      </w:pPr>
      <w:r>
        <w:rPr>
          <w:sz w:val="21"/>
          <w:szCs w:val="21"/>
        </w:rPr>
        <w:t xml:space="preserve">Priorización de mano de obra local, en coherencia con el compromiso de la Empresa con la comunidad de Salcedo y la región centro del país.</w:t>
      </w:r>
    </w:p>
    <w:p>
      <w:pPr>
        <w:pStyle w:val="ListParagraph"/>
        <w:numPr>
          <w:ilvl w:val="0"/>
          <w:numId w:val="1"/>
        </w:numPr>
        <w:spacing w:after="80"/>
        <w:jc w:val="both"/>
      </w:pPr>
      <w:r>
        <w:rPr>
          <w:sz w:val="21"/>
          <w:szCs w:val="21"/>
        </w:rPr>
        <w:t xml:space="preserve">Confidencialidad de la información entregada por los postulantes durante todo el proceso.</w:t>
      </w:r>
    </w:p>
    <w:p>
      <w:pPr>
        <w:pStyle w:val="Heading1"/>
        <w:pBdr>
          <w:bottom w:val="single" w:color="D9D9D9" w:sz="4" w:space="4"/>
        </w:pBdr>
        <w:spacing w:after="140" w:before="320"/>
      </w:pPr>
      <w:r>
        <w:rPr>
          <w:b/>
          <w:bCs/>
          <w:color w:val="1F3B4D"/>
          <w:sz w:val="26"/>
          <w:szCs w:val="26"/>
        </w:rPr>
        <w:t xml:space="preserve">3. Etapas del proceso de contratación</w:t>
      </w:r>
    </w:p>
    <w:p>
      <w:pPr>
        <w:pStyle w:val="Heading2"/>
        <w:spacing w:after="100" w:before="220"/>
      </w:pPr>
      <w:r>
        <w:rPr>
          <w:b/>
          <w:bCs/>
          <w:color w:val="C98A2C"/>
          <w:sz w:val="22"/>
          <w:szCs w:val="22"/>
        </w:rPr>
        <w:t xml:space="preserve">3.1 Requisición de personal</w:t>
      </w:r>
    </w:p>
    <w:p>
      <w:pPr>
        <w:spacing w:after="140"/>
        <w:jc w:val="both"/>
      </w:pPr>
      <w:r>
        <w:rPr>
          <w:sz w:val="21"/>
          <w:szCs w:val="21"/>
        </w:rPr>
        <w:t xml:space="preserve">El jefe de área solicita formalmente la vacante indicando el cargo, funciones principales, perfil requerido y justificación (reemplazo, nueva posición o temporada alta).</w:t>
      </w:r>
    </w:p>
    <w:p>
      <w:pPr>
        <w:pStyle w:val="Heading2"/>
        <w:spacing w:after="100" w:before="220"/>
      </w:pPr>
      <w:r>
        <w:rPr>
          <w:b/>
          <w:bCs/>
          <w:color w:val="C98A2C"/>
          <w:sz w:val="22"/>
          <w:szCs w:val="22"/>
        </w:rPr>
        <w:t xml:space="preserve">3.2 Reclutamiento</w:t>
      </w:r>
    </w:p>
    <w:p>
      <w:pPr>
        <w:spacing w:after="140"/>
        <w:jc w:val="both"/>
      </w:pPr>
      <w:r>
        <w:rPr>
          <w:sz w:val="21"/>
          <w:szCs w:val="21"/>
        </w:rPr>
        <w:t xml:space="preserve">La vacante se publica en los canales que la Empresa determine (redes sociales, bolsas de empleo, referidos internos). Toda oferta laboral debe indicar de forma clara la remuneración, el tipo de contrato y los requisitos, evitando anuncios engañosos.</w:t>
      </w:r>
    </w:p>
    <w:p>
      <w:pPr>
        <w:pStyle w:val="Heading2"/>
        <w:spacing w:after="100" w:before="220"/>
      </w:pPr>
      <w:r>
        <w:rPr>
          <w:b/>
          <w:bCs/>
          <w:color w:val="C98A2C"/>
          <w:sz w:val="22"/>
          <w:szCs w:val="22"/>
        </w:rPr>
        <w:t xml:space="preserve">3.3 Selección</w:t>
      </w:r>
    </w:p>
    <w:p>
      <w:pPr>
        <w:pStyle w:val="ListParagraph"/>
        <w:numPr>
          <w:ilvl w:val="0"/>
          <w:numId w:val="1"/>
        </w:numPr>
        <w:spacing w:after="80"/>
        <w:jc w:val="both"/>
      </w:pPr>
      <w:r>
        <w:rPr>
          <w:sz w:val="21"/>
          <w:szCs w:val="21"/>
        </w:rPr>
        <w:t xml:space="preserve">Revisión de hojas de vida y verificación de requisitos mínimos del cargo.</w:t>
      </w:r>
    </w:p>
    <w:p>
      <w:pPr>
        <w:pStyle w:val="ListParagraph"/>
        <w:numPr>
          <w:ilvl w:val="0"/>
          <w:numId w:val="1"/>
        </w:numPr>
        <w:spacing w:after="80"/>
        <w:jc w:val="both"/>
      </w:pPr>
      <w:r>
        <w:rPr>
          <w:sz w:val="21"/>
          <w:szCs w:val="21"/>
        </w:rPr>
        <w:t xml:space="preserve">Entrevista con el jefe de área y/o Recursos Humanos.</w:t>
      </w:r>
    </w:p>
    <w:p>
      <w:pPr>
        <w:pStyle w:val="ListParagraph"/>
        <w:numPr>
          <w:ilvl w:val="0"/>
          <w:numId w:val="1"/>
        </w:numPr>
        <w:spacing w:after="80"/>
        <w:jc w:val="both"/>
      </w:pPr>
      <w:r>
        <w:rPr>
          <w:sz w:val="21"/>
          <w:szCs w:val="21"/>
        </w:rPr>
        <w:t xml:space="preserve">Pruebas técnicas o prácticas cuando el cargo lo amerite (por ejemplo, manejo de inventario o atención al cliente).</w:t>
      </w:r>
    </w:p>
    <w:p>
      <w:pPr>
        <w:pStyle w:val="ListParagraph"/>
        <w:numPr>
          <w:ilvl w:val="0"/>
          <w:numId w:val="1"/>
        </w:numPr>
        <w:spacing w:after="80"/>
        <w:jc w:val="both"/>
      </w:pPr>
      <w:r>
        <w:rPr>
          <w:sz w:val="21"/>
          <w:szCs w:val="21"/>
        </w:rPr>
        <w:t xml:space="preserve">Verificación de referencias laborales y antecedentes, con consentimiento previo del postulante conforme a la Ley Orgánica de Protección de Datos Personales.</w:t>
      </w:r>
    </w:p>
    <w:p>
      <w:pPr>
        <w:pStyle w:val="Heading2"/>
        <w:spacing w:after="100" w:before="220"/>
      </w:pPr>
      <w:r>
        <w:rPr>
          <w:b/>
          <w:bCs/>
          <w:color w:val="C98A2C"/>
          <w:sz w:val="22"/>
          <w:szCs w:val="22"/>
        </w:rPr>
        <w:t xml:space="preserve">3.4 Documentación previa a la contratación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c>
          <w:tcPr>
            <w:tcW w:type="dxa" w:w="6200"/>
            <w:shd w:fill="1F3B4D" w:val="clear"/>
            <w:tcMar>
              <w:top w:type="dxa" w:w="100"/>
              <w:left w:type="dxa" w:w="120"/>
              <w:bottom w:type="dxa" w:w="100"/>
              <w:right w:type="dxa" w:w="120"/>
            </w:tcMar>
          </w:tcPr>
          <w:p>
            <w:r>
              <w:rPr>
                <w:b/>
                <w:bCs/>
                <w:color w:val="FFFFFF"/>
                <w:sz w:val="20"/>
                <w:szCs w:val="20"/>
              </w:rPr>
              <w:t xml:space="preserve">Documento</w:t>
            </w:r>
          </w:p>
        </w:tc>
        <w:tc>
          <w:tcPr>
            <w:tcW w:type="dxa" w:w="2826"/>
            <w:shd w:fill="1F3B4D" w:val="clear"/>
            <w:tcMar>
              <w:top w:type="dxa" w:w="100"/>
              <w:left w:type="dxa" w:w="120"/>
              <w:bottom w:type="dxa" w:w="100"/>
              <w:right w:type="dxa" w:w="120"/>
            </w:tcMar>
          </w:tcPr>
          <w:p>
            <w:r>
              <w:rPr>
                <w:b/>
                <w:bCs/>
                <w:color w:val="FFFFFF"/>
                <w:sz w:val="20"/>
                <w:szCs w:val="20"/>
              </w:rPr>
              <w:t xml:space="preserve">Obligatorio</w:t>
            </w:r>
          </w:p>
        </w:tc>
      </w:tr>
      <w:tr>
        <w:tc>
          <w:tcPr>
            <w:tcW w:type="dxa" w:w="6200"/>
            <w:shd w:fill="F2F2F2" w:val="clear"/>
            <w:tcMar>
              <w:top w:type="dxa" w:w="100"/>
              <w:left w:type="dxa" w:w="120"/>
              <w:bottom w:type="dxa" w:w="100"/>
              <w:right w:type="dxa" w:w="120"/>
            </w:tcMar>
          </w:tcPr>
          <w:p>
            <w:r>
              <w:rPr>
                <w:b/>
                <w:bCs/>
                <w:color w:val="222222"/>
                <w:sz w:val="20"/>
                <w:szCs w:val="20"/>
              </w:rPr>
              <w:t xml:space="preserve">Cédula de identidad o ciudadanía</w:t>
            </w:r>
          </w:p>
        </w:tc>
        <w:tc>
          <w:tcPr>
            <w:tcW w:type="dxa" w:w="2826"/>
            <w:tcMar>
              <w:top w:type="dxa" w:w="100"/>
              <w:left w:type="dxa" w:w="120"/>
              <w:bottom w:type="dxa" w:w="100"/>
              <w:right w:type="dxa" w:w="120"/>
            </w:tcMar>
          </w:tcPr>
          <w:p>
            <w:r>
              <w:rPr>
                <w:b w:val="false"/>
                <w:bCs w:val="false"/>
                <w:color w:val="222222"/>
                <w:sz w:val="20"/>
                <w:szCs w:val="20"/>
              </w:rPr>
              <w:t xml:space="preserve">Sí</w:t>
            </w:r>
          </w:p>
        </w:tc>
      </w:tr>
      <w:tr>
        <w:tc>
          <w:tcPr>
            <w:tcW w:type="dxa" w:w="6200"/>
            <w:shd w:fill="F2F2F2" w:val="clear"/>
            <w:tcMar>
              <w:top w:type="dxa" w:w="100"/>
              <w:left w:type="dxa" w:w="120"/>
              <w:bottom w:type="dxa" w:w="100"/>
              <w:right w:type="dxa" w:w="120"/>
            </w:tcMar>
          </w:tcPr>
          <w:p>
            <w:r>
              <w:rPr>
                <w:b/>
                <w:bCs/>
                <w:color w:val="222222"/>
                <w:sz w:val="20"/>
                <w:szCs w:val="20"/>
              </w:rPr>
              <w:t xml:space="preserve">Certificado de votación vigente</w:t>
            </w:r>
          </w:p>
        </w:tc>
        <w:tc>
          <w:tcPr>
            <w:tcW w:type="dxa" w:w="2826"/>
            <w:tcMar>
              <w:top w:type="dxa" w:w="100"/>
              <w:left w:type="dxa" w:w="120"/>
              <w:bottom w:type="dxa" w:w="100"/>
              <w:right w:type="dxa" w:w="120"/>
            </w:tcMar>
          </w:tcPr>
          <w:p>
            <w:r>
              <w:rPr>
                <w:b w:val="false"/>
                <w:bCs w:val="false"/>
                <w:color w:val="222222"/>
                <w:sz w:val="20"/>
                <w:szCs w:val="20"/>
              </w:rPr>
              <w:t xml:space="preserve">Sí</w:t>
            </w:r>
          </w:p>
        </w:tc>
      </w:tr>
      <w:tr>
        <w:tc>
          <w:tcPr>
            <w:tcW w:type="dxa" w:w="6200"/>
            <w:shd w:fill="F2F2F2" w:val="clear"/>
            <w:tcMar>
              <w:top w:type="dxa" w:w="100"/>
              <w:left w:type="dxa" w:w="120"/>
              <w:bottom w:type="dxa" w:w="100"/>
              <w:right w:type="dxa" w:w="120"/>
            </w:tcMar>
          </w:tcPr>
          <w:p>
            <w:r>
              <w:rPr>
                <w:b/>
                <w:bCs/>
                <w:color w:val="222222"/>
                <w:sz w:val="20"/>
                <w:szCs w:val="20"/>
              </w:rPr>
              <w:t xml:space="preserve">Hoja de vida actualizada</w:t>
            </w:r>
          </w:p>
        </w:tc>
        <w:tc>
          <w:tcPr>
            <w:tcW w:type="dxa" w:w="2826"/>
            <w:tcMar>
              <w:top w:type="dxa" w:w="100"/>
              <w:left w:type="dxa" w:w="120"/>
              <w:bottom w:type="dxa" w:w="100"/>
              <w:right w:type="dxa" w:w="120"/>
            </w:tcMar>
          </w:tcPr>
          <w:p>
            <w:r>
              <w:rPr>
                <w:b w:val="false"/>
                <w:bCs w:val="false"/>
                <w:color w:val="222222"/>
                <w:sz w:val="20"/>
                <w:szCs w:val="20"/>
              </w:rPr>
              <w:t xml:space="preserve">Sí</w:t>
            </w:r>
          </w:p>
        </w:tc>
      </w:tr>
      <w:tr>
        <w:tc>
          <w:tcPr>
            <w:tcW w:type="dxa" w:w="6200"/>
            <w:shd w:fill="F2F2F2" w:val="clear"/>
            <w:tcMar>
              <w:top w:type="dxa" w:w="100"/>
              <w:left w:type="dxa" w:w="120"/>
              <w:bottom w:type="dxa" w:w="100"/>
              <w:right w:type="dxa" w:w="120"/>
            </w:tcMar>
          </w:tcPr>
          <w:p>
            <w:r>
              <w:rPr>
                <w:b/>
                <w:bCs/>
                <w:color w:val="222222"/>
                <w:sz w:val="20"/>
                <w:szCs w:val="20"/>
              </w:rPr>
              <w:t xml:space="preserve">Certificados de estudios (según el cargo)</w:t>
            </w:r>
          </w:p>
        </w:tc>
        <w:tc>
          <w:tcPr>
            <w:tcW w:type="dxa" w:w="2826"/>
            <w:tcMar>
              <w:top w:type="dxa" w:w="100"/>
              <w:left w:type="dxa" w:w="120"/>
              <w:bottom w:type="dxa" w:w="100"/>
              <w:right w:type="dxa" w:w="120"/>
            </w:tcMar>
          </w:tcPr>
          <w:p>
            <w:r>
              <w:rPr>
                <w:b w:val="false"/>
                <w:bCs w:val="false"/>
                <w:color w:val="222222"/>
                <w:sz w:val="20"/>
                <w:szCs w:val="20"/>
              </w:rPr>
              <w:t xml:space="preserve">Según cargo</w:t>
            </w:r>
          </w:p>
        </w:tc>
      </w:tr>
      <w:tr>
        <w:tc>
          <w:tcPr>
            <w:tcW w:type="dxa" w:w="6200"/>
            <w:shd w:fill="F2F2F2" w:val="clear"/>
            <w:tcMar>
              <w:top w:type="dxa" w:w="100"/>
              <w:left w:type="dxa" w:w="120"/>
              <w:bottom w:type="dxa" w:w="100"/>
              <w:right w:type="dxa" w:w="120"/>
            </w:tcMar>
          </w:tcPr>
          <w:p>
            <w:r>
              <w:rPr>
                <w:b/>
                <w:bCs/>
                <w:color w:val="222222"/>
                <w:sz w:val="20"/>
                <w:szCs w:val="20"/>
              </w:rPr>
              <w:t xml:space="preserve">Certificados de trabajos anteriores o referencias</w:t>
            </w:r>
          </w:p>
        </w:tc>
        <w:tc>
          <w:tcPr>
            <w:tcW w:type="dxa" w:w="2826"/>
            <w:tcMar>
              <w:top w:type="dxa" w:w="100"/>
              <w:left w:type="dxa" w:w="120"/>
              <w:bottom w:type="dxa" w:w="100"/>
              <w:right w:type="dxa" w:w="120"/>
            </w:tcMar>
          </w:tcPr>
          <w:p>
            <w:r>
              <w:rPr>
                <w:b w:val="false"/>
                <w:bCs w:val="false"/>
                <w:color w:val="222222"/>
                <w:sz w:val="20"/>
                <w:szCs w:val="20"/>
              </w:rPr>
              <w:t xml:space="preserve">Recomendado</w:t>
            </w:r>
          </w:p>
        </w:tc>
      </w:tr>
      <w:tr>
        <w:tc>
          <w:tcPr>
            <w:tcW w:type="dxa" w:w="6200"/>
            <w:shd w:fill="F2F2F2" w:val="clear"/>
            <w:tcMar>
              <w:top w:type="dxa" w:w="100"/>
              <w:left w:type="dxa" w:w="120"/>
              <w:bottom w:type="dxa" w:w="100"/>
              <w:right w:type="dxa" w:w="120"/>
            </w:tcMar>
          </w:tcPr>
          <w:p>
            <w:r>
              <w:rPr>
                <w:b/>
                <w:bCs/>
                <w:color w:val="222222"/>
                <w:sz w:val="20"/>
                <w:szCs w:val="20"/>
              </w:rPr>
              <w:t xml:space="preserve">Certificado de antecedentes penales (record policial), cuando el cargo implique manejo de valores o custodia de bienes</w:t>
            </w:r>
          </w:p>
        </w:tc>
        <w:tc>
          <w:tcPr>
            <w:tcW w:type="dxa" w:w="2826"/>
            <w:tcMar>
              <w:top w:type="dxa" w:w="100"/>
              <w:left w:type="dxa" w:w="120"/>
              <w:bottom w:type="dxa" w:w="100"/>
              <w:right w:type="dxa" w:w="120"/>
            </w:tcMar>
          </w:tcPr>
          <w:p>
            <w:r>
              <w:rPr>
                <w:b w:val="false"/>
                <w:bCs w:val="false"/>
                <w:color w:val="222222"/>
                <w:sz w:val="20"/>
                <w:szCs w:val="20"/>
              </w:rPr>
              <w:t xml:space="preserve">Según cargo</w:t>
            </w:r>
          </w:p>
        </w:tc>
      </w:tr>
      <w:tr>
        <w:tc>
          <w:tcPr>
            <w:tcW w:type="dxa" w:w="6200"/>
            <w:shd w:fill="F2F2F2" w:val="clear"/>
            <w:tcMar>
              <w:top w:type="dxa" w:w="100"/>
              <w:left w:type="dxa" w:w="120"/>
              <w:bottom w:type="dxa" w:w="100"/>
              <w:right w:type="dxa" w:w="120"/>
            </w:tcMar>
          </w:tcPr>
          <w:p>
            <w:r>
              <w:rPr>
                <w:b/>
                <w:bCs/>
                <w:color w:val="222222"/>
                <w:sz w:val="20"/>
                <w:szCs w:val="20"/>
              </w:rPr>
              <w:t xml:space="preserve">Datos bancarios para pago de remuneración</w:t>
            </w:r>
          </w:p>
        </w:tc>
        <w:tc>
          <w:tcPr>
            <w:tcW w:type="dxa" w:w="2826"/>
            <w:tcMar>
              <w:top w:type="dxa" w:w="100"/>
              <w:left w:type="dxa" w:w="120"/>
              <w:bottom w:type="dxa" w:w="100"/>
              <w:right w:type="dxa" w:w="120"/>
            </w:tcMar>
          </w:tcPr>
          <w:p>
            <w:r>
              <w:rPr>
                <w:b w:val="false"/>
                <w:bCs w:val="false"/>
                <w:color w:val="222222"/>
                <w:sz w:val="20"/>
                <w:szCs w:val="20"/>
              </w:rPr>
              <w:t xml:space="preserve">Sí, previo a la firma del contrato</w:t>
            </w:r>
          </w:p>
        </w:tc>
      </w:tr>
    </w:tbl>
    <w:p>
      <w:pPr>
        <w:pStyle w:val="Heading2"/>
        <w:spacing w:after="100" w:before="220"/>
      </w:pPr>
      <w:r>
        <w:rPr>
          <w:b/>
          <w:bCs/>
          <w:color w:val="C98A2C"/>
          <w:sz w:val="22"/>
          <w:szCs w:val="22"/>
        </w:rPr>
        <w:t xml:space="preserve">3.5 Contratación e inducción</w:t>
      </w:r>
    </w:p>
    <w:p>
      <w:pPr>
        <w:spacing w:after="140"/>
        <w:jc w:val="both"/>
      </w:pPr>
      <w:r>
        <w:rPr>
          <w:sz w:val="21"/>
          <w:szCs w:val="21"/>
        </w:rPr>
        <w:t xml:space="preserve">Una vez seleccionado el candidato, se suscribe el contrato de trabajo correspondiente (ver documento "Modelo de Contrato de Trabajo") y se procede a su registro obligatorio en el Sistema Único de Trabajo (SUT) del Ministerio del Trabajo dentro de los quince (15) días siguientes a la suscripción, así como a su afiliación al IESS desde el primer día de labores.</w:t>
      </w:r>
    </w:p>
    <w:p>
      <w:pPr>
        <w:spacing w:after="140"/>
        <w:jc w:val="both"/>
      </w:pPr>
      <w:r>
        <w:rPr>
          <w:sz w:val="21"/>
          <w:szCs w:val="21"/>
        </w:rPr>
        <w:t xml:space="preserve">Todo nuevo colaborador recibirá una inducción sobre el Reglamento Interno de Trabajo, sus funciones, el manejo de mercadería frágil propia del negocio y las políticas de seguridad de la Empresa.</w:t>
      </w:r>
    </w:p>
    <w:p>
      <w:pPr>
        <w:pStyle w:val="Heading1"/>
        <w:pBdr>
          <w:bottom w:val="single" w:color="D9D9D9" w:sz="4" w:space="4"/>
        </w:pBdr>
        <w:spacing w:after="140" w:before="320"/>
      </w:pPr>
      <w:r>
        <w:rPr>
          <w:b/>
          <w:bCs/>
          <w:color w:val="1F3B4D"/>
          <w:sz w:val="26"/>
          <w:szCs w:val="26"/>
        </w:rPr>
        <w:t xml:space="preserve">4. Período de prueba</w:t>
      </w:r>
    </w:p>
    <w:p>
      <w:pPr>
        <w:spacing w:after="140"/>
        <w:jc w:val="both"/>
      </w:pPr>
      <w:r>
        <w:rPr>
          <w:sz w:val="21"/>
          <w:szCs w:val="21"/>
        </w:rPr>
        <w:t xml:space="preserve">De conformidad con el Art. 15 del Código del Trabajo, en las relaciones laborales que se generan por primera vez entre empleador y trabajador, podrá acordarse un período de prueba de hasta noventa (90) días, dentro del cual cualquiera de las partes puede dar por terminada la relación libremente, sin lugar a indemnización. Este período se comunica por escrito en el contrato.</w:t>
      </w:r>
    </w:p>
    <w:p>
      <w:pPr>
        <w:pStyle w:val="Heading1"/>
        <w:pBdr>
          <w:bottom w:val="single" w:color="D9D9D9" w:sz="4" w:space="4"/>
        </w:pBdr>
        <w:spacing w:after="140" w:before="320"/>
      </w:pPr>
      <w:r>
        <w:rPr>
          <w:b/>
          <w:bCs/>
          <w:color w:val="1F3B4D"/>
          <w:sz w:val="26"/>
          <w:szCs w:val="26"/>
        </w:rPr>
        <w:t xml:space="preserve">5. Modalidades de contratación aplicables</w:t>
      </w:r>
    </w:p>
    <w:p>
      <w:pPr>
        <w:pStyle w:val="ListParagraph"/>
        <w:numPr>
          <w:ilvl w:val="0"/>
          <w:numId w:val="1"/>
        </w:numPr>
        <w:spacing w:after="80"/>
        <w:jc w:val="both"/>
      </w:pPr>
      <w:r>
        <w:rPr>
          <w:sz w:val="21"/>
          <w:szCs w:val="21"/>
        </w:rPr>
        <w:t xml:space="preserve">Contrato de trabajo indefinido: modalidad general aplicable a la mayoría de los cargos en la Empresa, conforme a la Ley Orgánica para la Justicia Laboral (2015).</w:t>
      </w:r>
    </w:p>
    <w:p>
      <w:pPr>
        <w:pStyle w:val="ListParagraph"/>
        <w:numPr>
          <w:ilvl w:val="0"/>
          <w:numId w:val="1"/>
        </w:numPr>
        <w:spacing w:after="80"/>
        <w:jc w:val="both"/>
      </w:pPr>
      <w:r>
        <w:rPr>
          <w:sz w:val="21"/>
          <w:szCs w:val="21"/>
        </w:rPr>
        <w:t xml:space="preserve">Contrato por obra o servicio determinado: para proyectos específicos de instalación o montaje con fecha de finalización clara.</w:t>
      </w:r>
    </w:p>
    <w:p>
      <w:pPr>
        <w:pStyle w:val="ListParagraph"/>
        <w:numPr>
          <w:ilvl w:val="0"/>
          <w:numId w:val="1"/>
        </w:numPr>
        <w:spacing w:after="80"/>
        <w:jc w:val="both"/>
      </w:pPr>
      <w:r>
        <w:rPr>
          <w:sz w:val="21"/>
          <w:szCs w:val="21"/>
        </w:rPr>
        <w:t xml:space="preserve">Contrato eventual: para atender incrementos ocasionales de demanda (por ejemplo, temporada navideña de iluminación decorativa), con una duración máxima de 180 días al año, conforme al Art. 17 del Código del Trabajo.</w:t>
      </w:r>
    </w:p>
    <w:p>
      <w:pPr>
        <w:pStyle w:val="ListParagraph"/>
        <w:numPr>
          <w:ilvl w:val="0"/>
          <w:numId w:val="1"/>
        </w:numPr>
        <w:spacing w:after="80"/>
        <w:jc w:val="both"/>
      </w:pPr>
      <w:r>
        <w:rPr>
          <w:sz w:val="21"/>
          <w:szCs w:val="21"/>
        </w:rPr>
        <w:t xml:space="preserve">Contrato de jornada parcial: cuando la naturaleza del puesto no requiera jornada completa, con remuneración proporcional a las horas trabajadas.</w:t>
      </w:r>
    </w:p>
    <w:p>
      <w:pPr>
        <w:pStyle w:val="Heading1"/>
        <w:pBdr>
          <w:bottom w:val="single" w:color="D9D9D9" w:sz="4" w:space="4"/>
        </w:pBdr>
        <w:spacing w:after="140" w:before="320"/>
      </w:pPr>
      <w:r>
        <w:rPr>
          <w:b/>
          <w:bCs/>
          <w:color w:val="1F3B4D"/>
          <w:sz w:val="26"/>
          <w:szCs w:val="26"/>
        </w:rPr>
        <w:t xml:space="preserve">6. No discriminación y protección de datos en el proceso</w:t>
      </w:r>
    </w:p>
    <w:p>
      <w:pPr>
        <w:spacing w:after="140"/>
        <w:jc w:val="both"/>
      </w:pPr>
      <w:r>
        <w:rPr>
          <w:sz w:val="21"/>
          <w:szCs w:val="21"/>
        </w:rPr>
        <w:t xml:space="preserve">La información personal recabada durante el proceso de selección (hojas de vida, resultados de entrevistas, referencias) se tratará conforme a la Política de Privacidad y Protección de Datos Personales de la Empresa. Los datos de los postulantes no seleccionados se conservarán únicamente por el plazo estrictamente necesario y con su consentimiento, pudiendo solicitar su eliminación en cualquier momento.</w:t>
      </w:r>
    </w:p>
    <w:p>
      <w:pPr>
        <w:pStyle w:val="Heading1"/>
        <w:pBdr>
          <w:bottom w:val="single" w:color="D9D9D9" w:sz="4" w:space="4"/>
        </w:pBdr>
        <w:spacing w:after="140" w:before="320"/>
      </w:pPr>
      <w:r>
        <w:rPr>
          <w:b/>
          <w:bCs/>
          <w:color w:val="1F3B4D"/>
          <w:sz w:val="26"/>
          <w:szCs w:val="26"/>
        </w:rPr>
        <w:t xml:space="preserve">7. Responsables</w:t>
      </w:r>
    </w:p>
    <w:p>
      <w:pPr>
        <w:spacing w:after="140"/>
        <w:jc w:val="both"/>
      </w:pPr>
      <w:r>
        <w:rPr>
          <w:sz w:val="21"/>
          <w:szCs w:val="21"/>
        </w:rPr>
        <w:t xml:space="preserve">La aplicación de esta política corresponde a la Gerencia General y al responsable de Recursos Humanos de MEGALÁMPARAS, quienes deberán mantener actualizado el expediente de cada trabajador y garantizar el cumplimiento de los plazos legales de registro ante el Ministerio del Trabajo y el IESS.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Megalámparas · Salcedo, Ecuador · Documento interno — plantilla de referencia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C" w:sz="6" w:space="4"/>
      </w:pBdr>
      <w:jc w:val="right"/>
    </w:pPr>
    <w:r>
      <w:rPr>
        <w:b/>
        <w:bCs/>
        <w:color w:val="1F3B4D"/>
        <w:sz w:val="18"/>
        <w:szCs w:val="18"/>
      </w:rPr>
      <w:t xml:space="preserve">MEGALÁMPARAS</w:t>
    </w:r>
    <w:r>
      <w:rPr>
        <w:color w:val="666666"/>
        <w:sz w:val="16"/>
        <w:szCs w:val="16"/>
      </w:rPr>
      <w:t xml:space="preserve">  ·  Política de Contratación y Selección de Personal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2026-07-09T02:00:18.752Z</dcterms:created>
  <dcterms:modified xsi:type="dcterms:W3CDTF">2026-07-09T02:00:18.752Z</dcterms:modified>
</cp:coreProperties>
</file>

<file path=docProps/custom.xml><?xml version="1.0" encoding="utf-8"?>
<Properties xmlns="http://schemas.openxmlformats.org/officeDocument/2006/custom-properties" xmlns:vt="http://schemas.openxmlformats.org/officeDocument/2006/docPropsVTypes"/>
</file>