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Hephaestus Workbench 软件设计说明书 SDS v1.0</w:t>
      </w:r>
    </w:p>
    <w:p>
      <w:pPr>
        <w:pStyle w:val="Heading2"/>
      </w:pPr>
      <w:r>
        <w:t>1. 系统总体架构</w:t>
      </w:r>
    </w:p>
    <w:p>
      <w:r>
        <w:rPr>
          <w:sz w:val="21"/>
        </w:rPr>
        <w:t>系统采用 Windows 单机桌面架构。</w:t>
        <w:br/>
        <w:br/>
        <w:t>技术：</w:t>
        <w:br/>
        <w:t>- C#</w:t>
        <w:br/>
        <w:t>- .NET 8</w:t>
        <w:br/>
        <w:t>- WPF</w:t>
        <w:br/>
        <w:t>- MVVM</w:t>
        <w:br/>
        <w:t>- SQLite</w:t>
        <w:br/>
        <w:t>- WebView2</w:t>
        <w:br/>
        <w:br/>
        <w:t>架构分层：</w:t>
        <w:br/>
        <w:br/>
        <w:t>Presentation Layer</w:t>
        <w:br/>
        <w:t>负责界面展示和用户交互。</w:t>
        <w:br/>
        <w:br/>
        <w:t>Application Layer</w:t>
        <w:br/>
        <w:t>负责案例流程、任务调度、插件调用。</w:t>
        <w:br/>
        <w:br/>
        <w:t>Infrastructure Layer</w:t>
        <w:br/>
        <w:t>负责文件、数据库、进程管理。</w:t>
        <w:br/>
        <w:br/>
        <w:t>Plugin Layer</w:t>
        <w:br/>
        <w:t>负责第三方分析能力扩展。</w:t>
      </w:r>
    </w:p>
    <w:p>
      <w:pPr>
        <w:pStyle w:val="Heading2"/>
      </w:pPr>
      <w:r>
        <w:t>2. 核心模块设计</w:t>
      </w:r>
    </w:p>
    <w:p>
      <w:r>
        <w:rPr>
          <w:sz w:val="21"/>
        </w:rPr>
        <w:t>模块：</w:t>
        <w:br/>
        <w:br/>
        <w:t>Dashboard：</w:t>
        <w:br/>
        <w:t>展示最近案例、任务、存储状态。</w:t>
        <w:br/>
        <w:br/>
        <w:t>Log Monitor：</w:t>
        <w:br/>
        <w:t>监控日志目录，发现diag格式压缩包。</w:t>
        <w:br/>
        <w:br/>
        <w:t>Case Manager：</w:t>
        <w:br/>
        <w:t>管理Analysis Case生命周期。</w:t>
        <w:br/>
        <w:br/>
        <w:t>Plugin Runtime：</w:t>
        <w:br/>
        <w:t>加载并执行分析插件。</w:t>
        <w:br/>
        <w:br/>
        <w:t>Task Center：</w:t>
        <w:br/>
        <w:t>管理后台任务状态。</w:t>
        <w:br/>
        <w:br/>
        <w:t>Report Viewer：</w:t>
        <w:br/>
        <w:t>通过WebView2打开分析报告。</w:t>
        <w:br/>
        <w:br/>
        <w:t>Storage Manager：</w:t>
        <w:br/>
        <w:t>管理磁盘空间和清理流程。</w:t>
      </w:r>
    </w:p>
    <w:p>
      <w:pPr>
        <w:pStyle w:val="Heading2"/>
      </w:pPr>
      <w:r>
        <w:t>3. 文件结构设计</w:t>
      </w:r>
    </w:p>
    <w:p>
      <w:r>
        <w:rPr>
          <w:sz w:val="21"/>
        </w:rPr>
        <w:t>数据目录：</w:t>
        <w:br/>
        <w:br/>
        <w:t>HephaestusWorkbenchData</w:t>
        <w:br/>
        <w:br/>
        <w:t>├── Database</w:t>
        <w:br/>
        <w:t>│   └── workbench.db</w:t>
        <w:br/>
        <w:br/>
        <w:t>├── Cases</w:t>
        <w:br/>
        <w:t>│   └── CaseId</w:t>
        <w:br/>
        <w:t>│       ├── Source</w:t>
        <w:br/>
        <w:t>│       ├── Extract</w:t>
        <w:br/>
        <w:t>│       └── Report</w:t>
        <w:br/>
        <w:br/>
        <w:t>├── Plugins</w:t>
        <w:br/>
        <w:br/>
        <w:t>└── Temp</w:t>
        <w:br/>
        <w:br/>
        <w:t>程序目录和用户数据目录分离。</w:t>
      </w:r>
    </w:p>
    <w:p>
      <w:pPr>
        <w:pStyle w:val="Heading2"/>
      </w:pPr>
      <w:r>
        <w:t>4. 业务状态设计</w:t>
      </w:r>
    </w:p>
    <w:p>
      <w:r>
        <w:rPr>
          <w:sz w:val="21"/>
        </w:rPr>
        <w:t>Case状态：</w:t>
        <w:br/>
        <w:br/>
        <w:t>Created</w:t>
        <w:br/>
        <w:t>Ready</w:t>
        <w:br/>
        <w:t>Running</w:t>
        <w:br/>
        <w:t>Completed</w:t>
        <w:br/>
        <w:t>Failed</w:t>
        <w:br/>
        <w:br/>
        <w:t>Task状态：</w:t>
        <w:br/>
        <w:br/>
        <w:t>Waiting</w:t>
        <w:br/>
        <w:t>Running</w:t>
        <w:br/>
        <w:t>Completed</w:t>
        <w:br/>
        <w:t>Failed</w:t>
        <w:br/>
        <w:t>Cancelled</w:t>
      </w:r>
    </w:p>
    <w:p>
      <w:r>
        <w:br w:type="page"/>
      </w:r>
    </w:p>
    <w:p>
      <w:pPr>
        <w:pStyle w:val="Heading1"/>
      </w:pPr>
      <w:r>
        <w:t>5. 安装部署与初始化流程</w:t>
      </w:r>
    </w:p>
    <w:p>
      <w:pPr>
        <w:pStyle w:val="Heading2"/>
      </w:pPr>
      <w:r>
        <w:t>5.1 安装包与目录边界</w:t>
      </w:r>
    </w:p>
    <w:p>
      <w:r>
        <w:t>安装包采用 .NET 8 self-contained Windows 安装器，默认安装到 C:\Program Files\HephaestusWorkbench。程序文件与用户数据严格分离，用户数据默认位于 Documents\HephaestusWorkbenchData。</w:t>
      </w:r>
    </w:p>
    <w:p>
      <w:pPr>
        <w:pStyle w:val="ListBullet"/>
      </w:pPr>
      <w:r>
        <w:t>程序目录保存 HephaestusWorkbench.exe、运行库、WebView2 组件和 PluginSeed。</w:t>
      </w:r>
    </w:p>
    <w:p>
      <w:pPr>
        <w:pStyle w:val="ListBullet"/>
      </w:pPr>
      <w:r>
        <w:t>用户数据目录保存 Database、Cases、Reports、Plugins、Logs、Temp、Config 和 Inbox。</w:t>
      </w:r>
    </w:p>
    <w:p>
      <w:pPr>
        <w:pStyle w:val="ListBullet"/>
      </w:pPr>
      <w:r>
        <w:t>现有 Cases\&lt;CaseId&gt;\Report 路径保持不变，不在安装或升级时迁移案例数据。</w:t>
      </w:r>
    </w:p>
    <w:p>
      <w:pPr>
        <w:pStyle w:val="Heading2"/>
      </w:pPr>
      <w:r>
        <w:t>5.2 环境检测</w:t>
      </w:r>
    </w:p>
    <w:p>
      <w:r>
        <w:t>安装器检查 Windows 10/11 x64 和 Microsoft Edge WebView2 Runtime。主程序为 self-contained 发布，因此不要求目标机器预装 .NET 8 Desktop Runtime。缺少 WebView2 时，安装器优先执行随包提供的官方 x64 安装程序；无法安装时显示中文错误并停止安装。</w:t>
      </w:r>
    </w:p>
    <w:p>
      <w:pPr>
        <w:pStyle w:val="Heading2"/>
      </w:pPr>
      <w:r>
        <w:t>5.3 首次运行初始化</w:t>
      </w:r>
    </w:p>
    <w:p>
      <w:r>
        <w:t>首次启动进入五步向导：欢迎、数据目录、日志监控目录、插件目录和初始化完成。初始化过程幂等，任一步骤失败后可以重试，不会覆盖已有案例和报告。</w:t>
      </w:r>
    </w:p>
    <w:p>
      <w:pPr>
        <w:pStyle w:val="ListBullet"/>
      </w:pPr>
      <w:r>
        <w:t>创建基础目录并初始化 SQLite 数据库。</w:t>
      </w:r>
    </w:p>
    <w:p>
      <w:pPr>
        <w:pStyle w:val="ListBullet"/>
      </w:pPr>
      <w:r>
        <w:t>默认监控数据目录下的 Inbox；MonitorPaths 支持多个目录。</w:t>
      </w:r>
    </w:p>
    <w:p>
      <w:pPr>
        <w:pStyle w:val="ListBullet"/>
      </w:pPr>
      <w:r>
        <w:t>登记内置日志分析插件。</w:t>
      </w:r>
    </w:p>
    <w:p>
      <w:pPr>
        <w:pStyle w:val="ListBullet"/>
      </w:pPr>
      <w:r>
        <w:t>写入 Config\appsettings.json、plugins.json 和 workspace.json。</w:t>
      </w:r>
    </w:p>
    <w:p>
      <w:pPr>
        <w:pStyle w:val="ListBullet"/>
      </w:pPr>
      <w:r>
        <w:t>保留 LocalAppData\HephaestusWorkbench\bootstrap.json 作为数据根目录指针和旧版本兼容入口。</w:t>
      </w:r>
    </w:p>
    <w:p>
      <w:pPr>
        <w:pStyle w:val="Heading2"/>
      </w:pPr>
      <w:r>
        <w:t>5.4 正常启动顺序</w:t>
      </w:r>
    </w:p>
    <w:p>
      <w:r>
        <w:t>加载 bootstrap 指针 → 初始化目录和数据库 → 迁移旧设置 → 登记内置插件 → 启动多目录日志监控 → 恢复报告会话 → 进入 Dashboard。</w:t>
      </w:r>
    </w:p>
    <w:p>
      <w:pPr>
        <w:pStyle w:val="Heading2"/>
      </w:pPr>
      <w:r>
        <w:t>5.5 升级、卸载与恢复</w:t>
      </w:r>
    </w:p>
    <w:p>
      <w:pPr>
        <w:pStyle w:val="ListBullet"/>
      </w:pPr>
      <w:r>
        <w:t>升级前将 Database\workbench.db 备份到 Backups\upgrade-&lt;timestamp&gt;，暂存解压后替换程序目录。</w:t>
      </w:r>
    </w:p>
    <w:p>
      <w:pPr>
        <w:pStyle w:val="ListBullet"/>
      </w:pPr>
      <w:r>
        <w:t>升级只覆盖程序目录，保留用户数据、案例、报告和插件；版本降级会被阻止。</w:t>
      </w:r>
    </w:p>
    <w:p>
      <w:pPr>
        <w:pStyle w:val="ListBullet"/>
      </w:pPr>
      <w:r>
        <w:t>卸载默认删除程序和快捷方式并保留用户数据，用户明确确认后才删除日志、案例和报告。</w:t>
      </w:r>
    </w:p>
    <w:p>
      <w:pPr>
        <w:pStyle w:val="ListBullet"/>
      </w:pPr>
      <w:r>
        <w:t>数据库损坏时先备份旧文件，再提示创建新数据库；插件清单或入口异常只隔离问题插件，不阻止主程序启动。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