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Hephaestus Workbench 技术详细设计 TDD v1.0</w:t>
      </w:r>
    </w:p>
    <w:p>
      <w:pPr>
        <w:pStyle w:val="Heading2"/>
      </w:pPr>
      <w:r>
        <w:t>1. Solution结构</w:t>
      </w:r>
    </w:p>
    <w:p>
      <w:r>
        <w:rPr>
          <w:sz w:val="21"/>
        </w:rPr>
        <w:t>HephaestusWorkbench</w:t>
        <w:br/>
        <w:br/>
        <w:t>src</w:t>
        <w:br/>
        <w:br/>
        <w:t>├── HephaestusWorkbench.App</w:t>
        <w:br/>
        <w:t>├── HephaestusWorkbench.Core</w:t>
        <w:br/>
        <w:t>├── HephaestusWorkbench.Data</w:t>
        <w:br/>
        <w:t>├── HephaestusWorkbench.Services</w:t>
        <w:br/>
        <w:t>├── HephaestusWorkbench.PluginSDK</w:t>
        <w:br/>
        <w:br/>
        <w:t>tests</w:t>
        <w:br/>
        <w:br/>
        <w:t>└── HephaestusWorkbench.Tests</w:t>
      </w:r>
    </w:p>
    <w:p>
      <w:pPr>
        <w:pStyle w:val="Heading2"/>
      </w:pPr>
      <w:r>
        <w:t>2. 数据库设计</w:t>
      </w:r>
    </w:p>
    <w:p>
      <w:r>
        <w:rPr>
          <w:sz w:val="21"/>
        </w:rPr>
        <w:t>AnalysisCase：</w:t>
        <w:br/>
        <w:br/>
        <w:t>Id</w:t>
        <w:br/>
        <w:t>DisplayName</w:t>
        <w:br/>
        <w:t>OriginalName</w:t>
        <w:br/>
        <w:t>DeviceId</w:t>
        <w:br/>
        <w:t>LogTime</w:t>
        <w:br/>
        <w:t>Status</w:t>
        <w:br/>
        <w:t>CreateTime</w:t>
        <w:br/>
        <w:t>UpdateTime</w:t>
        <w:br/>
        <w:br/>
        <w:br/>
        <w:t>AnalysisTask：</w:t>
        <w:br/>
        <w:br/>
        <w:t>Id</w:t>
        <w:br/>
        <w:t>CaseId</w:t>
        <w:br/>
        <w:t>PluginId</w:t>
        <w:br/>
        <w:t>Status</w:t>
        <w:br/>
        <w:t>StartTime</w:t>
        <w:br/>
        <w:t>EndTime</w:t>
        <w:br/>
        <w:t>ReportPath</w:t>
        <w:br/>
        <w:t>ErrorMessage</w:t>
        <w:br/>
        <w:br/>
        <w:br/>
        <w:t>PluginInfo：</w:t>
        <w:br/>
        <w:br/>
        <w:t>Id</w:t>
        <w:br/>
        <w:t>Name</w:t>
        <w:br/>
        <w:t>Version</w:t>
        <w:br/>
        <w:t>Type</w:t>
        <w:br/>
        <w:t>Path</w:t>
        <w:br/>
        <w:br/>
        <w:br/>
        <w:t>Report：</w:t>
        <w:br/>
        <w:br/>
        <w:t>Id</w:t>
        <w:br/>
        <w:t>CaseId</w:t>
        <w:br/>
        <w:t>Path</w:t>
        <w:br/>
        <w:t>CreateTime</w:t>
      </w:r>
    </w:p>
    <w:p>
      <w:pPr>
        <w:pStyle w:val="Heading2"/>
      </w:pPr>
      <w:r>
        <w:t>3. 插件SDK规范</w:t>
      </w:r>
    </w:p>
    <w:p>
      <w:r>
        <w:rPr>
          <w:sz w:val="21"/>
        </w:rPr>
        <w:t>插件目录：</w:t>
        <w:br/>
        <w:br/>
        <w:t>PluginName</w:t>
        <w:br/>
        <w:br/>
        <w:t>├── manifest.json</w:t>
        <w:br/>
        <w:t>└── Plugin.exe</w:t>
        <w:br/>
        <w:br/>
        <w:br/>
        <w:t>manifest字段：</w:t>
        <w:br/>
        <w:br/>
        <w:t>id</w:t>
        <w:br/>
        <w:t>name</w:t>
        <w:br/>
        <w:t>version</w:t>
        <w:br/>
        <w:t>type</w:t>
        <w:br/>
        <w:t>entry</w:t>
        <w:br/>
        <w:br/>
        <w:br/>
        <w:t>EXE启动：</w:t>
        <w:br/>
        <w:br/>
        <w:t>Plugin.exe</w:t>
        <w:br/>
        <w:t>--case CaseId</w:t>
        <w:br/>
        <w:t>--input SourcePath</w:t>
        <w:br/>
        <w:t>--output ReportPath</w:t>
        <w:br/>
        <w:br/>
        <w:br/>
        <w:t>返回：</w:t>
        <w:br/>
        <w:t>0 成功</w:t>
        <w:br/>
        <w:t>非0失败</w:t>
      </w:r>
    </w:p>
    <w:p>
      <w:pPr>
        <w:pStyle w:val="Heading2"/>
      </w:pPr>
      <w:r>
        <w:t>4. Report规范</w:t>
      </w:r>
    </w:p>
    <w:p>
      <w:r>
        <w:rPr>
          <w:sz w:val="21"/>
        </w:rPr>
        <w:t>统一报告：</w:t>
        <w:br/>
        <w:br/>
        <w:t>xxx.report</w:t>
        <w:br/>
        <w:br/>
        <w:t>结构：</w:t>
        <w:br/>
        <w:br/>
        <w:t>manifest.json</w:t>
        <w:br/>
        <w:t>report.html</w:t>
        <w:br/>
        <w:t>assets</w:t>
        <w:br/>
        <w:t>data</w:t>
        <w:br/>
        <w:br/>
        <w:t>Workbench使用WebView2加载report.html。</w:t>
      </w:r>
    </w:p>
    <w:p>
      <w:r>
        <w:br w:type="page"/>
      </w:r>
    </w:p>
    <w:p>
      <w:pPr>
        <w:pStyle w:val="Heading1"/>
      </w:pPr>
      <w:r>
        <w:t>5. 安装器与配置实现</w:t>
      </w:r>
    </w:p>
    <w:p>
      <w:pPr>
        <w:pStyle w:val="Heading2"/>
      </w:pPr>
      <w:r>
        <w:t>5.1 配置模型</w:t>
      </w:r>
    </w:p>
    <w:p>
      <w:r>
        <w:t>WorkbenchConfigurationService 负责三个 JSON 文件的读取、默认值、旧版本迁移和原子写入：</w:t>
      </w:r>
    </w:p>
    <w:p>
      <w:pPr>
        <w:pStyle w:val="ListBullet"/>
      </w:pPr>
      <w:r>
        <w:t>appsettings.json：Theme、MaxReportTabs、AutoRestoreReports。</w:t>
      </w:r>
    </w:p>
    <w:p>
      <w:pPr>
        <w:pStyle w:val="ListBullet"/>
      </w:pPr>
      <w:r>
        <w:t>workspace.json：DataPath、MonitorPaths。路径保存为绝对路径并去重。</w:t>
      </w:r>
    </w:p>
    <w:p>
      <w:pPr>
        <w:pStyle w:val="ListBullet"/>
      </w:pPr>
      <w:r>
        <w:t>plugins.json：插件 Id、Version 和 Enabled；插件文件仍由 Plugins 目录发现。</w:t>
      </w:r>
    </w:p>
    <w:p>
      <w:r>
        <w:t>首次生成配置时从 SQLite app_settings 读取旧版 watch_directory、report_restore_enabled 和 report_max_tabs；已有 JSON 配置优先于旧键值。写入采用临时文件加替换，避免中断产生半份配置。</w:t>
      </w:r>
    </w:p>
    <w:p>
      <w:pPr>
        <w:pStyle w:val="Heading2"/>
      </w:pPr>
      <w:r>
        <w:t>5.2 首次运行向导</w:t>
      </w:r>
    </w:p>
    <w:p>
      <w:r>
        <w:t>FirstRunWizard 使用 WPF MVVM。ViewModel 只收集数据并报告进度，WorkbenchInitializationService 负责创建目录、建库、迁移配置和登记内置插件。LogInboxService 使用多个 FileSystemWatcher 聚合监控目录中的日志文件。</w:t>
      </w:r>
    </w:p>
    <w:p>
      <w:pPr>
        <w:pStyle w:val="Heading1"/>
      </w:pPr>
      <w:r>
        <w:t>6. 安装、升级和卸载流程</w:t>
      </w:r>
    </w:p>
    <w:p>
      <w:pPr>
        <w:pStyle w:val="Heading2"/>
      </w:pPr>
      <w:r>
        <w:t>6.1 安装器</w:t>
      </w:r>
    </w:p>
    <w:p>
      <w:r>
        <w:t>HephaestusWorkbench.Setup 为 Windows x64 self-contained 单文件程序，使用 app.manifest 请求管理员权限。安装器从嵌入式 Payload.zip 解压程序，创建桌面和开始菜单快捷方式，并登记 Windows 应用卸载信息。</w:t>
      </w:r>
    </w:p>
    <w:p>
      <w:pPr>
        <w:pStyle w:val="Heading2"/>
      </w:pPr>
      <w:r>
        <w:t>6.2 升级保护</w:t>
      </w:r>
    </w:p>
    <w:p>
      <w:r>
        <w:t>升级前检测当前版本和运行中的 HephaestusWorkbench 进程；发现更高版本时拒绝降级。程序文件先解压到临时目录，再替换安装目录，失败时恢复旧目录。数据库备份写入用户数据目录的 Backups 子目录。</w:t>
      </w:r>
    </w:p>
    <w:p>
      <w:pPr>
        <w:pStyle w:val="Heading2"/>
      </w:pPr>
      <w:r>
        <w:t>6.3 卸载</w:t>
      </w:r>
    </w:p>
    <w:p>
      <w:r>
        <w:t>Windows 卸载入口调用已安装主程序的 --uninstall 模式。用户数据默认保留；确认删除时只允许删除解析后的数据根目录，拒绝删除磁盘根目录，并在当前进程退出后删除程序目录。</w:t>
      </w:r>
    </w:p>
    <w:p>
      <w:pPr>
        <w:pStyle w:val="Heading1"/>
      </w:pPr>
      <w:r>
        <w:t>7. 测试与验收</w:t>
      </w:r>
    </w:p>
    <w:p>
      <w:pPr>
        <w:pStyle w:val="ListBullet"/>
      </w:pPr>
      <w:r>
        <w:t>配置文件创建、旧版迁移、重复初始化和原子写入。</w:t>
      </w:r>
    </w:p>
    <w:p>
      <w:pPr>
        <w:pStyle w:val="ListBullet"/>
      </w:pPr>
      <w:r>
        <w:t>多个日志目录的扫描、聚合、去重和 watcher 切换。</w:t>
      </w:r>
    </w:p>
    <w:p>
      <w:pPr>
        <w:pStyle w:val="ListBullet"/>
      </w:pPr>
      <w:r>
        <w:t>安装包版本读取、暂存替换和路径安全校验。</w:t>
      </w:r>
    </w:p>
    <w:p>
      <w:pPr>
        <w:pStyle w:val="ListBullet"/>
      </w:pPr>
      <w:r>
        <w:t>数据库损坏备份恢复、插件异常隔离和 WebView2 缺失提示。</w:t>
      </w:r>
    </w:p>
    <w:p>
      <w:pPr>
        <w:pStyle w:val="ListBullet"/>
      </w:pPr>
      <w:r>
        <w:t>全新安装、二次启动、升级保留数据以及卸载保留/删除数据。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