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Hephaestus Workbench UI原型设计说明书 v1.0</w:t>
      </w:r>
    </w:p>
    <w:p>
      <w:pPr>
        <w:pStyle w:val="Heading2"/>
      </w:pPr>
      <w:r>
        <w:t>1. UI设计原则</w:t>
      </w:r>
    </w:p>
    <w:p>
      <w:r>
        <w:rPr>
          <w:sz w:val="21"/>
        </w:rPr>
        <w:t>目标：</w:t>
        <w:br/>
        <w:br/>
        <w:t>美观、工程化、高效率。</w:t>
        <w:br/>
        <w:br/>
        <w:t>原则：</w:t>
        <w:br/>
        <w:br/>
        <w:t>- 减少操作步骤</w:t>
        <w:br/>
        <w:t>- 状态清晰</w:t>
        <w:br/>
        <w:t>- 高频功能入口明显</w:t>
        <w:br/>
        <w:t>- 大文件处理不阻塞界面</w:t>
        <w:br/>
        <w:br/>
        <w:t>设计风格：</w:t>
        <w:br/>
        <w:t>Windows Fluent Design。</w:t>
      </w:r>
    </w:p>
    <w:p>
      <w:pPr>
        <w:pStyle w:val="Heading2"/>
      </w:pPr>
      <w:r>
        <w:t>2. 主界面原型</w:t>
      </w:r>
    </w:p>
    <w:p>
      <w:r>
        <w:rPr>
          <w:sz w:val="21"/>
        </w:rPr>
        <w:t>布局：</w:t>
        <w:br/>
        <w:br/>
        <w:t>+--------------------------------+</w:t>
        <w:br/>
        <w:t>| Logo     Hephaestus Workbench    |</w:t>
        <w:br/>
        <w:t>+--------------------------------+</w:t>
        <w:br/>
        <w:t>| 首页 | 日志 | 案例 | 任务 | 设置 |</w:t>
        <w:br/>
        <w:t>+--------------------------------+</w:t>
        <w:br/>
        <w:t>|                                |</w:t>
        <w:br/>
        <w:t>|        工作区域                |</w:t>
        <w:br/>
        <w:t>|                                |</w:t>
        <w:br/>
        <w:t>+--------------------------------+</w:t>
        <w:br/>
        <w:br/>
        <w:br/>
        <w:t>左侧导航：</w:t>
        <w:br/>
        <w:t>模块入口。</w:t>
        <w:br/>
        <w:br/>
        <w:t>中间区域：</w:t>
        <w:br/>
        <w:t>当前工作内容。</w:t>
        <w:br/>
        <w:br/>
        <w:t>右侧：</w:t>
        <w:br/>
        <w:t>状态信息。</w:t>
      </w:r>
    </w:p>
    <w:p>
      <w:pPr>
        <w:pStyle w:val="Heading2"/>
      </w:pPr>
      <w:r>
        <w:t>3. Dashboard首页</w:t>
      </w:r>
    </w:p>
    <w:p>
      <w:r>
        <w:rPr>
          <w:sz w:val="21"/>
        </w:rPr>
        <w:t>区域：</w:t>
        <w:br/>
        <w:br/>
        <w:t>最近案例：</w:t>
        <w:br/>
        <w:br/>
        <w:t>[客户A网络异常]</w:t>
        <w:br/>
        <w:t>设备：</w:t>
        <w:br/>
        <w:t>EC661JJ042405C93</w:t>
        <w:br/>
        <w:t>状态：</w:t>
        <w:br/>
        <w:t>已完成</w:t>
        <w:br/>
        <w:t>按钮：</w:t>
        <w:br/>
        <w:t>打开报告</w:t>
        <w:br/>
        <w:br/>
        <w:br/>
        <w:t>当前任务：</w:t>
        <w:br/>
        <w:br/>
        <w:t>客户B性能分析</w:t>
        <w:br/>
        <w:t>状态：</w:t>
        <w:br/>
        <w:t>分析中</w:t>
        <w:br/>
        <w:br/>
        <w:br/>
        <w:t>存储：</w:t>
        <w:br/>
        <w:br/>
        <w:t>占用：</w:t>
        <w:br/>
        <w:t>350GB</w:t>
        <w:br/>
        <w:t>可释放：</w:t>
        <w:br/>
        <w:t>120GB</w:t>
      </w:r>
    </w:p>
    <w:p>
      <w:pPr>
        <w:pStyle w:val="Heading2"/>
      </w:pPr>
      <w:r>
        <w:t>4. 日志收件箱页面</w:t>
      </w:r>
    </w:p>
    <w:p>
      <w:r>
        <w:rPr>
          <w:sz w:val="21"/>
        </w:rPr>
        <w:t>列表：</w:t>
        <w:br/>
        <w:br/>
        <w:t>文件名：</w:t>
        <w:br/>
        <w:t>diag_EC661JJ042405C93_202608110952.tgz</w:t>
        <w:br/>
        <w:br/>
        <w:t>设备：</w:t>
        <w:br/>
        <w:t>EC661JJ042405C93</w:t>
        <w:br/>
        <w:br/>
        <w:t>时间：</w:t>
        <w:br/>
        <w:t>2026-08-11 09:52</w:t>
        <w:br/>
        <w:br/>
        <w:t>操作：</w:t>
        <w:br/>
        <w:br/>
        <w:t>[开始分析]</w:t>
        <w:br/>
        <w:br/>
        <w:br/>
        <w:t>异常：</w:t>
        <w:br/>
        <w:br/>
        <w:t>压缩包损坏</w:t>
        <w:br/>
        <w:br/>
        <w:t>按钮：</w:t>
        <w:br/>
        <w:br/>
        <w:t>[删除]</w:t>
      </w:r>
    </w:p>
    <w:p>
      <w:pPr>
        <w:pStyle w:val="Heading2"/>
      </w:pPr>
      <w:r>
        <w:t>5. 案例详情页面</w:t>
      </w:r>
    </w:p>
    <w:p>
      <w:r>
        <w:rPr>
          <w:sz w:val="21"/>
        </w:rPr>
        <w:t>展示：</w:t>
        <w:br/>
        <w:br/>
        <w:t>案例名称</w:t>
        <w:br/>
        <w:br/>
        <w:t>设备ID</w:t>
        <w:br/>
        <w:br/>
        <w:t>原始日志</w:t>
        <w:br/>
        <w:br/>
        <w:t>分析插件</w:t>
        <w:br/>
        <w:br/>
        <w:t>任务状态</w:t>
        <w:br/>
        <w:br/>
        <w:t>报告入口</w:t>
        <w:br/>
        <w:br/>
        <w:br/>
        <w:t>操作：</w:t>
        <w:br/>
        <w:br/>
        <w:t>重新分析</w:t>
        <w:br/>
        <w:br/>
        <w:t>打开报告</w:t>
        <w:br/>
        <w:br/>
        <w:t>打开文件位置</w:t>
        <w:br/>
        <w:br/>
        <w:t>删除案例</w:t>
      </w:r>
    </w:p>
    <w:p>
      <w:pPr>
        <w:pStyle w:val="Heading2"/>
      </w:pPr>
      <w:r>
        <w:t>6. 报告查看页面</w:t>
      </w:r>
    </w:p>
    <w:p>
      <w:r>
        <w:rPr>
          <w:sz w:val="21"/>
        </w:rPr>
        <w:t>采用Tab形式：</w:t>
        <w:br/>
        <w:br/>
        <w:t>客户A报告 ×</w:t>
        <w:br/>
        <w:t>客户B报告 ×</w:t>
        <w:br/>
        <w:br/>
        <w:br/>
        <w:t>支持：</w:t>
        <w:br/>
        <w:br/>
        <w:t>- 多报告同时打开</w:t>
        <w:br/>
        <w:t>- 浏览器式切换</w:t>
        <w:br/>
        <w:t>- 只读查看</w:t>
      </w:r>
    </w:p>
    <w:p>
      <w:pPr>
        <w:pStyle w:val="Heading2"/>
      </w:pPr>
      <w:r>
        <w:t>7. 存储管理页面</w:t>
      </w:r>
    </w:p>
    <w:p>
      <w:r>
        <w:rPr>
          <w:sz w:val="21"/>
        </w:rPr>
        <w:t>展示：</w:t>
        <w:br/>
        <w:br/>
        <w:t>数据目录</w:t>
        <w:br/>
        <w:br/>
        <w:t>空间占用</w:t>
        <w:br/>
        <w:br/>
        <w:t>案例数量</w:t>
        <w:br/>
        <w:br/>
        <w:t>可释放空间</w:t>
        <w:br/>
        <w:br/>
        <w:br/>
        <w:t>操作：</w:t>
        <w:br/>
        <w:br/>
        <w:t>[分析空间]</w:t>
        <w:br/>
        <w:br/>
        <w:t>[清理日志]</w:t>
        <w:br/>
        <w:br/>
        <w:t>[迁移数据位置]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