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Hephaestus Workbench 软件需求规格说明书（SRS v1.0）完整版</w:t>
      </w:r>
    </w:p>
    <w:p>
      <w:pPr>
        <w:pStyle w:val="Heading2"/>
      </w:pPr>
      <w:r>
        <w:t>1. 文档目的</w:t>
      </w:r>
    </w:p>
    <w:p>
      <w:r>
        <w:rPr>
          <w:sz w:val="21"/>
        </w:rPr>
        <w:t>本文档定义 Hephaestus Workbench 产品需求，用于指导产品设计、软件开发、测试验证和后续维护。</w:t>
        <w:br/>
        <w:br/>
        <w:t>产品目标：</w:t>
        <w:br/>
        <w:t>为内部工程师提供一个 Windows 桌面分析工作台，通过插件化分析工具完成日志分析、报告查看和分析数据管理。</w:t>
      </w:r>
    </w:p>
    <w:p>
      <w:pPr>
        <w:pStyle w:val="Heading2"/>
      </w:pPr>
      <w:r>
        <w:t>2. 产品定位</w:t>
      </w:r>
    </w:p>
    <w:p>
      <w:r>
        <w:rPr>
          <w:sz w:val="21"/>
        </w:rPr>
        <w:t>Hephaestus Workbench 是面向内部工程师的单机 Windows 分析工作台。</w:t>
        <w:br/>
        <w:br/>
        <w:t>核心价值：</w:t>
        <w:br/>
        <w:t>1. 降低日志分析操作复杂度。</w:t>
        <w:br/>
        <w:t>2. 统一分析工具入口。</w:t>
        <w:br/>
        <w:t>3. 管理大量日志压缩包、解压文件和分析报告。</w:t>
        <w:br/>
        <w:t>4. 支持多个分析任务并行管理。</w:t>
        <w:br/>
        <w:br/>
        <w:t>产品不是：</w:t>
        <w:br/>
        <w:t>- 客户管理系统</w:t>
        <w:br/>
        <w:t>- 工单系统</w:t>
        <w:br/>
        <w:t>- 多人协作平台</w:t>
        <w:br/>
        <w:t>- 权限管理平台</w:t>
      </w:r>
    </w:p>
    <w:p>
      <w:pPr>
        <w:pStyle w:val="Heading2"/>
      </w:pPr>
      <w:r>
        <w:t>3. 使用环境</w:t>
      </w:r>
    </w:p>
    <w:p>
      <w:r>
        <w:rPr>
          <w:sz w:val="21"/>
        </w:rPr>
        <w:t>目标系统：</w:t>
        <w:br/>
        <w:br/>
        <w:t>支持：</w:t>
        <w:br/>
        <w:t>- Windows 10 64位</w:t>
        <w:br/>
        <w:t>- Windows 11 64位</w:t>
        <w:br/>
        <w:br/>
        <w:t>运行模式：</w:t>
        <w:br/>
        <w:t>- 单机独立运行</w:t>
        <w:br/>
        <w:t>- 本地SQLite数据库</w:t>
        <w:br/>
        <w:t>- 本地文件系统存储</w:t>
        <w:br/>
        <w:br/>
        <w:t>不支持：</w:t>
        <w:br/>
        <w:t>- 网络共享数据库</w:t>
        <w:br/>
        <w:t>- 多用户同时访问同一案例库</w:t>
      </w:r>
    </w:p>
    <w:p>
      <w:pPr>
        <w:pStyle w:val="Heading2"/>
      </w:pPr>
      <w:r>
        <w:t>4. 用户角色</w:t>
      </w:r>
    </w:p>
    <w:p>
      <w:r>
        <w:rPr>
          <w:sz w:val="21"/>
        </w:rPr>
        <w:t>系统只有一个用户角色：</w:t>
        <w:br/>
        <w:br/>
        <w:t>工程师</w:t>
        <w:br/>
        <w:br/>
        <w:t>主要操作：</w:t>
        <w:br/>
        <w:t>- 下载客户提供日志</w:t>
        <w:br/>
        <w:t>- 查看待分析日志</w:t>
        <w:br/>
        <w:t>- 启动日志分析</w:t>
        <w:br/>
        <w:t>- 查看分析报告</w:t>
        <w:br/>
        <w:t>- 管理历史分析数据</w:t>
        <w:br/>
        <w:t>- 清理存储空间</w:t>
      </w:r>
    </w:p>
    <w:p>
      <w:pPr>
        <w:pStyle w:val="Heading2"/>
      </w:pPr>
      <w:r>
        <w:t>5. 核心业务流程</w:t>
      </w:r>
    </w:p>
    <w:p>
      <w:r>
        <w:rPr>
          <w:sz w:val="21"/>
        </w:rPr>
        <w:t>完整流程：</w:t>
        <w:br/>
        <w:br/>
        <w:t>1. 工程师下载日志压缩包。</w:t>
        <w:br/>
        <w:br/>
        <w:t>2. Workbench自动监控下载目录。</w:t>
        <w:br/>
        <w:br/>
        <w:t>3. 识别日志文件。</w:t>
        <w:br/>
        <w:br/>
        <w:t>4. 创建分析案例。</w:t>
        <w:br/>
        <w:br/>
        <w:t>5. 自动匹配分析插件。</w:t>
        <w:br/>
        <w:br/>
        <w:t>6. 后台执行分析。</w:t>
        <w:br/>
        <w:br/>
        <w:t>7. 插件生成标准报告。</w:t>
        <w:br/>
        <w:br/>
        <w:t>8. Workbench打开报告。</w:t>
        <w:br/>
        <w:br/>
        <w:t>9. 保存案例。</w:t>
        <w:br/>
        <w:br/>
        <w:t>10. 根据空间情况清理日志文件。</w:t>
      </w:r>
    </w:p>
    <w:p>
      <w:pPr>
        <w:pStyle w:val="Heading2"/>
      </w:pPr>
      <w:r>
        <w:t>6. 日志识别需求</w:t>
      </w:r>
    </w:p>
    <w:p>
      <w:r>
        <w:rPr>
          <w:sz w:val="21"/>
        </w:rPr>
        <w:t>支持日志压缩包格式：</w:t>
        <w:br/>
        <w:br/>
        <w:t>diag_{DeviceID}_{YYYYMMDDHHMM}.tgz</w:t>
        <w:br/>
        <w:br/>
        <w:br/>
        <w:t>示例：</w:t>
        <w:br/>
        <w:br/>
        <w:t>diag_EC661JJ042405C93_202608110952.tgz</w:t>
        <w:br/>
        <w:br/>
        <w:br/>
        <w:t>解析内容：</w:t>
        <w:br/>
        <w:br/>
        <w:t>DeviceID:</w:t>
        <w:br/>
        <w:t>EC661JJ042405C93</w:t>
        <w:br/>
        <w:br/>
        <w:br/>
        <w:t>时间:</w:t>
        <w:br/>
        <w:t>2026-08-11 09:52</w:t>
        <w:br/>
        <w:br/>
        <w:br/>
        <w:t>系统需要：</w:t>
        <w:br/>
        <w:br/>
        <w:t>- 自动发现新日志</w:t>
        <w:br/>
        <w:t>- 解析设备ID</w:t>
        <w:br/>
        <w:t>- 解析日志时间</w:t>
        <w:br/>
        <w:t>- 加入日志收件箱</w:t>
      </w:r>
    </w:p>
    <w:p>
      <w:pPr>
        <w:pStyle w:val="Heading2"/>
      </w:pPr>
      <w:r>
        <w:t>7. 日志收件箱需求</w:t>
      </w:r>
    </w:p>
    <w:p>
      <w:r>
        <w:rPr>
          <w:sz w:val="21"/>
        </w:rPr>
        <w:t>功能：</w:t>
        <w:br/>
        <w:br/>
        <w:t>展示发现的新日志。</w:t>
        <w:br/>
        <w:br/>
        <w:br/>
        <w:t>显示：</w:t>
        <w:br/>
        <w:br/>
        <w:t>- 文件名称</w:t>
        <w:br/>
        <w:t>- 设备ID</w:t>
        <w:br/>
        <w:t>- 日志时间</w:t>
        <w:br/>
        <w:t>- 文件大小</w:t>
        <w:br/>
        <w:t>- 当前状态</w:t>
        <w:br/>
        <w:br/>
        <w:br/>
        <w:t>操作：</w:t>
        <w:br/>
        <w:br/>
        <w:t>- 开始分析</w:t>
        <w:br/>
        <w:br/>
        <w:br/>
        <w:t>异常：</w:t>
        <w:br/>
        <w:br/>
        <w:t>如果日志压缩包损坏：</w:t>
        <w:br/>
        <w:br/>
        <w:t>- 显示解压失败</w:t>
        <w:br/>
        <w:t>- 提供删除选项</w:t>
        <w:br/>
        <w:t>- 不创建分析案例</w:t>
        <w:br/>
        <w:t>- 不保存异常记录</w:t>
      </w:r>
    </w:p>
    <w:p>
      <w:pPr>
        <w:pStyle w:val="Heading2"/>
      </w:pPr>
      <w:r>
        <w:t>8. 分析案例需求</w:t>
      </w:r>
    </w:p>
    <w:p>
      <w:r>
        <w:rPr>
          <w:sz w:val="21"/>
        </w:rPr>
        <w:t>Analysis Case 是系统核心对象。</w:t>
        <w:br/>
        <w:br/>
        <w:t>一个Case代表一次完整分析过程。</w:t>
        <w:br/>
        <w:br/>
        <w:br/>
        <w:t>包含：</w:t>
        <w:br/>
        <w:br/>
        <w:t>- 原始日志</w:t>
        <w:br/>
        <w:t>- 分析插件</w:t>
        <w:br/>
        <w:t>- 分析任务</w:t>
        <w:br/>
        <w:t>- 分析报告</w:t>
        <w:br/>
        <w:br/>
        <w:br/>
        <w:t>案例支持：</w:t>
        <w:br/>
        <w:br/>
        <w:t>- 创建</w:t>
        <w:br/>
        <w:t>- 查询</w:t>
        <w:br/>
        <w:t>- 修改名称</w:t>
        <w:br/>
        <w:t>- 查看详情</w:t>
        <w:br/>
        <w:t>- 删除</w:t>
      </w:r>
    </w:p>
    <w:p>
      <w:pPr>
        <w:pStyle w:val="Heading2"/>
      </w:pPr>
      <w:r>
        <w:t>9. 插件系统需求</w:t>
      </w:r>
    </w:p>
    <w:p>
      <w:r>
        <w:rPr>
          <w:sz w:val="21"/>
        </w:rPr>
        <w:t>分析能力通过插件实现。</w:t>
        <w:br/>
        <w:br/>
        <w:t>插件类型：</w:t>
        <w:br/>
        <w:br/>
        <w:t>1. EXE Plugin（主要）</w:t>
        <w:br/>
        <w:br/>
        <w:t>用于：</w:t>
        <w:br/>
        <w:t>- 日志解压</w:t>
        <w:br/>
        <w:t>- 日志分析</w:t>
        <w:br/>
        <w:t>- 报告生成</w:t>
        <w:br/>
        <w:br/>
        <w:br/>
        <w:t>2. DLL Plugin</w:t>
        <w:br/>
        <w:br/>
        <w:t>用于：</w:t>
        <w:br/>
        <w:t>- 小型工具扩展</w:t>
        <w:br/>
        <w:br/>
        <w:br/>
        <w:t>Workbench负责：</w:t>
        <w:br/>
        <w:br/>
        <w:t>- 插件发现</w:t>
        <w:br/>
        <w:t>- 插件调用</w:t>
        <w:br/>
        <w:t>- 生命周期管理</w:t>
        <w:br/>
        <w:t>- 结果获取</w:t>
        <w:br/>
        <w:br/>
        <w:br/>
        <w:t>插件负责：</w:t>
        <w:br/>
        <w:br/>
        <w:t>- 具体分析逻辑</w:t>
      </w:r>
    </w:p>
    <w:p>
      <w:pPr>
        <w:pStyle w:val="Heading2"/>
      </w:pPr>
      <w:r>
        <w:t>10. 任务中心需求</w:t>
      </w:r>
    </w:p>
    <w:p>
      <w:r>
        <w:rPr>
          <w:sz w:val="21"/>
        </w:rPr>
        <w:t>分析任务后台运行。</w:t>
        <w:br/>
        <w:br/>
        <w:t>状态：</w:t>
        <w:br/>
        <w:br/>
        <w:t>- Waiting 等待</w:t>
        <w:br/>
        <w:t>- Running 分析中</w:t>
        <w:br/>
        <w:t>- Completed 完成</w:t>
        <w:br/>
        <w:t>- Failed 失败</w:t>
        <w:br/>
        <w:t>- Cancelled 取消</w:t>
        <w:br/>
        <w:br/>
        <w:br/>
        <w:t>要求：</w:t>
        <w:br/>
        <w:br/>
        <w:t>- 不阻塞主界面</w:t>
        <w:br/>
        <w:t>- 支持多个任务</w:t>
        <w:br/>
        <w:t>- 支持取消任务</w:t>
        <w:br/>
        <w:br/>
        <w:t>不要求：</w:t>
        <w:br/>
        <w:br/>
        <w:t>- 实时百分比进度</w:t>
        <w:br/>
        <w:t>- 分析内部日志展示</w:t>
      </w:r>
    </w:p>
    <w:p>
      <w:pPr>
        <w:pStyle w:val="Heading2"/>
      </w:pPr>
      <w:r>
        <w:t>11. 报告查看需求</w:t>
      </w:r>
    </w:p>
    <w:p>
      <w:r>
        <w:rPr>
          <w:sz w:val="21"/>
        </w:rPr>
        <w:t>分析报告由插件生成。</w:t>
        <w:br/>
        <w:br/>
        <w:br/>
        <w:t>统一格式：</w:t>
        <w:br/>
        <w:br/>
        <w:t>xxx.report</w:t>
        <w:br/>
        <w:br/>
        <w:br/>
        <w:t>结构：</w:t>
        <w:br/>
        <w:br/>
        <w:t>manifest.json</w:t>
        <w:br/>
        <w:t>report.html</w:t>
        <w:br/>
        <w:t>assets</w:t>
        <w:br/>
        <w:t>data</w:t>
        <w:br/>
        <w:br/>
        <w:br/>
        <w:t>Workbench：</w:t>
        <w:br/>
        <w:br/>
        <w:t>- 使用WebView2打开</w:t>
        <w:br/>
        <w:t>- 支持多个报告Tab</w:t>
        <w:br/>
        <w:t>- 报告只读</w:t>
        <w:br/>
        <w:t>- 不允许编辑报告</w:t>
      </w:r>
    </w:p>
    <w:p>
      <w:pPr>
        <w:pStyle w:val="Heading2"/>
      </w:pPr>
      <w:r>
        <w:t>12. 存储管理需求</w:t>
      </w:r>
    </w:p>
    <w:p>
      <w:r>
        <w:rPr>
          <w:sz w:val="21"/>
        </w:rPr>
        <w:t>随着长期使用：</w:t>
        <w:br/>
        <w:br/>
        <w:t>日志压缩包和解压文件会大量增长。</w:t>
        <w:br/>
        <w:br/>
        <w:br/>
        <w:t>系统需要：</w:t>
        <w:br/>
        <w:br/>
        <w:t>- 统计空间占用</w:t>
        <w:br/>
        <w:t>- 显示可释放空间</w:t>
        <w:br/>
        <w:t>- 提供清理入口</w:t>
        <w:br/>
        <w:br/>
        <w:br/>
        <w:t>清理对象：</w:t>
        <w:br/>
        <w:br/>
        <w:t>删除：</w:t>
        <w:br/>
        <w:t>- 原始tgz</w:t>
        <w:br/>
        <w:t>- 解压目录</w:t>
        <w:br/>
        <w:br/>
        <w:br/>
        <w:t>保留：</w:t>
        <w:br/>
        <w:t>- Case信息</w:t>
        <w:br/>
        <w:t>- Report报告</w:t>
        <w:br/>
        <w:br/>
        <w:br/>
        <w:t>删除必须人工确认。</w:t>
      </w:r>
    </w:p>
    <w:p>
      <w:pPr>
        <w:pStyle w:val="Heading2"/>
      </w:pPr>
      <w:r>
        <w:t>13. 首页Dashboard需求</w:t>
      </w:r>
    </w:p>
    <w:p>
      <w:r>
        <w:rPr>
          <w:sz w:val="21"/>
        </w:rPr>
        <w:t>首页展示：</w:t>
        <w:br/>
        <w:br/>
        <w:t>1. 最近分析案例</w:t>
        <w:br/>
        <w:br/>
        <w:t>显示：</w:t>
        <w:br/>
        <w:t>- 案例名称</w:t>
        <w:br/>
        <w:t>- 设备ID</w:t>
        <w:br/>
        <w:t>- 状态</w:t>
        <w:br/>
        <w:t>- 打开报告入口</w:t>
        <w:br/>
        <w:br/>
        <w:br/>
        <w:t>2. 当前任务</w:t>
        <w:br/>
        <w:br/>
        <w:t>显示后台分析状态。</w:t>
        <w:br/>
        <w:br/>
        <w:br/>
        <w:t>3. 存储状态</w:t>
        <w:br/>
        <w:br/>
        <w:t>显示：</w:t>
        <w:br/>
        <w:t>- 数据目录</w:t>
        <w:br/>
        <w:t>- 占用空间</w:t>
        <w:br/>
        <w:t>- 可释放空间</w:t>
        <w:br/>
        <w:br/>
        <w:br/>
        <w:t>4. 快捷入口</w:t>
        <w:br/>
        <w:br/>
        <w:t>包括：</w:t>
        <w:br/>
        <w:t>- 日志收件箱</w:t>
        <w:br/>
        <w:t>- 案例管理</w:t>
        <w:br/>
        <w:t>- 插件中心</w:t>
        <w:br/>
        <w:t>- SSH工具</w:t>
      </w:r>
    </w:p>
    <w:p>
      <w:pPr>
        <w:pStyle w:val="Heading2"/>
      </w:pPr>
      <w:r>
        <w:t>14. 数据管理需求</w:t>
      </w:r>
    </w:p>
    <w:p>
      <w:r>
        <w:rPr>
          <w:sz w:val="21"/>
        </w:rPr>
        <w:t>数据目录由首次启动时用户选择。</w:t>
        <w:br/>
        <w:br/>
        <w:br/>
        <w:t>目录：</w:t>
        <w:br/>
        <w:br/>
        <w:t>HephaestusWorkbenchData</w:t>
        <w:br/>
        <w:br/>
        <w:t>包含：</w:t>
        <w:br/>
        <w:br/>
        <w:t>Database</w:t>
        <w:br/>
        <w:t>Cases</w:t>
        <w:br/>
        <w:t>Plugins</w:t>
        <w:br/>
        <w:t>Temp</w:t>
        <w:br/>
        <w:br/>
        <w:br/>
        <w:t>程序文件和用户数据分离。</w:t>
      </w:r>
    </w:p>
    <w:p>
      <w:pPr>
        <w:pStyle w:val="Heading2"/>
      </w:pPr>
      <w:r>
        <w:t>15. 升级需求</w:t>
      </w:r>
    </w:p>
    <w:p>
      <w:r>
        <w:rPr>
          <w:sz w:val="21"/>
        </w:rPr>
        <w:t>MVP阶段：</w:t>
        <w:br/>
        <w:br/>
        <w:t>采用手动升级。</w:t>
        <w:br/>
        <w:br/>
        <w:br/>
        <w:t>要求：</w:t>
        <w:br/>
        <w:br/>
        <w:t>升级程序时：</w:t>
        <w:br/>
        <w:br/>
        <w:t>保留：</w:t>
        <w:br/>
        <w:t>- 用户数据</w:t>
        <w:br/>
        <w:t>- 案例</w:t>
        <w:br/>
        <w:t>- 报告</w:t>
        <w:br/>
        <w:t>- 插件</w:t>
        <w:br/>
        <w:br/>
        <w:br/>
        <w:t>未来可扩展：</w:t>
        <w:br/>
        <w:br/>
        <w:t>- 内网升级中心</w:t>
        <w:br/>
        <w:t>- 插件升级管理</w:t>
      </w:r>
    </w:p>
    <w:p>
      <w:pPr>
        <w:pStyle w:val="Heading2"/>
      </w:pPr>
      <w:r>
        <w:t>16. 非功能需求</w:t>
      </w:r>
    </w:p>
    <w:p>
      <w:r>
        <w:rPr>
          <w:sz w:val="21"/>
        </w:rPr>
        <w:t>性能：</w:t>
        <w:br/>
        <w:br/>
        <w:t>- 支持GB级日志</w:t>
        <w:br/>
        <w:t>- 文件操作异步</w:t>
        <w:br/>
        <w:br/>
        <w:br/>
        <w:t>稳定性：</w:t>
        <w:br/>
        <w:br/>
        <w:t>- 插件异常不能导致主程序退出</w:t>
        <w:br/>
        <w:t>- 数据异常可恢复</w:t>
        <w:br/>
        <w:br/>
        <w:br/>
        <w:t>易用性：</w:t>
        <w:br/>
        <w:br/>
        <w:t>工程师能够快速完成：</w:t>
        <w:br/>
        <w:br/>
        <w:t>发现日志 -&gt; 分析 -&gt; 查看报告</w:t>
      </w:r>
    </w:p>
    <w:p>
      <w:pPr>
        <w:pStyle w:val="Heading2"/>
      </w:pPr>
      <w:r>
        <w:t>17. 明确不实现功能</w:t>
      </w:r>
    </w:p>
    <w:p>
      <w:r>
        <w:rPr>
          <w:sz w:val="21"/>
        </w:rPr>
        <w:t>以下功能不在当前版本范围：</w:t>
        <w:br/>
        <w:br/>
        <w:t>- 多人共享</w:t>
        <w:br/>
        <w:t>- 用户登录</w:t>
        <w:br/>
        <w:t>- 权限控制</w:t>
        <w:br/>
        <w:t>- 客户管理</w:t>
        <w:br/>
        <w:t>- 工单管理</w:t>
        <w:br/>
        <w:t>- 报告编辑</w:t>
        <w:br/>
        <w:t>- 操作审计</w:t>
        <w:br/>
        <w:t>- 自动通知客户</w:t>
      </w:r>
    </w:p>
    <w:p>
      <w:pPr>
        <w:pStyle w:val="Heading2"/>
      </w:pPr>
      <w:r>
        <w:t>18. MVP验收标准</w:t>
      </w:r>
    </w:p>
    <w:p>
      <w:r>
        <w:rPr>
          <w:sz w:val="21"/>
        </w:rPr>
        <w:t>必须满足：</w:t>
        <w:br/>
        <w:br/>
        <w:t>1. 程序可以正常启动。</w:t>
        <w:br/>
        <w:br/>
        <w:t>2. 可以自动发现diag日志。</w:t>
        <w:br/>
        <w:br/>
        <w:t>3. 可以创建分析Case。</w:t>
        <w:br/>
        <w:br/>
        <w:t>4. 可以调用分析插件。</w:t>
        <w:br/>
        <w:br/>
        <w:t>5. 可以后台执行分析。</w:t>
        <w:br/>
        <w:br/>
        <w:t>6. 可以生成并打开Report。</w:t>
        <w:br/>
        <w:br/>
        <w:t>7. 可以管理历史案例。</w:t>
        <w:br/>
        <w:br/>
        <w:t>8. 可以清理日志文件。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