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Literatur und Alleinstellungsmerkmal — wo QIRE steht</w:t>
      </w:r>
    </w:p>
    <w:p>
      <w:pPr>
        <w:spacing w:after="120"/>
      </w:pPr>
      <w:r>
        <w:t xml:space="preserve">Stand 23./24. September 2026, Agent </w:t>
      </w:r>
      <w:r>
        <w:rPr>
          <w:rFonts w:ascii="Consolas" w:cs="Consolas" w:eastAsia="Consolas" w:hAnsi="Consolas"/>
          <w:sz w:val="19"/>
          <w:szCs w:val="19"/>
        </w:rPr>
        <w:t xml:space="preserve">literatur</w:t>
      </w:r>
      <w:r>
        <w:t xml:space="preserve">. Grundlage: Websuche und Abstracts (bei BOFT, Quantum-PEFT, EUNN, Bowles et al. auch die HTML-Fassung). </w:t>
      </w:r>
      <w:r>
        <w:rPr>
          <w:b/>
          <w:bCs/>
        </w:rPr>
        <w:t xml:space="preserve">Kein Volltext ist von Malte gelesen.</w:t>
      </w:r>
      <w:r>
        <w:t xml:space="preserve"> Jede Quelle unten wurde tatsächlich gefunden; die Details stehen in den Literaturkarten unter </w:t>
      </w:r>
      <w:r>
        <w:rPr>
          <w:rFonts w:ascii="Consolas" w:cs="Consolas" w:eastAsia="Consolas" w:hAnsi="Consolas"/>
          <w:sz w:val="19"/>
          <w:szCs w:val="19"/>
        </w:rPr>
        <w:t xml:space="preserve">sources/literature_cards/karte_*.md</w:t>
      </w:r>
      <w:r>
        <w:t xml:space="preserve">.</w:t>
      </w:r>
    </w:p>
    <w:p>
      <w:pPr>
        <w:spacing w:after="120"/>
      </w:pPr>
      <w:r>
        <w:rPr>
          <w:b/>
          <w:bCs/>
        </w:rPr>
        <w:t xml:space="preserve">Die Kurzfassung in drei Sätzen:</w:t>
      </w:r>
      <w:r>
        <w:t xml:space="preserve"> Die Schaltung selbst (geteilte Winkel, O(log d) Parameter, klassisch als Butterfly/Kronecker umgesetzt) ist </w:t>
      </w:r>
      <w:r>
        <w:rPr>
          <w:b/>
          <w:bCs/>
        </w:rPr>
        <w:t xml:space="preserve">bekannt</w:t>
      </w:r>
      <w:r>
        <w:t xml:space="preserve"> — am deutlichsten durch </w:t>
      </w:r>
      <w:r>
        <w:rPr>
          <w:i/>
          <w:iCs/>
        </w:rPr>
        <w:t xml:space="preserve">Quantum-PEFT</w:t>
      </w:r>
      <w:r>
        <w:t xml:space="preserve"> (ICLR 2025), das praktisch dieselbe Schaltung schon als Adapter für Mistral-7B nutzt. Auch die Theorie „Born-Auslese = quadratische Form“ und die Kernkonzentration sind veröffentlicht. Was QIRE </w:t>
      </w:r>
      <w:r>
        <w:rPr>
          <w:b/>
          <w:bCs/>
        </w:rPr>
        <w:t xml:space="preserve">eigenes</w:t>
      </w:r>
      <w:r>
        <w:t xml:space="preserve"> hat, ist die </w:t>
      </w:r>
      <w:r>
        <w:rPr>
          <w:b/>
          <w:bCs/>
        </w:rPr>
        <w:t xml:space="preserve">Messmethodik</w:t>
      </w:r>
      <w:r>
        <w:t xml:space="preserve"> (vorregistrierte Abgrenzungstests mit TOST und Positivkontrolle) und die </w:t>
      </w:r>
      <w:r>
        <w:rPr>
          <w:b/>
          <w:bCs/>
        </w:rPr>
        <w:t xml:space="preserve">empirische Zerlegung</w:t>
      </w:r>
      <w:r>
        <w:t xml:space="preserve"> des Vorteils — beides trägt aber nur, wenn Q-020 die schwache Kontrolle von Q-003 repariert.</w:t>
      </w:r>
    </w:p>
    <w:p>
      <w:pPr>
        <w:pBdr>
          <w:bottom w:val="single" w:color="BBBBBB" w:sz="6" w:space="1"/>
        </w:pBdr>
        <w:spacing w:after="120"/>
      </w:pPr>
    </w:p>
    <w:p>
      <w:pPr>
        <w:pStyle w:val="Heading2"/>
      </w:pPr>
      <w:r>
        <w:t xml:space="preserve">0. Begriffe in einem Satz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3569"/>
        <w:gridCol w:w="535"/>
        <w:gridCol w:w="3512"/>
      </w:tblGrid>
      <w:tr>
        <w:trPr>
          <w:tblHeader/>
        </w:trPr>
        <w:tc>
          <w:tcPr>
            <w:tcW w:type="dxa" w:w="2022"/>
            <w:shd w:fill="DCE6F0" w:color="auto" w:val="clear"/>
            <w:tcMar>
              <w:top w:type="dxa" w:w="40"/>
              <w:left w:type="dxa" w:w="80"/>
              <w:bottom w:type="dxa" w:w="40"/>
              <w:right w:type="dxa" w:w="80"/>
            </w:tcMar>
          </w:tcPr>
          <w:p>
            <w:r>
              <w:rPr>
                <w:b/>
                <w:bCs/>
                <w:sz w:val="19"/>
                <w:szCs w:val="19"/>
              </w:rPr>
              <w:t xml:space="preserve">Begriff</w:t>
            </w:r>
          </w:p>
        </w:tc>
        <w:tc>
          <w:tcPr>
            <w:tcW w:type="dxa" w:w="3569"/>
            <w:shd w:fill="DCE6F0" w:color="auto" w:val="clear"/>
            <w:tcMar>
              <w:top w:type="dxa" w:w="40"/>
              <w:left w:type="dxa" w:w="80"/>
              <w:bottom w:type="dxa" w:w="40"/>
              <w:right w:type="dxa" w:w="80"/>
            </w:tcMar>
          </w:tcPr>
          <w:p>
            <w:r>
              <w:rPr>
                <w:b/>
                <w:bCs/>
                <w:sz w:val="19"/>
                <w:szCs w:val="19"/>
              </w:rPr>
              <w:t xml:space="preserve">Bedeutung</w:t>
            </w:r>
          </w:p>
        </w:tc>
        <w:tc>
          <w:tcPr>
            <w:tcW w:type="dxa" w:w="535"/>
            <w:shd w:fill="DCE6F0" w:color="auto" w:val="clear"/>
            <w:tcMar>
              <w:top w:type="dxa" w:w="40"/>
              <w:left w:type="dxa" w:w="80"/>
              <w:bottom w:type="dxa" w:w="40"/>
              <w:right w:type="dxa" w:w="80"/>
            </w:tcMar>
          </w:tcPr>
          <w:p/>
        </w:tc>
        <w:tc>
          <w:tcPr>
            <w:tcW w:type="dxa" w:w="3512"/>
            <w:shd w:fill="DCE6F0" w:color="auto" w:val="clear"/>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Butterfly</w:t>
            </w:r>
          </w:p>
        </w:tc>
        <w:tc>
          <w:tcPr>
            <w:tcW w:type="dxa" w:w="3569"/>
            <w:tcMar>
              <w:top w:type="dxa" w:w="40"/>
              <w:left w:type="dxa" w:w="80"/>
              <w:bottom w:type="dxa" w:w="40"/>
              <w:right w:type="dxa" w:w="80"/>
            </w:tcMar>
          </w:tcPr>
          <w:p>
            <w:r>
              <w:rPr>
                <w:sz w:val="19"/>
                <w:szCs w:val="19"/>
              </w:rPr>
              <w:t xml:space="preserve">Matrix als Produkt von log₂d dünnen Faktoren im Muster der schnellen Fouriertransformation; kostet O(d log d) statt d².</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Kronecker-Produkt</w:t>
            </w:r>
            <w:r>
              <w:rPr>
                <w:sz w:val="19"/>
                <w:szCs w:val="19"/>
              </w:rPr>
              <w:t xml:space="preserve"> A⊗B</w:t>
            </w:r>
          </w:p>
        </w:tc>
        <w:tc>
          <w:tcPr>
            <w:tcW w:type="dxa" w:w="3569"/>
            <w:tcMar>
              <w:top w:type="dxa" w:w="40"/>
              <w:left w:type="dxa" w:w="80"/>
              <w:bottom w:type="dxa" w:w="40"/>
              <w:right w:type="dxa" w:w="80"/>
            </w:tcMar>
          </w:tcPr>
          <w:p>
            <w:r>
              <w:rPr>
                <w:sz w:val="19"/>
                <w:szCs w:val="19"/>
              </w:rPr>
              <w:t xml:space="preserve">„Jeder Eintrag von A mal ganz B“; n Ein-Qubit-Gatter nebeneinander = Kronecker-Produkt von n 2×2-Matrizen.</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unitär / orthogonal</w:t>
            </w:r>
          </w:p>
        </w:tc>
        <w:tc>
          <w:tcPr>
            <w:tcW w:type="dxa" w:w="3569"/>
            <w:tcMar>
              <w:top w:type="dxa" w:w="40"/>
              <w:left w:type="dxa" w:w="80"/>
              <w:bottom w:type="dxa" w:w="40"/>
              <w:right w:type="dxa" w:w="80"/>
            </w:tcMar>
          </w:tcPr>
          <w:p>
            <w:r>
              <w:rPr>
                <w:sz w:val="19"/>
                <w:szCs w:val="19"/>
              </w:rPr>
              <w:t xml:space="preserve">Abbildung, die Längen erhält (alle Singulärwerte 1).</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PEFT / Adapter</w:t>
            </w:r>
          </w:p>
        </w:tc>
        <w:tc>
          <w:tcPr>
            <w:tcW w:type="dxa" w:w="3569"/>
            <w:tcMar>
              <w:top w:type="dxa" w:w="40"/>
              <w:left w:type="dxa" w:w="80"/>
              <w:bottom w:type="dxa" w:w="40"/>
              <w:right w:type="dxa" w:w="80"/>
            </w:tcMar>
          </w:tcPr>
          <w:p>
            <w:r>
              <w:rPr>
                <w:sz w:val="19"/>
                <w:szCs w:val="19"/>
              </w:rPr>
              <w:t xml:space="preserve">Ein großes vortrainiertes Modell bleibt eingefroren; trainiert wird nur ein kleiner Zusatzbaustein.</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LoRA</w:t>
            </w:r>
          </w:p>
        </w:tc>
        <w:tc>
          <w:tcPr>
            <w:tcW w:type="dxa" w:w="3569"/>
            <w:tcMar>
              <w:top w:type="dxa" w:w="40"/>
              <w:left w:type="dxa" w:w="80"/>
              <w:bottom w:type="dxa" w:w="40"/>
              <w:right w:type="dxa" w:w="80"/>
            </w:tcMar>
          </w:tcPr>
          <w:p>
            <w:r>
              <w:rPr>
                <w:sz w:val="19"/>
                <w:szCs w:val="19"/>
              </w:rPr>
              <w:t xml:space="preserve">Der Standard-Adapter: additive Niedrigrang-Änderung ΔW = B·A, 2·d·r Parameter.</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TOST</w:t>
            </w:r>
          </w:p>
        </w:tc>
        <w:tc>
          <w:tcPr>
            <w:tcW w:type="dxa" w:w="3569"/>
            <w:tcMar>
              <w:top w:type="dxa" w:w="40"/>
              <w:left w:type="dxa" w:w="80"/>
              <w:bottom w:type="dxa" w:w="40"/>
              <w:right w:type="dxa" w:w="80"/>
            </w:tcMar>
          </w:tcPr>
          <w:p>
            <w:r>
              <w:rPr>
                <w:sz w:val="19"/>
                <w:szCs w:val="19"/>
              </w:rPr>
              <w:t xml:space="preserve">Äquivalenztest: zeigt aktiv „der Unterschied liegt innerhalb ±δ“ — nicht bloß „nicht signifikant“.</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Barren Plateau / Konzentration</w:t>
            </w:r>
          </w:p>
        </w:tc>
        <w:tc>
          <w:tcPr>
            <w:tcW w:type="dxa" w:w="3569"/>
            <w:tcMar>
              <w:top w:type="dxa" w:w="40"/>
              <w:left w:type="dxa" w:w="80"/>
              <w:bottom w:type="dxa" w:w="40"/>
              <w:right w:type="dxa" w:w="80"/>
            </w:tcMar>
          </w:tcPr>
          <w:p>
            <w:r>
              <w:rPr>
                <w:sz w:val="19"/>
                <w:szCs w:val="19"/>
              </w:rPr>
              <w:t xml:space="preserve">Gradienten bzw. Kernwerte werden mit wachsender Qubitzahl exponentiell flach/gleich.</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Dequantisierung</w:t>
            </w:r>
          </w:p>
        </w:tc>
        <w:tc>
          <w:tcPr>
            <w:tcW w:type="dxa" w:w="3569"/>
            <w:tcMar>
              <w:top w:type="dxa" w:w="40"/>
              <w:left w:type="dxa" w:w="80"/>
              <w:bottom w:type="dxa" w:w="40"/>
              <w:right w:type="dxa" w:w="80"/>
            </w:tcMar>
          </w:tcPr>
          <w:p>
            <w:r>
              <w:rPr>
                <w:sz w:val="19"/>
                <w:szCs w:val="19"/>
              </w:rPr>
              <w:t xml:space="preserve">Zeigen, dass ein vermeintlicher Quantenvorteil klassisch genauso erreichbar ist.</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r>
        <w:trPr>
          <w:tblHeader w:val="false"/>
        </w:trPr>
        <w:tc>
          <w:tcPr>
            <w:tcW w:type="dxa" w:w="2022"/>
            <w:tcMar>
              <w:top w:type="dxa" w:w="40"/>
              <w:left w:type="dxa" w:w="80"/>
              <w:bottom w:type="dxa" w:w="40"/>
              <w:right w:type="dxa" w:w="80"/>
            </w:tcMar>
          </w:tcPr>
          <w:p>
            <w:r>
              <w:rPr>
                <w:sz w:val="19"/>
                <w:szCs w:val="19"/>
              </w:rPr>
              <w:t xml:space="preserve">Born-Regel</w:t>
            </w:r>
          </w:p>
        </w:tc>
        <w:tc>
          <w:tcPr>
            <w:tcW w:type="dxa" w:w="3569"/>
            <w:tcMar>
              <w:top w:type="dxa" w:w="40"/>
              <w:left w:type="dxa" w:w="80"/>
              <w:bottom w:type="dxa" w:w="40"/>
              <w:right w:type="dxa" w:w="80"/>
            </w:tcMar>
          </w:tcPr>
          <w:p>
            <w:r>
              <w:rPr>
                <w:sz w:val="19"/>
                <w:szCs w:val="19"/>
              </w:rPr>
              <w:t xml:space="preserve">Messwahrscheinlichkeit =</w:t>
            </w:r>
          </w:p>
        </w:tc>
        <w:tc>
          <w:tcPr>
            <w:tcW w:type="dxa" w:w="535"/>
            <w:tcMar>
              <w:top w:type="dxa" w:w="40"/>
              <w:left w:type="dxa" w:w="80"/>
              <w:bottom w:type="dxa" w:w="40"/>
              <w:right w:type="dxa" w:w="80"/>
            </w:tcMar>
          </w:tcPr>
          <w:p>
            <w:r>
              <w:rPr>
                <w:sz w:val="19"/>
                <w:szCs w:val="19"/>
              </w:rPr>
              <w:t xml:space="preserve">Amplitude</w:t>
            </w:r>
          </w:p>
        </w:tc>
        <w:tc>
          <w:tcPr>
            <w:tcW w:type="dxa" w:w="3512"/>
            <w:tcMar>
              <w:top w:type="dxa" w:w="40"/>
              <w:left w:type="dxa" w:w="80"/>
              <w:bottom w:type="dxa" w:w="40"/>
              <w:right w:type="dxa" w:w="80"/>
            </w:tcMar>
          </w:tcPr>
          <w:p>
            <w:r>
              <w:rPr>
                <w:sz w:val="19"/>
                <w:szCs w:val="19"/>
              </w:rPr>
              <w:t xml:space="preserve">²; bei QIRE die quadratische Auslese ⟨Z_q⟩ = xᵀA_q x / xᵀx.</w:t>
            </w:r>
          </w:p>
        </w:tc>
      </w:tr>
      <w:tr>
        <w:trPr>
          <w:tblHeader w:val="false"/>
        </w:trPr>
        <w:tc>
          <w:tcPr>
            <w:tcW w:type="dxa" w:w="2022"/>
            <w:tcMar>
              <w:top w:type="dxa" w:w="40"/>
              <w:left w:type="dxa" w:w="80"/>
              <w:bottom w:type="dxa" w:w="40"/>
              <w:right w:type="dxa" w:w="80"/>
            </w:tcMar>
          </w:tcPr>
          <w:p>
            <w:r>
              <w:rPr>
                <w:sz w:val="19"/>
                <w:szCs w:val="19"/>
              </w:rPr>
              <w:t xml:space="preserve">Effektivrang</w:t>
            </w:r>
          </w:p>
        </w:tc>
        <w:tc>
          <w:tcPr>
            <w:tcW w:type="dxa" w:w="3569"/>
            <w:tcMar>
              <w:top w:type="dxa" w:w="40"/>
              <w:left w:type="dxa" w:w="80"/>
              <w:bottom w:type="dxa" w:w="40"/>
              <w:right w:type="dxa" w:w="80"/>
            </w:tcMar>
          </w:tcPr>
          <w:p>
            <w:r>
              <w:rPr>
                <w:sz w:val="19"/>
                <w:szCs w:val="19"/>
              </w:rPr>
              <w:t xml:space="preserve">Wie viele Richtungen eine Schicht tatsächlich nutzt.</w:t>
            </w:r>
          </w:p>
        </w:tc>
        <w:tc>
          <w:tcPr>
            <w:tcW w:type="dxa" w:w="535"/>
            <w:tcMar>
              <w:top w:type="dxa" w:w="40"/>
              <w:left w:type="dxa" w:w="80"/>
              <w:bottom w:type="dxa" w:w="40"/>
              <w:right w:type="dxa" w:w="80"/>
            </w:tcMar>
          </w:tcPr>
          <w:p/>
        </w:tc>
        <w:tc>
          <w:tcPr>
            <w:tcW w:type="dxa" w:w="3512"/>
            <w:tcMar>
              <w:top w:type="dxa" w:w="40"/>
              <w:left w:type="dxa" w:w="80"/>
              <w:bottom w:type="dxa" w:w="40"/>
              <w:right w:type="dxa" w:w="80"/>
            </w:tcMar>
          </w:tcPr>
          <w:p/>
        </w:tc>
      </w:tr>
    </w:tbl>
    <w:p>
      <w:pPr>
        <w:spacing w:after="60"/>
      </w:pPr>
    </w:p>
    <w:p>
      <w:pPr>
        <w:pBdr>
          <w:bottom w:val="single" w:color="BBBBBB" w:sz="6" w:space="1"/>
        </w:pBdr>
        <w:spacing w:after="120"/>
      </w:pPr>
    </w:p>
    <w:p>
      <w:pPr>
        <w:pStyle w:val="Heading2"/>
      </w:pPr>
      <w:r>
        <w:t xml:space="preserve">1. Die Vorarbeit auf einen Blick</w:t>
      </w:r>
    </w:p>
    <w:p>
      <w:pPr>
        <w:spacing w:after="120"/>
      </w:pPr>
      <w:r>
        <w:t xml:space="preserve">Einordnung: </w:t>
      </w:r>
      <w:r>
        <w:rPr>
          <w:b/>
          <w:bCs/>
        </w:rPr>
        <w:t xml:space="preserve">B</w:t>
      </w:r>
      <w:r>
        <w:t xml:space="preserve"> = bestätigt QIRE · </w:t>
      </w:r>
      <w:r>
        <w:rPr>
          <w:b/>
          <w:bCs/>
        </w:rPr>
        <w:t xml:space="preserve">V</w:t>
      </w:r>
      <w:r>
        <w:t xml:space="preserve"> = Vorarbeit (QIRE baut darauf) · </w:t>
      </w:r>
      <w:r>
        <w:rPr>
          <w:b/>
          <w:bCs/>
        </w:rPr>
        <w:t xml:space="preserve">K</w:t>
      </w:r>
      <w:r>
        <w:t xml:space="preserve"> = Konkurrenz (macht dasselbe oder mehr) · </w:t>
      </w:r>
      <w:r>
        <w:rPr>
          <w:b/>
          <w:bCs/>
        </w:rPr>
        <w:t xml:space="preserve">G</w:t>
      </w:r>
      <w:r>
        <w:t xml:space="preserve"> = Gegenargument (schränkt eine QIRE-Aussage ein).</w:t>
      </w:r>
    </w:p>
    <w:p>
      <w:pPr>
        <w:pStyle w:val="Heading3"/>
      </w:pPr>
      <w:r>
        <w:t xml:space="preserve">1.1 Butterfly, strukturierte Matrizen, unitäre Netze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3504"/>
        <w:gridCol w:w="2630"/>
      </w:tblGrid>
      <w:tr>
        <w:trPr>
          <w:tblHeader/>
        </w:trPr>
        <w:tc>
          <w:tcPr>
            <w:tcW w:type="dxa" w:w="3504"/>
            <w:shd w:fill="DCE6F0" w:color="auto" w:val="clear"/>
            <w:tcMar>
              <w:top w:type="dxa" w:w="40"/>
              <w:left w:type="dxa" w:w="80"/>
              <w:bottom w:type="dxa" w:w="40"/>
              <w:right w:type="dxa" w:w="80"/>
            </w:tcMar>
          </w:tcPr>
          <w:p>
            <w:r>
              <w:rPr>
                <w:b/>
                <w:bCs/>
                <w:sz w:val="19"/>
                <w:szCs w:val="19"/>
              </w:rPr>
              <w:t xml:space="preserve">Arbeit</w:t>
            </w:r>
          </w:p>
        </w:tc>
        <w:tc>
          <w:tcPr>
            <w:tcW w:type="dxa" w:w="3504"/>
            <w:shd w:fill="DCE6F0" w:color="auto" w:val="clear"/>
            <w:tcMar>
              <w:top w:type="dxa" w:w="40"/>
              <w:left w:type="dxa" w:w="80"/>
              <w:bottom w:type="dxa" w:w="40"/>
              <w:right w:type="dxa" w:w="80"/>
            </w:tcMar>
          </w:tcPr>
          <w:p>
            <w:r>
              <w:rPr>
                <w:b/>
                <w:bCs/>
                <w:sz w:val="19"/>
                <w:szCs w:val="19"/>
              </w:rPr>
              <w:t xml:space="preserve">Kern</w:t>
            </w:r>
          </w:p>
        </w:tc>
        <w:tc>
          <w:tcPr>
            <w:tcW w:type="dxa" w:w="2630"/>
            <w:shd w:fill="DCE6F0" w:color="auto" w:val="clear"/>
            <w:tcMar>
              <w:top w:type="dxa" w:w="40"/>
              <w:left w:type="dxa" w:w="80"/>
              <w:bottom w:type="dxa" w:w="40"/>
              <w:right w:type="dxa" w:w="80"/>
            </w:tcMar>
          </w:tcPr>
          <w:p>
            <w:r>
              <w:rPr>
                <w:b/>
                <w:bCs/>
                <w:sz w:val="19"/>
                <w:szCs w:val="19"/>
              </w:rPr>
              <w:t xml:space="preserve">Für QIRE</w:t>
            </w:r>
          </w:p>
        </w:tc>
      </w:tr>
      <w:tr>
        <w:trPr>
          <w:tblHeader w:val="false"/>
        </w:trPr>
        <w:tc>
          <w:tcPr>
            <w:tcW w:type="dxa" w:w="3504"/>
            <w:tcMar>
              <w:top w:type="dxa" w:w="40"/>
              <w:left w:type="dxa" w:w="80"/>
              <w:bottom w:type="dxa" w:w="40"/>
              <w:right w:type="dxa" w:w="80"/>
            </w:tcMar>
          </w:tcPr>
          <w:p>
            <w:r>
              <w:rPr>
                <w:sz w:val="19"/>
                <w:szCs w:val="19"/>
              </w:rPr>
              <w:t xml:space="preserve">Dao u. a., ICML 2019 — Butterfly-Faktorisierung</w:t>
            </w:r>
          </w:p>
        </w:tc>
        <w:tc>
          <w:tcPr>
            <w:tcW w:type="dxa" w:w="3504"/>
            <w:tcMar>
              <w:top w:type="dxa" w:w="40"/>
              <w:left w:type="dxa" w:w="80"/>
              <w:bottom w:type="dxa" w:w="40"/>
              <w:right w:type="dxa" w:w="80"/>
            </w:tcMar>
          </w:tcPr>
          <w:p>
            <w:r>
              <w:rPr>
                <w:sz w:val="19"/>
                <w:szCs w:val="19"/>
              </w:rPr>
              <w:t xml:space="preserve">Butterfly-Produkte lernen DFT, Hadamard, DCT selbst</w:t>
            </w:r>
          </w:p>
        </w:tc>
        <w:tc>
          <w:tcPr>
            <w:tcW w:type="dxa" w:w="2630"/>
            <w:tcMar>
              <w:top w:type="dxa" w:w="40"/>
              <w:left w:type="dxa" w:w="80"/>
              <w:bottom w:type="dxa" w:w="40"/>
              <w:right w:type="dxa" w:w="80"/>
            </w:tcMar>
          </w:tcPr>
          <w:p>
            <w:r>
              <w:rPr>
                <w:sz w:val="19"/>
                <w:szCs w:val="19"/>
              </w:rPr>
              <w:t xml:space="preserve">V</w:t>
            </w:r>
            <w:r>
              <w:rPr>
                <w:sz w:val="19"/>
                <w:szCs w:val="19"/>
              </w:rPr>
              <w:t xml:space="preserve"> Ursprung der Struktur</w:t>
            </w:r>
          </w:p>
        </w:tc>
      </w:tr>
      <w:tr>
        <w:trPr>
          <w:tblHeader w:val="false"/>
        </w:trPr>
        <w:tc>
          <w:tcPr>
            <w:tcW w:type="dxa" w:w="3504"/>
            <w:tcMar>
              <w:top w:type="dxa" w:w="40"/>
              <w:left w:type="dxa" w:w="80"/>
              <w:bottom w:type="dxa" w:w="40"/>
              <w:right w:type="dxa" w:w="80"/>
            </w:tcMar>
          </w:tcPr>
          <w:p>
            <w:r>
              <w:rPr>
                <w:sz w:val="19"/>
                <w:szCs w:val="19"/>
              </w:rPr>
              <w:t xml:space="preserve">Dao u. a., ICLR 2020 — Kaleidoscope</w:t>
            </w:r>
          </w:p>
        </w:tc>
        <w:tc>
          <w:tcPr>
            <w:tcW w:type="dxa" w:w="3504"/>
            <w:tcMar>
              <w:top w:type="dxa" w:w="40"/>
              <w:left w:type="dxa" w:w="80"/>
              <w:bottom w:type="dxa" w:w="40"/>
              <w:right w:type="dxa" w:w="80"/>
            </w:tcMar>
          </w:tcPr>
          <w:p>
            <w:r>
              <w:rPr>
                <w:sz w:val="19"/>
                <w:szCs w:val="19"/>
              </w:rPr>
              <w:t xml:space="preserve">Butterfly-Produkte erfassen jede strukturierte Matrix</w:t>
            </w:r>
          </w:p>
        </w:tc>
        <w:tc>
          <w:tcPr>
            <w:tcW w:type="dxa" w:w="2630"/>
            <w:tcMar>
              <w:top w:type="dxa" w:w="40"/>
              <w:left w:type="dxa" w:w="80"/>
              <w:bottom w:type="dxa" w:w="40"/>
              <w:right w:type="dxa" w:w="80"/>
            </w:tcMar>
          </w:tcPr>
          <w:p>
            <w:r>
              <w:rPr>
                <w:sz w:val="19"/>
                <w:szCs w:val="19"/>
              </w:rPr>
              <w:t xml:space="preserve">V</w:t>
            </w:r>
            <w:r>
              <w:rPr>
                <w:sz w:val="19"/>
                <w:szCs w:val="19"/>
              </w:rPr>
              <w:t xml:space="preserve"> passt zu „alle Familien universell“</w:t>
            </w:r>
          </w:p>
        </w:tc>
      </w:tr>
      <w:tr>
        <w:trPr>
          <w:tblHeader w:val="false"/>
        </w:trPr>
        <w:tc>
          <w:tcPr>
            <w:tcW w:type="dxa" w:w="3504"/>
            <w:tcMar>
              <w:top w:type="dxa" w:w="40"/>
              <w:left w:type="dxa" w:w="80"/>
              <w:bottom w:type="dxa" w:w="40"/>
              <w:right w:type="dxa" w:w="80"/>
            </w:tcMar>
          </w:tcPr>
          <w:p>
            <w:r>
              <w:rPr>
                <w:sz w:val="19"/>
                <w:szCs w:val="19"/>
              </w:rPr>
              <w:t xml:space="preserve">Dao u. a., ICML 2022 — Monarch</w:t>
            </w:r>
          </w:p>
        </w:tc>
        <w:tc>
          <w:tcPr>
            <w:tcW w:type="dxa" w:w="3504"/>
            <w:tcMar>
              <w:top w:type="dxa" w:w="40"/>
              <w:left w:type="dxa" w:w="80"/>
              <w:bottom w:type="dxa" w:w="40"/>
              <w:right w:type="dxa" w:w="80"/>
            </w:tcMar>
          </w:tcPr>
          <w:p>
            <w:r>
              <w:rPr>
                <w:sz w:val="19"/>
                <w:szCs w:val="19"/>
              </w:rPr>
              <w:t xml:space="preserve">Zwei Blockdiagonalen, hardwarefreundlich</w:t>
            </w:r>
          </w:p>
        </w:tc>
        <w:tc>
          <w:tcPr>
            <w:tcW w:type="dxa" w:w="2630"/>
            <w:tcMar>
              <w:top w:type="dxa" w:w="40"/>
              <w:left w:type="dxa" w:w="80"/>
              <w:bottom w:type="dxa" w:w="40"/>
              <w:right w:type="dxa" w:w="80"/>
            </w:tcMar>
          </w:tcPr>
          <w:p>
            <w:r>
              <w:rPr>
                <w:sz w:val="19"/>
                <w:szCs w:val="19"/>
              </w:rPr>
              <w:t xml:space="preserve">V</w:t>
            </w:r>
            <w:r>
              <w:rPr>
                <w:sz w:val="19"/>
                <w:szCs w:val="19"/>
              </w:rPr>
              <w:t xml:space="preserve"> (Projekt B), </w:t>
            </w:r>
            <w:r>
              <w:rPr>
                <w:sz w:val="19"/>
                <w:szCs w:val="19"/>
              </w:rPr>
              <w:t xml:space="preserve">G</w:t>
            </w:r>
            <w:r>
              <w:rPr>
                <w:sz w:val="19"/>
                <w:szCs w:val="19"/>
              </w:rPr>
              <w:t xml:space="preserve"> zu (e)</w:t>
            </w:r>
          </w:p>
        </w:tc>
      </w:tr>
      <w:tr>
        <w:trPr>
          <w:tblHeader w:val="false"/>
        </w:trPr>
        <w:tc>
          <w:tcPr>
            <w:tcW w:type="dxa" w:w="3504"/>
            <w:tcMar>
              <w:top w:type="dxa" w:w="40"/>
              <w:left w:type="dxa" w:w="80"/>
              <w:bottom w:type="dxa" w:w="40"/>
              <w:right w:type="dxa" w:w="80"/>
            </w:tcMar>
          </w:tcPr>
          <w:p>
            <w:r>
              <w:rPr>
                <w:sz w:val="19"/>
                <w:szCs w:val="19"/>
              </w:rPr>
              <w:t xml:space="preserve">Chen, Dao u. a., ICLR 2022 — Pixelated Butterfly</w:t>
            </w:r>
          </w:p>
        </w:tc>
        <w:tc>
          <w:tcPr>
            <w:tcW w:type="dxa" w:w="3504"/>
            <w:tcMar>
              <w:top w:type="dxa" w:w="40"/>
              <w:left w:type="dxa" w:w="80"/>
              <w:bottom w:type="dxa" w:w="40"/>
              <w:right w:type="dxa" w:w="80"/>
            </w:tcMar>
          </w:tcPr>
          <w:p>
            <w:r>
              <w:rPr>
                <w:sz w:val="19"/>
                <w:szCs w:val="19"/>
              </w:rPr>
              <w:t xml:space="preserve">„Butterfly ist nicht hardwareeffizient“</w:t>
            </w:r>
          </w:p>
        </w:tc>
        <w:tc>
          <w:tcPr>
            <w:tcW w:type="dxa" w:w="2630"/>
            <w:tcMar>
              <w:top w:type="dxa" w:w="40"/>
              <w:left w:type="dxa" w:w="80"/>
              <w:bottom w:type="dxa" w:w="40"/>
              <w:right w:type="dxa" w:w="80"/>
            </w:tcMar>
          </w:tcPr>
          <w:p>
            <w:r>
              <w:rPr>
                <w:sz w:val="19"/>
                <w:szCs w:val="19"/>
              </w:rPr>
              <w:t xml:space="preserve">G</w:t>
            </w:r>
            <w:r>
              <w:rPr>
                <w:sz w:val="19"/>
                <w:szCs w:val="19"/>
              </w:rPr>
              <w:t xml:space="preserve"> zu (e)</w:t>
            </w:r>
          </w:p>
        </w:tc>
      </w:tr>
      <w:tr>
        <w:trPr>
          <w:tblHeader w:val="false"/>
        </w:trPr>
        <w:tc>
          <w:tcPr>
            <w:tcW w:type="dxa" w:w="3504"/>
            <w:tcMar>
              <w:top w:type="dxa" w:w="40"/>
              <w:left w:type="dxa" w:w="80"/>
              <w:bottom w:type="dxa" w:w="40"/>
              <w:right w:type="dxa" w:w="80"/>
            </w:tcMar>
          </w:tcPr>
          <w:p>
            <w:r>
              <w:rPr>
                <w:sz w:val="19"/>
                <w:szCs w:val="19"/>
              </w:rPr>
              <w:t xml:space="preserve">Qiu u. a., ICML 2024 — Compute Better Spent</w:t>
            </w:r>
          </w:p>
        </w:tc>
        <w:tc>
          <w:tcPr>
            <w:tcW w:type="dxa" w:w="3504"/>
            <w:tcMar>
              <w:top w:type="dxa" w:w="40"/>
              <w:left w:type="dxa" w:w="80"/>
              <w:bottom w:type="dxa" w:w="40"/>
              <w:right w:type="dxa" w:w="80"/>
            </w:tcMar>
          </w:tcPr>
          <w:p>
            <w:r>
              <w:rPr>
                <w:sz w:val="19"/>
                <w:szCs w:val="19"/>
              </w:rPr>
              <w:t xml:space="preserve">Strukturierte Schichten brauchen eigene Init- und Lernratenskalen; dann schlagen sie dicht</w:t>
            </w:r>
          </w:p>
        </w:tc>
        <w:tc>
          <w:tcPr>
            <w:tcW w:type="dxa" w:w="2630"/>
            <w:tcMar>
              <w:top w:type="dxa" w:w="40"/>
              <w:left w:type="dxa" w:w="80"/>
              <w:bottom w:type="dxa" w:w="40"/>
              <w:right w:type="dxa" w:w="80"/>
            </w:tcMar>
          </w:tcPr>
          <w:p>
            <w:r>
              <w:rPr>
                <w:sz w:val="19"/>
                <w:szCs w:val="19"/>
              </w:rPr>
              <w:t xml:space="preserve">G</w:t>
            </w:r>
            <w:r>
              <w:rPr>
                <w:sz w:val="19"/>
                <w:szCs w:val="19"/>
              </w:rPr>
              <w:t xml:space="preserve"> zu Projekt B, Hinweis für T-002</w:t>
            </w:r>
          </w:p>
        </w:tc>
      </w:tr>
      <w:tr>
        <w:trPr>
          <w:tblHeader w:val="false"/>
        </w:trPr>
        <w:tc>
          <w:tcPr>
            <w:tcW w:type="dxa" w:w="3504"/>
            <w:tcMar>
              <w:top w:type="dxa" w:w="40"/>
              <w:left w:type="dxa" w:w="80"/>
              <w:bottom w:type="dxa" w:w="40"/>
              <w:right w:type="dxa" w:w="80"/>
            </w:tcMar>
          </w:tcPr>
          <w:p>
            <w:r>
              <w:rPr>
                <w:sz w:val="19"/>
                <w:szCs w:val="19"/>
              </w:rPr>
              <w:t xml:space="preserve">Le/Sarlós/Smola, ICML 2013 — Fastfood</w:t>
            </w:r>
          </w:p>
        </w:tc>
        <w:tc>
          <w:tcPr>
            <w:tcW w:type="dxa" w:w="3504"/>
            <w:tcMar>
              <w:top w:type="dxa" w:w="40"/>
              <w:left w:type="dxa" w:w="80"/>
              <w:bottom w:type="dxa" w:w="40"/>
              <w:right w:type="dxa" w:w="80"/>
            </w:tcMar>
          </w:tcPr>
          <w:p>
            <w:r>
              <w:rPr>
                <w:sz w:val="19"/>
                <w:szCs w:val="19"/>
              </w:rPr>
              <w:t xml:space="preserve">Hadamard + Diagonalen ≈ dichte Zufallsmatrix, O(d log d)</w:t>
            </w:r>
          </w:p>
        </w:tc>
        <w:tc>
          <w:tcPr>
            <w:tcW w:type="dxa" w:w="2630"/>
            <w:tcMar>
              <w:top w:type="dxa" w:w="40"/>
              <w:left w:type="dxa" w:w="80"/>
              <w:bottom w:type="dxa" w:w="40"/>
              <w:right w:type="dxa" w:w="80"/>
            </w:tcMar>
          </w:tcPr>
          <w:p>
            <w:r>
              <w:rPr>
                <w:sz w:val="19"/>
                <w:szCs w:val="19"/>
              </w:rPr>
              <w:t xml:space="preserve">V</w:t>
            </w:r>
            <w:r>
              <w:rPr>
                <w:sz w:val="19"/>
                <w:szCs w:val="19"/>
              </w:rPr>
              <w:t xml:space="preserve"> für Q-019 Walsh</w:t>
            </w:r>
          </w:p>
        </w:tc>
      </w:tr>
      <w:tr>
        <w:trPr>
          <w:tblHeader w:val="false"/>
        </w:trPr>
        <w:tc>
          <w:tcPr>
            <w:tcW w:type="dxa" w:w="3504"/>
            <w:tcMar>
              <w:top w:type="dxa" w:w="40"/>
              <w:left w:type="dxa" w:w="80"/>
              <w:bottom w:type="dxa" w:w="40"/>
              <w:right w:type="dxa" w:w="80"/>
            </w:tcMar>
          </w:tcPr>
          <w:p>
            <w:r>
              <w:rPr>
                <w:sz w:val="19"/>
                <w:szCs w:val="19"/>
              </w:rPr>
              <w:t xml:space="preserve">Arjovsky/Shah/Bengio, ICML 2016 — uRNN</w:t>
            </w:r>
          </w:p>
        </w:tc>
        <w:tc>
          <w:tcPr>
            <w:tcW w:type="dxa" w:w="3504"/>
            <w:tcMar>
              <w:top w:type="dxa" w:w="40"/>
              <w:left w:type="dxa" w:w="80"/>
              <w:bottom w:type="dxa" w:w="40"/>
              <w:right w:type="dxa" w:w="80"/>
            </w:tcMar>
          </w:tcPr>
          <w:p>
            <w:r>
              <w:rPr>
                <w:sz w:val="19"/>
                <w:szCs w:val="19"/>
              </w:rPr>
              <w:t xml:space="preserve">Unitäre Matrix gegen verschwindende Gradienten</w:t>
            </w:r>
          </w:p>
        </w:tc>
        <w:tc>
          <w:tcPr>
            <w:tcW w:type="dxa" w:w="2630"/>
            <w:tcMar>
              <w:top w:type="dxa" w:w="40"/>
              <w:left w:type="dxa" w:w="80"/>
              <w:bottom w:type="dxa" w:w="40"/>
              <w:right w:type="dxa" w:w="80"/>
            </w:tcMar>
          </w:tcPr>
          <w:p>
            <w:r>
              <w:rPr>
                <w:sz w:val="19"/>
                <w:szCs w:val="19"/>
              </w:rPr>
              <w:t xml:space="preserve">V</w:t>
            </w:r>
            <w:r>
              <w:rPr>
                <w:sz w:val="19"/>
                <w:szCs w:val="19"/>
              </w:rPr>
              <w:t xml:space="preserve"> für Q-011</w:t>
            </w:r>
          </w:p>
        </w:tc>
      </w:tr>
      <w:tr>
        <w:trPr>
          <w:tblHeader w:val="false"/>
        </w:trPr>
        <w:tc>
          <w:tcPr>
            <w:tcW w:type="dxa" w:w="3504"/>
            <w:tcMar>
              <w:top w:type="dxa" w:w="40"/>
              <w:left w:type="dxa" w:w="80"/>
              <w:bottom w:type="dxa" w:w="40"/>
              <w:right w:type="dxa" w:w="80"/>
            </w:tcMar>
          </w:tcPr>
          <w:p>
            <w:r>
              <w:rPr>
                <w:sz w:val="19"/>
                <w:szCs w:val="19"/>
              </w:rPr>
              <w:t xml:space="preserve">Jing u. a., ICML 2017 — EUNN</w:t>
            </w:r>
          </w:p>
        </w:tc>
        <w:tc>
          <w:tcPr>
            <w:tcW w:type="dxa" w:w="3504"/>
            <w:tcMar>
              <w:top w:type="dxa" w:w="40"/>
              <w:left w:type="dxa" w:w="80"/>
              <w:bottom w:type="dxa" w:w="40"/>
              <w:right w:type="dxa" w:w="80"/>
            </w:tcMar>
          </w:tcPr>
          <w:p>
            <w:r>
              <w:rPr>
                <w:sz w:val="19"/>
                <w:szCs w:val="19"/>
              </w:rPr>
              <w:t xml:space="preserve">Unitär aus 2×2-Drehungen; „FFT-style“ mit O(N log N) </w:t>
            </w:r>
            <w:r>
              <w:rPr>
                <w:i/>
                <w:iCs/>
                <w:sz w:val="19"/>
                <w:szCs w:val="19"/>
              </w:rPr>
              <w:t xml:space="preserve">ungeteilten</w:t>
            </w:r>
            <w:r>
              <w:rPr>
                <w:sz w:val="19"/>
                <w:szCs w:val="19"/>
              </w:rPr>
              <w:t xml:space="preserve"> Winkeln</w:t>
            </w:r>
          </w:p>
        </w:tc>
        <w:tc>
          <w:tcPr>
            <w:tcW w:type="dxa" w:w="2630"/>
            <w:tcMar>
              <w:top w:type="dxa" w:w="40"/>
              <w:left w:type="dxa" w:w="80"/>
              <w:bottom w:type="dxa" w:w="40"/>
              <w:right w:type="dxa" w:w="80"/>
            </w:tcMar>
          </w:tcPr>
          <w:p>
            <w:r>
              <w:rPr>
                <w:sz w:val="19"/>
                <w:szCs w:val="19"/>
              </w:rPr>
              <w:t xml:space="preserve">V</w:t>
            </w:r>
            <w:r>
              <w:rPr>
                <w:sz w:val="19"/>
                <w:szCs w:val="19"/>
              </w:rPr>
              <w:t xml:space="preserve"> — QIRE = EUNN-FFT mit geteilten Winkeln</w:t>
            </w:r>
          </w:p>
        </w:tc>
      </w:tr>
      <w:tr>
        <w:trPr>
          <w:tblHeader w:val="false"/>
        </w:trPr>
        <w:tc>
          <w:tcPr>
            <w:tcW w:type="dxa" w:w="3504"/>
            <w:tcMar>
              <w:top w:type="dxa" w:w="40"/>
              <w:left w:type="dxa" w:w="80"/>
              <w:bottom w:type="dxa" w:w="40"/>
              <w:right w:type="dxa" w:w="80"/>
            </w:tcMar>
          </w:tcPr>
          <w:p>
            <w:r>
              <w:rPr>
                <w:sz w:val="19"/>
                <w:szCs w:val="19"/>
              </w:rPr>
              <w:t xml:space="preserve">Jose/Cissé/Fleuret, ICML 2018 — Kronecker Recurrent Units</w:t>
            </w:r>
          </w:p>
        </w:tc>
        <w:tc>
          <w:tcPr>
            <w:tcW w:type="dxa" w:w="3504"/>
            <w:tcMar>
              <w:top w:type="dxa" w:w="40"/>
              <w:left w:type="dxa" w:w="80"/>
              <w:bottom w:type="dxa" w:w="40"/>
              <w:right w:type="dxa" w:w="80"/>
            </w:tcMar>
          </w:tcPr>
          <w:p>
            <w:r>
              <w:rPr>
                <w:sz w:val="19"/>
                <w:szCs w:val="19"/>
              </w:rPr>
              <w:t xml:space="preserve">Kronecker-Produkt aus 2×2-Faktoren, </w:t>
            </w:r>
            <w:r>
              <w:rPr>
                <w:sz w:val="19"/>
                <w:szCs w:val="19"/>
              </w:rPr>
              <w:t xml:space="preserve">O(log N)</w:t>
            </w:r>
            <w:r>
              <w:rPr>
                <w:sz w:val="19"/>
                <w:szCs w:val="19"/>
              </w:rPr>
              <w:t xml:space="preserve"> Parameter, (weich) unitär</w:t>
            </w:r>
          </w:p>
        </w:tc>
        <w:tc>
          <w:tcPr>
            <w:tcW w:type="dxa" w:w="2630"/>
            <w:tcMar>
              <w:top w:type="dxa" w:w="40"/>
              <w:left w:type="dxa" w:w="80"/>
              <w:bottom w:type="dxa" w:w="40"/>
              <w:right w:type="dxa" w:w="80"/>
            </w:tcMar>
          </w:tcPr>
          <w:p>
            <w:r>
              <w:rPr>
                <w:sz w:val="19"/>
                <w:szCs w:val="19"/>
              </w:rPr>
              <w:t xml:space="preserve">K</w:t>
            </w:r>
            <w:r>
              <w:rPr>
                <w:sz w:val="19"/>
                <w:szCs w:val="19"/>
              </w:rPr>
              <w:t xml:space="preserve"> zu (a)</w:t>
            </w:r>
          </w:p>
        </w:tc>
      </w:tr>
      <w:tr>
        <w:trPr>
          <w:tblHeader w:val="false"/>
        </w:trPr>
        <w:tc>
          <w:tcPr>
            <w:tcW w:type="dxa" w:w="3504"/>
            <w:tcMar>
              <w:top w:type="dxa" w:w="40"/>
              <w:left w:type="dxa" w:w="80"/>
              <w:bottom w:type="dxa" w:w="40"/>
              <w:right w:type="dxa" w:w="80"/>
            </w:tcMar>
          </w:tcPr>
          <w:p>
            <w:r>
              <w:rPr>
                <w:sz w:val="19"/>
                <w:szCs w:val="19"/>
              </w:rPr>
              <w:t xml:space="preserve">Landman, Mathur u. a., Quantum 2022; Cherrat u. a., Quantum 2024</w:t>
            </w:r>
          </w:p>
        </w:tc>
        <w:tc>
          <w:tcPr>
            <w:tcW w:type="dxa" w:w="3504"/>
            <w:tcMar>
              <w:top w:type="dxa" w:w="40"/>
              <w:left w:type="dxa" w:w="80"/>
              <w:bottom w:type="dxa" w:w="40"/>
              <w:right w:type="dxa" w:w="80"/>
            </w:tcMar>
          </w:tcPr>
          <w:p>
            <w:r>
              <w:rPr>
                <w:sz w:val="19"/>
                <w:szCs w:val="19"/>
              </w:rPr>
              <w:t xml:space="preserve">Orthogonale Schichten/Transformer als Quantenschaltung</w:t>
            </w:r>
          </w:p>
        </w:tc>
        <w:tc>
          <w:tcPr>
            <w:tcW w:type="dxa" w:w="2630"/>
            <w:tcMar>
              <w:top w:type="dxa" w:w="40"/>
              <w:left w:type="dxa" w:w="80"/>
              <w:bottom w:type="dxa" w:w="40"/>
              <w:right w:type="dxa" w:w="80"/>
            </w:tcMar>
          </w:tcPr>
          <w:p>
            <w:r>
              <w:rPr>
                <w:sz w:val="19"/>
                <w:szCs w:val="19"/>
              </w:rPr>
              <w:t xml:space="preserve">V</w:t>
            </w:r>
            <w:r>
              <w:rPr>
                <w:sz w:val="19"/>
                <w:szCs w:val="19"/>
              </w:rPr>
              <w:t xml:space="preserve"> für T-002 (Q/K/V)</w:t>
            </w:r>
          </w:p>
        </w:tc>
      </w:tr>
    </w:tbl>
    <w:p>
      <w:pPr>
        <w:spacing w:after="60"/>
      </w:pPr>
    </w:p>
    <w:p>
      <w:pPr>
        <w:pStyle w:val="Heading3"/>
      </w:pPr>
      <w:r>
        <w:t xml:space="preserve">1.2 Finetuning mit wenigen Parametern (das dichteste Konkurrenzfeld)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3"/>
        <w:gridCol w:w="2885"/>
        <w:gridCol w:w="2712"/>
        <w:gridCol w:w="1098"/>
      </w:tblGrid>
      <w:tr>
        <w:trPr>
          <w:tblHeader/>
        </w:trPr>
        <w:tc>
          <w:tcPr>
            <w:tcW w:type="dxa" w:w="2943"/>
            <w:shd w:fill="DCE6F0" w:color="auto" w:val="clear"/>
            <w:tcMar>
              <w:top w:type="dxa" w:w="40"/>
              <w:left w:type="dxa" w:w="80"/>
              <w:bottom w:type="dxa" w:w="40"/>
              <w:right w:type="dxa" w:w="80"/>
            </w:tcMar>
          </w:tcPr>
          <w:p>
            <w:r>
              <w:rPr>
                <w:b/>
                <w:bCs/>
                <w:sz w:val="19"/>
                <w:szCs w:val="19"/>
              </w:rPr>
              <w:t xml:space="preserve">Arbeit</w:t>
            </w:r>
          </w:p>
        </w:tc>
        <w:tc>
          <w:tcPr>
            <w:tcW w:type="dxa" w:w="2885"/>
            <w:shd w:fill="DCE6F0" w:color="auto" w:val="clear"/>
            <w:tcMar>
              <w:top w:type="dxa" w:w="40"/>
              <w:left w:type="dxa" w:w="80"/>
              <w:bottom w:type="dxa" w:w="40"/>
              <w:right w:type="dxa" w:w="80"/>
            </w:tcMar>
          </w:tcPr>
          <w:p>
            <w:r>
              <w:rPr>
                <w:b/>
                <w:bCs/>
                <w:sz w:val="19"/>
                <w:szCs w:val="19"/>
              </w:rPr>
              <w:t xml:space="preserve">Kern</w:t>
            </w:r>
          </w:p>
        </w:tc>
        <w:tc>
          <w:tcPr>
            <w:tcW w:type="dxa" w:w="2712"/>
            <w:shd w:fill="DCE6F0" w:color="auto" w:val="clear"/>
            <w:tcMar>
              <w:top w:type="dxa" w:w="40"/>
              <w:left w:type="dxa" w:w="80"/>
              <w:bottom w:type="dxa" w:w="40"/>
              <w:right w:type="dxa" w:w="80"/>
            </w:tcMar>
          </w:tcPr>
          <w:p>
            <w:r>
              <w:rPr>
                <w:b/>
                <w:bCs/>
                <w:sz w:val="19"/>
                <w:szCs w:val="19"/>
              </w:rPr>
              <w:t xml:space="preserve">Parameter (Beispiel d = 256)</w:t>
            </w:r>
          </w:p>
        </w:tc>
        <w:tc>
          <w:tcPr>
            <w:tcW w:type="dxa" w:w="1098"/>
            <w:shd w:fill="DCE6F0" w:color="auto" w:val="clear"/>
            <w:tcMar>
              <w:top w:type="dxa" w:w="40"/>
              <w:left w:type="dxa" w:w="80"/>
              <w:bottom w:type="dxa" w:w="40"/>
              <w:right w:type="dxa" w:w="80"/>
            </w:tcMar>
          </w:tcPr>
          <w:p>
            <w:r>
              <w:rPr>
                <w:b/>
                <w:bCs/>
                <w:sz w:val="19"/>
                <w:szCs w:val="19"/>
              </w:rPr>
              <w:t xml:space="preserve">Für QIRE</w:t>
            </w:r>
          </w:p>
        </w:tc>
      </w:tr>
      <w:tr>
        <w:trPr>
          <w:tblHeader w:val="false"/>
        </w:trPr>
        <w:tc>
          <w:tcPr>
            <w:tcW w:type="dxa" w:w="2943"/>
            <w:tcMar>
              <w:top w:type="dxa" w:w="40"/>
              <w:left w:type="dxa" w:w="80"/>
              <w:bottom w:type="dxa" w:w="40"/>
              <w:right w:type="dxa" w:w="80"/>
            </w:tcMar>
          </w:tcPr>
          <w:p>
            <w:r>
              <w:rPr>
                <w:sz w:val="19"/>
                <w:szCs w:val="19"/>
              </w:rPr>
              <w:t xml:space="preserve">LoRA (Hu u. a., ICLR 2022)</w:t>
            </w:r>
          </w:p>
        </w:tc>
        <w:tc>
          <w:tcPr>
            <w:tcW w:type="dxa" w:w="2885"/>
            <w:tcMar>
              <w:top w:type="dxa" w:w="40"/>
              <w:left w:type="dxa" w:w="80"/>
              <w:bottom w:type="dxa" w:w="40"/>
              <w:right w:type="dxa" w:w="80"/>
            </w:tcMar>
          </w:tcPr>
          <w:p>
            <w:r>
              <w:rPr>
                <w:sz w:val="19"/>
                <w:szCs w:val="19"/>
              </w:rPr>
              <w:t xml:space="preserve">ΔW = B·A</w:t>
            </w:r>
          </w:p>
        </w:tc>
        <w:tc>
          <w:tcPr>
            <w:tcW w:type="dxa" w:w="2712"/>
            <w:tcMar>
              <w:top w:type="dxa" w:w="40"/>
              <w:left w:type="dxa" w:w="80"/>
              <w:bottom w:type="dxa" w:w="40"/>
              <w:right w:type="dxa" w:w="80"/>
            </w:tcMar>
          </w:tcPr>
          <w:p>
            <w:r>
              <w:rPr>
                <w:sz w:val="19"/>
                <w:szCs w:val="19"/>
              </w:rPr>
              <w:t xml:space="preserve">2·d·r = 512 je Rang</w:t>
            </w:r>
          </w:p>
        </w:tc>
        <w:tc>
          <w:tcPr>
            <w:tcW w:type="dxa" w:w="1098"/>
            <w:tcMar>
              <w:top w:type="dxa" w:w="40"/>
              <w:left w:type="dxa" w:w="80"/>
              <w:bottom w:type="dxa" w:w="40"/>
              <w:right w:type="dxa" w:w="80"/>
            </w:tcMar>
          </w:tcPr>
          <w:p>
            <w:r>
              <w:rPr>
                <w:sz w:val="19"/>
                <w:szCs w:val="19"/>
              </w:rPr>
              <w:t xml:space="preserve">Baseline</w:t>
            </w:r>
          </w:p>
        </w:tc>
      </w:tr>
      <w:tr>
        <w:trPr>
          <w:tblHeader w:val="false"/>
        </w:trPr>
        <w:tc>
          <w:tcPr>
            <w:tcW w:type="dxa" w:w="2943"/>
            <w:tcMar>
              <w:top w:type="dxa" w:w="40"/>
              <w:left w:type="dxa" w:w="80"/>
              <w:bottom w:type="dxa" w:w="40"/>
              <w:right w:type="dxa" w:w="80"/>
            </w:tcMar>
          </w:tcPr>
          <w:p>
            <w:r>
              <w:rPr>
                <w:sz w:val="19"/>
                <w:szCs w:val="19"/>
              </w:rPr>
              <w:t xml:space="preserve">OFT (Qiu u. a., NeurIPS 2023)</w:t>
            </w:r>
          </w:p>
        </w:tc>
        <w:tc>
          <w:tcPr>
            <w:tcW w:type="dxa" w:w="2885"/>
            <w:tcMar>
              <w:top w:type="dxa" w:w="40"/>
              <w:left w:type="dxa" w:w="80"/>
              <w:bottom w:type="dxa" w:w="40"/>
              <w:right w:type="dxa" w:w="80"/>
            </w:tcMar>
          </w:tcPr>
          <w:p>
            <w:r>
              <w:rPr>
                <w:sz w:val="19"/>
                <w:szCs w:val="19"/>
              </w:rPr>
              <w:t xml:space="preserve">W ← R·W mit R orthogonal</w:t>
            </w:r>
          </w:p>
        </w:tc>
        <w:tc>
          <w:tcPr>
            <w:tcW w:type="dxa" w:w="2712"/>
            <w:tcMar>
              <w:top w:type="dxa" w:w="40"/>
              <w:left w:type="dxa" w:w="80"/>
              <w:bottom w:type="dxa" w:w="40"/>
              <w:right w:type="dxa" w:w="80"/>
            </w:tcMar>
          </w:tcPr>
          <w:p>
            <w:r>
              <w:rPr>
                <w:sz w:val="19"/>
                <w:szCs w:val="19"/>
              </w:rPr>
              <w:t xml:space="preserve">groß (blockweise)</w:t>
            </w:r>
          </w:p>
        </w:tc>
        <w:tc>
          <w:tcPr>
            <w:tcW w:type="dxa" w:w="1098"/>
            <w:tcMar>
              <w:top w:type="dxa" w:w="40"/>
              <w:left w:type="dxa" w:w="80"/>
              <w:bottom w:type="dxa" w:w="40"/>
              <w:right w:type="dxa" w:w="80"/>
            </w:tcMar>
          </w:tcPr>
          <w:p>
            <w:r>
              <w:rPr>
                <w:sz w:val="19"/>
                <w:szCs w:val="19"/>
              </w:rPr>
              <w:t xml:space="preserve">V</w:t>
            </w:r>
          </w:p>
        </w:tc>
      </w:tr>
      <w:tr>
        <w:trPr>
          <w:tblHeader w:val="false"/>
        </w:trPr>
        <w:tc>
          <w:tcPr>
            <w:tcW w:type="dxa" w:w="2943"/>
            <w:tcMar>
              <w:top w:type="dxa" w:w="40"/>
              <w:left w:type="dxa" w:w="80"/>
              <w:bottom w:type="dxa" w:w="40"/>
              <w:right w:type="dxa" w:w="80"/>
            </w:tcMar>
          </w:tcPr>
          <w:p>
            <w:r>
              <w:rPr>
                <w:sz w:val="19"/>
                <w:szCs w:val="19"/>
              </w:rPr>
              <w:t xml:space="preserve">BOFT (Liu u. a., ICLR 2024)</w:t>
            </w:r>
          </w:p>
        </w:tc>
        <w:tc>
          <w:tcPr>
            <w:tcW w:type="dxa" w:w="2885"/>
            <w:tcMar>
              <w:top w:type="dxa" w:w="40"/>
              <w:left w:type="dxa" w:w="80"/>
              <w:bottom w:type="dxa" w:w="40"/>
              <w:right w:type="dxa" w:w="80"/>
            </w:tcMar>
          </w:tcPr>
          <w:p>
            <w:r>
              <w:rPr>
                <w:sz w:val="19"/>
                <w:szCs w:val="19"/>
              </w:rPr>
              <w:t xml:space="preserve">R als Butterfly-Produkt, Blöcke </w:t>
            </w:r>
            <w:r>
              <w:rPr>
                <w:i/>
                <w:iCs/>
                <w:sz w:val="19"/>
                <w:szCs w:val="19"/>
              </w:rPr>
              <w:t xml:space="preserve">ungeteilt</w:t>
            </w:r>
          </w:p>
        </w:tc>
        <w:tc>
          <w:tcPr>
            <w:tcW w:type="dxa" w:w="2712"/>
            <w:tcMar>
              <w:top w:type="dxa" w:w="40"/>
              <w:left w:type="dxa" w:w="80"/>
              <w:bottom w:type="dxa" w:w="40"/>
              <w:right w:type="dxa" w:w="80"/>
            </w:tcMar>
          </w:tcPr>
          <w:p>
            <w:r>
              <w:rPr>
                <w:sz w:val="19"/>
                <w:szCs w:val="19"/>
              </w:rPr>
              <w:t xml:space="preserve">½(b−1)·d·m ≈ </w:t>
            </w:r>
            <w:r>
              <w:rPr>
                <w:sz w:val="19"/>
                <w:szCs w:val="19"/>
              </w:rPr>
              <w:t xml:space="preserve">1.024</w:t>
            </w:r>
            <w:r>
              <w:rPr>
                <w:sz w:val="19"/>
                <w:szCs w:val="19"/>
              </w:rPr>
              <w:t xml:space="preserve"> (b=2, m=8)</w:t>
            </w:r>
          </w:p>
        </w:tc>
        <w:tc>
          <w:tcPr>
            <w:tcW w:type="dxa" w:w="1098"/>
            <w:tcMar>
              <w:top w:type="dxa" w:w="40"/>
              <w:left w:type="dxa" w:w="80"/>
              <w:bottom w:type="dxa" w:w="40"/>
              <w:right w:type="dxa" w:w="80"/>
            </w:tcMar>
          </w:tcPr>
          <w:p>
            <w:r>
              <w:rPr>
                <w:sz w:val="19"/>
                <w:szCs w:val="19"/>
              </w:rPr>
              <w:t xml:space="preserve">K</w:t>
            </w:r>
            <w:r>
              <w:rPr>
                <w:sz w:val="19"/>
                <w:szCs w:val="19"/>
              </w:rPr>
              <w:t xml:space="preserve"> Hauptbaseline</w:t>
            </w:r>
          </w:p>
        </w:tc>
      </w:tr>
      <w:tr>
        <w:trPr>
          <w:tblHeader w:val="false"/>
        </w:trPr>
        <w:tc>
          <w:tcPr>
            <w:tcW w:type="dxa" w:w="2943"/>
            <w:tcMar>
              <w:top w:type="dxa" w:w="40"/>
              <w:left w:type="dxa" w:w="80"/>
              <w:bottom w:type="dxa" w:w="40"/>
              <w:right w:type="dxa" w:w="80"/>
            </w:tcMar>
          </w:tcPr>
          <w:p>
            <w:r>
              <w:rPr>
                <w:sz w:val="19"/>
                <w:szCs w:val="19"/>
              </w:rPr>
              <w:t xml:space="preserve">KronA (Edalati u. a., arXiv 2022)</w:t>
            </w:r>
          </w:p>
        </w:tc>
        <w:tc>
          <w:tcPr>
            <w:tcW w:type="dxa" w:w="2885"/>
            <w:tcMar>
              <w:top w:type="dxa" w:w="40"/>
              <w:left w:type="dxa" w:w="80"/>
              <w:bottom w:type="dxa" w:w="40"/>
              <w:right w:type="dxa" w:w="80"/>
            </w:tcMar>
          </w:tcPr>
          <w:p>
            <w:r>
              <w:rPr>
                <w:sz w:val="19"/>
                <w:szCs w:val="19"/>
              </w:rPr>
              <w:t xml:space="preserve">ΔW = W_A ⊗ W_B</w:t>
            </w:r>
          </w:p>
        </w:tc>
        <w:tc>
          <w:tcPr>
            <w:tcW w:type="dxa" w:w="2712"/>
            <w:tcMar>
              <w:top w:type="dxa" w:w="40"/>
              <w:left w:type="dxa" w:w="80"/>
              <w:bottom w:type="dxa" w:w="40"/>
              <w:right w:type="dxa" w:w="80"/>
            </w:tcMar>
          </w:tcPr>
          <w:p>
            <w:r>
              <w:rPr>
                <w:sz w:val="19"/>
                <w:szCs w:val="19"/>
              </w:rPr>
              <w:t xml:space="preserve">je nach Faktoren</w:t>
            </w:r>
          </w:p>
        </w:tc>
        <w:tc>
          <w:tcPr>
            <w:tcW w:type="dxa" w:w="1098"/>
            <w:tcMar>
              <w:top w:type="dxa" w:w="40"/>
              <w:left w:type="dxa" w:w="80"/>
              <w:bottom w:type="dxa" w:w="40"/>
              <w:right w:type="dxa" w:w="80"/>
            </w:tcMar>
          </w:tcPr>
          <w:p>
            <w:r>
              <w:rPr>
                <w:sz w:val="19"/>
                <w:szCs w:val="19"/>
              </w:rPr>
              <w:t xml:space="preserve">V</w:t>
            </w:r>
          </w:p>
        </w:tc>
      </w:tr>
      <w:tr>
        <w:trPr>
          <w:tblHeader w:val="false"/>
        </w:trPr>
        <w:tc>
          <w:tcPr>
            <w:tcW w:type="dxa" w:w="2943"/>
            <w:tcMar>
              <w:top w:type="dxa" w:w="40"/>
              <w:left w:type="dxa" w:w="80"/>
              <w:bottom w:type="dxa" w:w="40"/>
              <w:right w:type="dxa" w:w="80"/>
            </w:tcMar>
          </w:tcPr>
          <w:p>
            <w:r>
              <w:rPr>
                <w:sz w:val="19"/>
                <w:szCs w:val="19"/>
              </w:rPr>
              <w:t xml:space="preserve">QuanTA (Chen u. a., NeurIPS 2024)</w:t>
            </w:r>
          </w:p>
        </w:tc>
        <w:tc>
          <w:tcPr>
            <w:tcW w:type="dxa" w:w="2885"/>
            <w:tcMar>
              <w:top w:type="dxa" w:w="40"/>
              <w:left w:type="dxa" w:w="80"/>
              <w:bottom w:type="dxa" w:w="40"/>
              <w:right w:type="dxa" w:w="80"/>
            </w:tcMar>
          </w:tcPr>
          <w:p>
            <w:r>
              <w:rPr>
                <w:sz w:val="19"/>
                <w:szCs w:val="19"/>
              </w:rPr>
              <w:t xml:space="preserve">Quanteninspirierte „Gatter auf Achsen“, hochrangig</w:t>
            </w:r>
          </w:p>
        </w:tc>
        <w:tc>
          <w:tcPr>
            <w:tcW w:type="dxa" w:w="2712"/>
            <w:tcMar>
              <w:top w:type="dxa" w:w="40"/>
              <w:left w:type="dxa" w:w="80"/>
              <w:bottom w:type="dxa" w:w="40"/>
              <w:right w:type="dxa" w:w="80"/>
            </w:tcMar>
          </w:tcPr>
          <w:p>
            <w:r>
              <w:rPr>
                <w:sz w:val="19"/>
                <w:szCs w:val="19"/>
              </w:rPr>
              <w:t xml:space="preserve">klein</w:t>
            </w:r>
          </w:p>
        </w:tc>
        <w:tc>
          <w:tcPr>
            <w:tcW w:type="dxa" w:w="1098"/>
            <w:tcMar>
              <w:top w:type="dxa" w:w="40"/>
              <w:left w:type="dxa" w:w="80"/>
              <w:bottom w:type="dxa" w:w="40"/>
              <w:right w:type="dxa" w:w="80"/>
            </w:tcMar>
          </w:tcPr>
          <w:p>
            <w:r>
              <w:rPr>
                <w:sz w:val="19"/>
                <w:szCs w:val="19"/>
              </w:rPr>
              <w:t xml:space="preserve">K</w:t>
            </w:r>
          </w:p>
        </w:tc>
      </w:tr>
      <w:tr>
        <w:trPr>
          <w:tblHeader w:val="false"/>
        </w:trPr>
        <w:tc>
          <w:tcPr>
            <w:tcW w:type="dxa" w:w="2943"/>
            <w:tcMar>
              <w:top w:type="dxa" w:w="40"/>
              <w:left w:type="dxa" w:w="80"/>
              <w:bottom w:type="dxa" w:w="40"/>
              <w:right w:type="dxa" w:w="80"/>
            </w:tcMar>
          </w:tcPr>
          <w:p>
            <w:r>
              <w:rPr>
                <w:sz w:val="19"/>
                <w:szCs w:val="19"/>
              </w:rPr>
              <w:t xml:space="preserve">Quantum-PEFT</w:t>
            </w:r>
            <w:r>
              <w:rPr>
                <w:sz w:val="19"/>
                <w:szCs w:val="19"/>
              </w:rPr>
              <w:t xml:space="preserve"> (Koike-Akino u. a., </w:t>
            </w:r>
            <w:r>
              <w:rPr>
                <w:sz w:val="19"/>
                <w:szCs w:val="19"/>
              </w:rPr>
              <w:t xml:space="preserve">ICLR 2025</w:t>
            </w:r>
            <w:r>
              <w:rPr>
                <w:sz w:val="19"/>
                <w:szCs w:val="19"/>
              </w:rPr>
              <w:t xml:space="preserve">)</w:t>
            </w:r>
          </w:p>
        </w:tc>
        <w:tc>
          <w:tcPr>
            <w:tcW w:type="dxa" w:w="2885"/>
            <w:tcMar>
              <w:top w:type="dxa" w:w="40"/>
              <w:left w:type="dxa" w:w="80"/>
              <w:bottom w:type="dxa" w:w="40"/>
              <w:right w:type="dxa" w:w="80"/>
            </w:tcMar>
          </w:tcPr>
          <w:p>
            <w:r>
              <w:rPr>
                <w:sz w:val="19"/>
                <w:szCs w:val="19"/>
              </w:rPr>
              <w:t xml:space="preserve">RY + CZ im Wechsel, L Lagen, log₂d Qubits</w:t>
            </w:r>
          </w:p>
        </w:tc>
        <w:tc>
          <w:tcPr>
            <w:tcW w:type="dxa" w:w="2712"/>
            <w:tcMar>
              <w:top w:type="dxa" w:w="40"/>
              <w:left w:type="dxa" w:w="80"/>
              <w:bottom w:type="dxa" w:w="40"/>
              <w:right w:type="dxa" w:w="80"/>
            </w:tcMar>
          </w:tcPr>
          <w:p>
            <w:r>
              <w:rPr>
                <w:sz w:val="19"/>
                <w:szCs w:val="19"/>
              </w:rPr>
              <w:t xml:space="preserve">(2L+1)·log₂d − 2L = </w:t>
            </w:r>
            <w:r>
              <w:rPr>
                <w:sz w:val="19"/>
                <w:szCs w:val="19"/>
              </w:rPr>
              <w:t xml:space="preserve">22</w:t>
            </w:r>
            <w:r>
              <w:rPr>
                <w:sz w:val="19"/>
                <w:szCs w:val="19"/>
              </w:rPr>
              <w:t xml:space="preserve"> (L=1) / </w:t>
            </w:r>
            <w:r>
              <w:rPr>
                <w:sz w:val="19"/>
                <w:szCs w:val="19"/>
              </w:rPr>
              <w:t xml:space="preserve">78</w:t>
            </w:r>
            <w:r>
              <w:rPr>
                <w:sz w:val="19"/>
                <w:szCs w:val="19"/>
              </w:rPr>
              <w:t xml:space="preserve"> (L=5)</w:t>
            </w:r>
          </w:p>
        </w:tc>
        <w:tc>
          <w:tcPr>
            <w:tcW w:type="dxa" w:w="1098"/>
            <w:tcMar>
              <w:top w:type="dxa" w:w="40"/>
              <w:left w:type="dxa" w:w="80"/>
              <w:bottom w:type="dxa" w:w="40"/>
              <w:right w:type="dxa" w:w="80"/>
            </w:tcMar>
          </w:tcPr>
          <w:p>
            <w:r>
              <w:rPr>
                <w:sz w:val="19"/>
                <w:szCs w:val="19"/>
              </w:rPr>
              <w:t xml:space="preserve">K — stärkste</w:t>
            </w:r>
          </w:p>
        </w:tc>
      </w:tr>
      <w:tr>
        <w:trPr>
          <w:tblHeader w:val="false"/>
        </w:trPr>
        <w:tc>
          <w:tcPr>
            <w:tcW w:type="dxa" w:w="2943"/>
            <w:tcMar>
              <w:top w:type="dxa" w:w="40"/>
              <w:left w:type="dxa" w:w="80"/>
              <w:bottom w:type="dxa" w:w="40"/>
              <w:right w:type="dxa" w:w="80"/>
            </w:tcMar>
          </w:tcPr>
          <w:p>
            <w:r>
              <w:rPr>
                <w:sz w:val="19"/>
                <w:szCs w:val="19"/>
              </w:rPr>
              <w:t xml:space="preserve">QPA (Liu u. a., ICLR 2025)</w:t>
            </w:r>
          </w:p>
        </w:tc>
        <w:tc>
          <w:tcPr>
            <w:tcW w:type="dxa" w:w="2885"/>
            <w:tcMar>
              <w:top w:type="dxa" w:w="40"/>
              <w:left w:type="dxa" w:w="80"/>
              <w:bottom w:type="dxa" w:w="40"/>
              <w:right w:type="dxa" w:w="80"/>
            </w:tcMar>
          </w:tcPr>
          <w:p>
            <w:r>
              <w:rPr>
                <w:sz w:val="19"/>
                <w:szCs w:val="19"/>
              </w:rPr>
              <w:t xml:space="preserve">Quanten-Netz erzeugt LoRA-Gewichte</w:t>
            </w:r>
          </w:p>
        </w:tc>
        <w:tc>
          <w:tcPr>
            <w:tcW w:type="dxa" w:w="2712"/>
            <w:tcMar>
              <w:top w:type="dxa" w:w="40"/>
              <w:left w:type="dxa" w:w="80"/>
              <w:bottom w:type="dxa" w:w="40"/>
              <w:right w:type="dxa" w:w="80"/>
            </w:tcMar>
          </w:tcPr>
          <w:p>
            <w:r>
              <w:rPr>
                <w:sz w:val="19"/>
                <w:szCs w:val="19"/>
              </w:rPr>
              <w:t xml:space="preserve">17–52 % von LoRA</w:t>
            </w:r>
          </w:p>
        </w:tc>
        <w:tc>
          <w:tcPr>
            <w:tcW w:type="dxa" w:w="1098"/>
            <w:tcMar>
              <w:top w:type="dxa" w:w="40"/>
              <w:left w:type="dxa" w:w="80"/>
              <w:bottom w:type="dxa" w:w="40"/>
              <w:right w:type="dxa" w:w="80"/>
            </w:tcMar>
          </w:tcPr>
          <w:p>
            <w:r>
              <w:rPr>
                <w:sz w:val="19"/>
                <w:szCs w:val="19"/>
              </w:rPr>
              <w:t xml:space="preserve">K</w:t>
            </w:r>
          </w:p>
        </w:tc>
      </w:tr>
      <w:tr>
        <w:trPr>
          <w:tblHeader w:val="false"/>
        </w:trPr>
        <w:tc>
          <w:tcPr>
            <w:tcW w:type="dxa" w:w="2943"/>
            <w:tcMar>
              <w:top w:type="dxa" w:w="40"/>
              <w:left w:type="dxa" w:w="80"/>
              <w:bottom w:type="dxa" w:w="40"/>
              <w:right w:type="dxa" w:w="80"/>
            </w:tcMar>
          </w:tcPr>
          <w:p>
            <w:r>
              <w:rPr>
                <w:sz w:val="19"/>
                <w:szCs w:val="19"/>
              </w:rPr>
              <w:t xml:space="preserve">QuIC (Raj/Coyle, arXiv 2025)</w:t>
            </w:r>
          </w:p>
        </w:tc>
        <w:tc>
          <w:tcPr>
            <w:tcW w:type="dxa" w:w="2885"/>
            <w:tcMar>
              <w:top w:type="dxa" w:w="40"/>
              <w:left w:type="dxa" w:w="80"/>
              <w:bottom w:type="dxa" w:w="40"/>
              <w:right w:type="dxa" w:w="80"/>
            </w:tcMar>
          </w:tcPr>
          <w:p>
            <w:r>
              <w:rPr>
                <w:sz w:val="19"/>
                <w:szCs w:val="19"/>
              </w:rPr>
              <w:t xml:space="preserve">Hamming-Gewicht-erhaltende Compound-Adapter</w:t>
            </w:r>
          </w:p>
        </w:tc>
        <w:tc>
          <w:tcPr>
            <w:tcW w:type="dxa" w:w="2712"/>
            <w:tcMar>
              <w:top w:type="dxa" w:w="40"/>
              <w:left w:type="dxa" w:w="80"/>
              <w:bottom w:type="dxa" w:w="40"/>
              <w:right w:type="dxa" w:w="80"/>
            </w:tcMar>
          </w:tcPr>
          <w:p>
            <w:r>
              <w:rPr>
                <w:sz w:val="19"/>
                <w:szCs w:val="19"/>
              </w:rPr>
              <w:t xml:space="preserve">&gt; 40× kleiner als LoRA</w:t>
            </w:r>
          </w:p>
        </w:tc>
        <w:tc>
          <w:tcPr>
            <w:tcW w:type="dxa" w:w="1098"/>
            <w:tcMar>
              <w:top w:type="dxa" w:w="40"/>
              <w:left w:type="dxa" w:w="80"/>
              <w:bottom w:type="dxa" w:w="40"/>
              <w:right w:type="dxa" w:w="80"/>
            </w:tcMar>
          </w:tcPr>
          <w:p>
            <w:r>
              <w:rPr>
                <w:sz w:val="19"/>
                <w:szCs w:val="19"/>
              </w:rPr>
              <w:t xml:space="preserve">K</w:t>
            </w:r>
          </w:p>
        </w:tc>
      </w:tr>
      <w:tr>
        <w:trPr>
          <w:tblHeader w:val="false"/>
        </w:trPr>
        <w:tc>
          <w:tcPr>
            <w:tcW w:type="dxa" w:w="2943"/>
            <w:tcMar>
              <w:top w:type="dxa" w:w="40"/>
              <w:left w:type="dxa" w:w="80"/>
              <w:bottom w:type="dxa" w:w="40"/>
              <w:right w:type="dxa" w:w="80"/>
            </w:tcMar>
          </w:tcPr>
          <w:p>
            <w:r>
              <w:rPr>
                <w:sz w:val="19"/>
                <w:szCs w:val="19"/>
              </w:rPr>
              <w:t xml:space="preserve">QTHA (Kong u. a., arXiv 2025)</w:t>
            </w:r>
          </w:p>
        </w:tc>
        <w:tc>
          <w:tcPr>
            <w:tcW w:type="dxa" w:w="2885"/>
            <w:tcMar>
              <w:top w:type="dxa" w:w="40"/>
              <w:left w:type="dxa" w:w="80"/>
              <w:bottom w:type="dxa" w:w="40"/>
              <w:right w:type="dxa" w:w="80"/>
            </w:tcMar>
          </w:tcPr>
          <w:p>
            <w:r>
              <w:rPr>
                <w:sz w:val="19"/>
                <w:szCs w:val="19"/>
              </w:rPr>
              <w:t xml:space="preserve">Quanten-Netz + Tensornetz</w:t>
            </w:r>
          </w:p>
        </w:tc>
        <w:tc>
          <w:tcPr>
            <w:tcW w:type="dxa" w:w="2712"/>
            <w:tcMar>
              <w:top w:type="dxa" w:w="40"/>
              <w:left w:type="dxa" w:w="80"/>
              <w:bottom w:type="dxa" w:w="40"/>
              <w:right w:type="dxa" w:w="80"/>
            </w:tcMar>
          </w:tcPr>
          <w:p>
            <w:r>
              <w:rPr>
                <w:sz w:val="19"/>
                <w:szCs w:val="19"/>
              </w:rPr>
              <w:t xml:space="preserve">−76 % ggü. LoRA</w:t>
            </w:r>
          </w:p>
        </w:tc>
        <w:tc>
          <w:tcPr>
            <w:tcW w:type="dxa" w:w="1098"/>
            <w:tcMar>
              <w:top w:type="dxa" w:w="40"/>
              <w:left w:type="dxa" w:w="80"/>
              <w:bottom w:type="dxa" w:w="40"/>
              <w:right w:type="dxa" w:w="80"/>
            </w:tcMar>
          </w:tcPr>
          <w:p>
            <w:r>
              <w:rPr>
                <w:sz w:val="19"/>
                <w:szCs w:val="19"/>
              </w:rPr>
              <w:t xml:space="preserve">K</w:t>
            </w:r>
          </w:p>
        </w:tc>
      </w:tr>
      <w:tr>
        <w:trPr>
          <w:tblHeader w:val="false"/>
        </w:trPr>
        <w:tc>
          <w:tcPr>
            <w:tcW w:type="dxa" w:w="2943"/>
            <w:tcMar>
              <w:top w:type="dxa" w:w="40"/>
              <w:left w:type="dxa" w:w="80"/>
              <w:bottom w:type="dxa" w:w="40"/>
              <w:right w:type="dxa" w:w="80"/>
            </w:tcMar>
          </w:tcPr>
          <w:p>
            <w:r>
              <w:rPr>
                <w:i/>
                <w:iCs/>
                <w:sz w:val="19"/>
                <w:szCs w:val="19"/>
              </w:rPr>
              <w:t xml:space="preserve">QIRE</w:t>
            </w:r>
          </w:p>
        </w:tc>
        <w:tc>
          <w:tcPr>
            <w:tcW w:type="dxa" w:w="2885"/>
            <w:tcMar>
              <w:top w:type="dxa" w:w="40"/>
              <w:left w:type="dxa" w:w="80"/>
              <w:bottom w:type="dxa" w:w="40"/>
              <w:right w:type="dxa" w:w="80"/>
            </w:tcMar>
          </w:tcPr>
          <w:p>
            <w:r>
              <w:rPr>
                <w:sz w:val="19"/>
                <w:szCs w:val="19"/>
              </w:rPr>
              <w:t xml:space="preserve">Ry/Rz je Qubit, CNOT-Ring, geteilte Winkel</w:t>
            </w:r>
          </w:p>
        </w:tc>
        <w:tc>
          <w:tcPr>
            <w:tcW w:type="dxa" w:w="2712"/>
            <w:tcMar>
              <w:top w:type="dxa" w:w="40"/>
              <w:left w:type="dxa" w:w="80"/>
              <w:bottom w:type="dxa" w:w="40"/>
              <w:right w:type="dxa" w:w="80"/>
            </w:tcMar>
          </w:tcPr>
          <w:p>
            <w:r>
              <w:rPr>
                <w:sz w:val="19"/>
                <w:szCs w:val="19"/>
              </w:rPr>
              <w:t xml:space="preserve">2·n·L = </w:t>
            </w:r>
            <w:r>
              <w:rPr>
                <w:sz w:val="19"/>
                <w:szCs w:val="19"/>
              </w:rPr>
              <w:t xml:space="preserve">16</w:t>
            </w:r>
            <w:r>
              <w:rPr>
                <w:sz w:val="19"/>
                <w:szCs w:val="19"/>
              </w:rPr>
              <w:t xml:space="preserve"> (L=1) / </w:t>
            </w:r>
            <w:r>
              <w:rPr>
                <w:sz w:val="19"/>
                <w:szCs w:val="19"/>
              </w:rPr>
              <w:t xml:space="preserve">80</w:t>
            </w:r>
            <w:r>
              <w:rPr>
                <w:sz w:val="19"/>
                <w:szCs w:val="19"/>
              </w:rPr>
              <w:t xml:space="preserve"> (L=5)</w:t>
            </w:r>
          </w:p>
        </w:tc>
        <w:tc>
          <w:tcPr>
            <w:tcW w:type="dxa" w:w="1098"/>
            <w:tcMar>
              <w:top w:type="dxa" w:w="40"/>
              <w:left w:type="dxa" w:w="80"/>
              <w:bottom w:type="dxa" w:w="40"/>
              <w:right w:type="dxa" w:w="80"/>
            </w:tcMar>
          </w:tcPr>
          <w:p>
            <w:r>
              <w:rPr>
                <w:sz w:val="19"/>
                <w:szCs w:val="19"/>
              </w:rPr>
              <w:t xml:space="preserve">—</w:t>
            </w:r>
          </w:p>
        </w:tc>
      </w:tr>
    </w:tbl>
    <w:p>
      <w:pPr>
        <w:spacing w:after="60"/>
      </w:pPr>
    </w:p>
    <w:p>
      <w:pPr>
        <w:spacing w:after="120"/>
      </w:pPr>
      <w:r>
        <w:rPr>
          <w:b/>
          <w:bCs/>
        </w:rPr>
        <w:t xml:space="preserve">Lesehilfe:</w:t>
      </w:r>
      <w:r>
        <w:t xml:space="preserve"> Quantum-PEFT und QIRE haben bei d = 256 fast dieselbe Parameterzahl (78 gegen 80), weil sie fast dieselbe Schaltung sind. Der einzige strukturelle Unterschied: Quantum-PEFT benutzt die Schaltung als </w:t>
      </w:r>
      <w:r>
        <w:rPr>
          <w:b/>
          <w:bCs/>
        </w:rPr>
        <w:t xml:space="preserve">lineare</w:t>
      </w:r>
      <w:r>
        <w:t xml:space="preserve"> unitäre Gewichtsänderung, QIRE als Schicht mit </w:t>
      </w:r>
      <w:r>
        <w:rPr>
          <w:b/>
          <w:bCs/>
        </w:rPr>
        <w:t xml:space="preserve">Born-Auslese</w:t>
      </w:r>
      <w:r>
        <w:t xml:space="preserve"> (quadratisch, nichtlinear).</w:t>
      </w:r>
    </w:p>
    <w:p>
      <w:pPr>
        <w:pStyle w:val="Heading3"/>
      </w:pPr>
      <w:r>
        <w:t xml:space="preserve">1.3 Quanten-ML fair messen und dequantisieren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CE6F0" w:color="auto" w:val="clear"/>
            <w:tcMar>
              <w:top w:type="dxa" w:w="40"/>
              <w:left w:type="dxa" w:w="80"/>
              <w:bottom w:type="dxa" w:w="40"/>
              <w:right w:type="dxa" w:w="80"/>
            </w:tcMar>
          </w:tcPr>
          <w:p>
            <w:r>
              <w:rPr>
                <w:b/>
                <w:bCs/>
                <w:sz w:val="19"/>
                <w:szCs w:val="19"/>
              </w:rPr>
              <w:t xml:space="preserve">Arbeit</w:t>
            </w:r>
          </w:p>
        </w:tc>
        <w:tc>
          <w:tcPr>
            <w:tcW w:type="dxa" w:w="3212"/>
            <w:shd w:fill="DCE6F0" w:color="auto" w:val="clear"/>
            <w:tcMar>
              <w:top w:type="dxa" w:w="40"/>
              <w:left w:type="dxa" w:w="80"/>
              <w:bottom w:type="dxa" w:w="40"/>
              <w:right w:type="dxa" w:w="80"/>
            </w:tcMar>
          </w:tcPr>
          <w:p>
            <w:r>
              <w:rPr>
                <w:b/>
                <w:bCs/>
                <w:sz w:val="19"/>
                <w:szCs w:val="19"/>
              </w:rPr>
              <w:t xml:space="preserve">Kern</w:t>
            </w:r>
          </w:p>
        </w:tc>
        <w:tc>
          <w:tcPr>
            <w:tcW w:type="dxa" w:w="3214"/>
            <w:shd w:fill="DCE6F0" w:color="auto" w:val="clear"/>
            <w:tcMar>
              <w:top w:type="dxa" w:w="40"/>
              <w:left w:type="dxa" w:w="80"/>
              <w:bottom w:type="dxa" w:w="40"/>
              <w:right w:type="dxa" w:w="80"/>
            </w:tcMar>
          </w:tcPr>
          <w:p>
            <w:r>
              <w:rPr>
                <w:b/>
                <w:bCs/>
                <w:sz w:val="19"/>
                <w:szCs w:val="19"/>
              </w:rPr>
              <w:t xml:space="preserve">Für QIRE</w:t>
            </w:r>
          </w:p>
        </w:tc>
      </w:tr>
      <w:tr>
        <w:trPr>
          <w:tblHeader w:val="false"/>
        </w:trPr>
        <w:tc>
          <w:tcPr>
            <w:tcW w:type="dxa" w:w="3212"/>
            <w:tcMar>
              <w:top w:type="dxa" w:w="40"/>
              <w:left w:type="dxa" w:w="80"/>
              <w:bottom w:type="dxa" w:w="40"/>
              <w:right w:type="dxa" w:w="80"/>
            </w:tcMar>
          </w:tcPr>
          <w:p>
            <w:r>
              <w:rPr>
                <w:sz w:val="19"/>
                <w:szCs w:val="19"/>
              </w:rPr>
              <w:t xml:space="preserve">Bowles/Ahmed/Schuld, arXiv 2024</w:t>
            </w:r>
            <w:r>
              <w:rPr>
                <w:sz w:val="19"/>
                <w:szCs w:val="19"/>
              </w:rPr>
              <w:t xml:space="preserve"> — Better than classical?</w:t>
            </w:r>
          </w:p>
        </w:tc>
        <w:tc>
          <w:tcPr>
            <w:tcW w:type="dxa" w:w="3212"/>
            <w:tcMar>
              <w:top w:type="dxa" w:w="40"/>
              <w:left w:type="dxa" w:w="80"/>
              <w:bottom w:type="dxa" w:w="40"/>
              <w:right w:type="dxa" w:w="80"/>
            </w:tcMar>
          </w:tcPr>
          <w:p>
            <w:r>
              <w:rPr>
                <w:sz w:val="19"/>
                <w:szCs w:val="19"/>
              </w:rPr>
              <w:t xml:space="preserve">12 QML-Modelle, 160 Datensätze, klassisch gewinnt. Ohne Verschränkung: Schaltung zwischen klassischen Schichten („dressed“) </w:t>
            </w:r>
            <w:r>
              <w:rPr>
                <w:sz w:val="19"/>
                <w:szCs w:val="19"/>
              </w:rPr>
              <w:t xml:space="preserve">kein Verlust</w:t>
            </w:r>
            <w:r>
              <w:rPr>
                <w:sz w:val="19"/>
                <w:szCs w:val="19"/>
              </w:rPr>
              <w:t xml:space="preserve">, Data-Reuploading und Boltzmann-Maschine </w:t>
            </w:r>
            <w:r>
              <w:rPr>
                <w:sz w:val="19"/>
                <w:szCs w:val="19"/>
              </w:rPr>
              <w:t xml:space="preserve">mit Verlust</w:t>
            </w:r>
            <w:r>
              <w:rPr>
                <w:sz w:val="19"/>
                <w:szCs w:val="19"/>
              </w:rPr>
              <w:t xml:space="preserve">. Nur Ränge, kein TOST, keine Vorregistrierung.</w:t>
            </w:r>
          </w:p>
        </w:tc>
        <w:tc>
          <w:tcPr>
            <w:tcW w:type="dxa" w:w="3214"/>
            <w:tcMar>
              <w:top w:type="dxa" w:w="40"/>
              <w:left w:type="dxa" w:w="80"/>
              <w:bottom w:type="dxa" w:w="40"/>
              <w:right w:type="dxa" w:w="80"/>
            </w:tcMar>
          </w:tcPr>
          <w:p>
            <w:r>
              <w:rPr>
                <w:sz w:val="19"/>
                <w:szCs w:val="19"/>
              </w:rPr>
              <w:t xml:space="preserve">B</w:t>
            </w:r>
            <w:r>
              <w:rPr>
                <w:sz w:val="19"/>
                <w:szCs w:val="19"/>
              </w:rPr>
              <w:t xml:space="preserve"> für Verschränkungs-Nullbefund — </w:t>
            </w:r>
            <w:r>
              <w:rPr>
                <w:i/>
                <w:iCs/>
                <w:sz w:val="19"/>
                <w:szCs w:val="19"/>
              </w:rPr>
              <w:t xml:space="preserve">aber nur im Encoder-Aufbau</w:t>
            </w:r>
            <w:r>
              <w:rPr>
                <w:sz w:val="19"/>
                <w:szCs w:val="19"/>
              </w:rPr>
              <w:t xml:space="preserve">; </w:t>
            </w:r>
            <w:r>
              <w:rPr>
                <w:sz w:val="19"/>
                <w:szCs w:val="19"/>
              </w:rPr>
              <w:t xml:space="preserve">K</w:t>
            </w:r>
            <w:r>
              <w:rPr>
                <w:sz w:val="19"/>
                <w:szCs w:val="19"/>
              </w:rPr>
              <w:t xml:space="preserve"> zu (b)</w:t>
            </w:r>
          </w:p>
        </w:tc>
      </w:tr>
      <w:tr>
        <w:trPr>
          <w:tblHeader w:val="false"/>
        </w:trPr>
        <w:tc>
          <w:tcPr>
            <w:tcW w:type="dxa" w:w="3212"/>
            <w:tcMar>
              <w:top w:type="dxa" w:w="40"/>
              <w:left w:type="dxa" w:w="80"/>
              <w:bottom w:type="dxa" w:w="40"/>
              <w:right w:type="dxa" w:w="80"/>
            </w:tcMar>
          </w:tcPr>
          <w:p>
            <w:r>
              <w:rPr>
                <w:sz w:val="19"/>
                <w:szCs w:val="19"/>
              </w:rPr>
              <w:t xml:space="preserve">Kesiku/Garcia-Zapirain, arXiv 2026 — How Quantum Circuits Actually Learn</w:t>
            </w:r>
          </w:p>
        </w:tc>
        <w:tc>
          <w:tcPr>
            <w:tcW w:type="dxa" w:w="3212"/>
            <w:tcMar>
              <w:top w:type="dxa" w:w="40"/>
              <w:left w:type="dxa" w:w="80"/>
              <w:bottom w:type="dxa" w:w="40"/>
              <w:right w:type="dxa" w:w="80"/>
            </w:tcMar>
          </w:tcPr>
          <w:p>
            <w:r>
              <w:rPr>
                <w:sz w:val="19"/>
                <w:szCs w:val="19"/>
              </w:rPr>
              <w:t xml:space="preserve">Kausale Mediation: direkter Anteil : Quantenanteil = 13,1 : 1, Quantenanteil ~0,82 %</w:t>
            </w:r>
          </w:p>
        </w:tc>
        <w:tc>
          <w:tcPr>
            <w:tcW w:type="dxa" w:w="3214"/>
            <w:tcMar>
              <w:top w:type="dxa" w:w="40"/>
              <w:left w:type="dxa" w:w="80"/>
              <w:bottom w:type="dxa" w:w="40"/>
              <w:right w:type="dxa" w:w="80"/>
            </w:tcMar>
          </w:tcPr>
          <w:p>
            <w:r>
              <w:rPr>
                <w:sz w:val="19"/>
                <w:szCs w:val="19"/>
              </w:rPr>
              <w:t xml:space="preserve">B</w:t>
            </w:r>
            <w:r>
              <w:rPr>
                <w:sz w:val="19"/>
                <w:szCs w:val="19"/>
              </w:rPr>
              <w:t xml:space="preserve"> (Quantenanteil klein), </w:t>
            </w:r>
            <w:r>
              <w:rPr>
                <w:sz w:val="19"/>
                <w:szCs w:val="19"/>
              </w:rPr>
              <w:t xml:space="preserve">K</w:t>
            </w:r>
            <w:r>
              <w:rPr>
                <w:sz w:val="19"/>
                <w:szCs w:val="19"/>
              </w:rPr>
              <w:t xml:space="preserve"> zu (b)/(c)</w:t>
            </w:r>
          </w:p>
        </w:tc>
      </w:tr>
      <w:tr>
        <w:trPr>
          <w:tblHeader w:val="false"/>
        </w:trPr>
        <w:tc>
          <w:tcPr>
            <w:tcW w:type="dxa" w:w="3212"/>
            <w:tcMar>
              <w:top w:type="dxa" w:w="40"/>
              <w:left w:type="dxa" w:w="80"/>
              <w:bottom w:type="dxa" w:w="40"/>
              <w:right w:type="dxa" w:w="80"/>
            </w:tcMar>
          </w:tcPr>
          <w:p>
            <w:r>
              <w:rPr>
                <w:sz w:val="19"/>
                <w:szCs w:val="19"/>
              </w:rPr>
              <w:t xml:space="preserve">Zając u. a., arXiv 2026</w:t>
            </w:r>
            <w:r>
              <w:rPr>
                <w:sz w:val="19"/>
                <w:szCs w:val="19"/>
              </w:rPr>
              <w:t xml:space="preserve"> — Inverse Born Rule Equivalence</w:t>
            </w:r>
          </w:p>
        </w:tc>
        <w:tc>
          <w:tcPr>
            <w:tcW w:type="dxa" w:w="3212"/>
            <w:tcMar>
              <w:top w:type="dxa" w:w="40"/>
              <w:left w:type="dxa" w:w="80"/>
              <w:bottom w:type="dxa" w:w="40"/>
              <w:right w:type="dxa" w:w="80"/>
            </w:tcMar>
          </w:tcPr>
          <w:p>
            <w:r>
              <w:rPr>
                <w:sz w:val="19"/>
                <w:szCs w:val="19"/>
              </w:rPr>
              <w:t xml:space="preserve">Reelle Amplitudenkodierung + unitär + Rechenbasis-Messung = </w:t>
            </w:r>
            <w:r>
              <w:rPr>
                <w:sz w:val="19"/>
                <w:szCs w:val="19"/>
              </w:rPr>
              <w:t xml:space="preserve">genau die klassischen quadratischen Formen</w:t>
            </w:r>
          </w:p>
        </w:tc>
        <w:tc>
          <w:tcPr>
            <w:tcW w:type="dxa" w:w="3214"/>
            <w:tcMar>
              <w:top w:type="dxa" w:w="40"/>
              <w:left w:type="dxa" w:w="80"/>
              <w:bottom w:type="dxa" w:w="40"/>
              <w:right w:type="dxa" w:w="80"/>
            </w:tcMar>
          </w:tcPr>
          <w:p>
            <w:r>
              <w:rPr>
                <w:sz w:val="19"/>
                <w:szCs w:val="19"/>
              </w:rPr>
              <w:t xml:space="preserve">B</w:t>
            </w:r>
            <w:r>
              <w:rPr>
                <w:sz w:val="19"/>
                <w:szCs w:val="19"/>
              </w:rPr>
              <w:t xml:space="preserve"> für Rayleigh-Theorie, nimmt ihr aber die Neuheit</w:t>
            </w:r>
          </w:p>
        </w:tc>
      </w:tr>
      <w:tr>
        <w:trPr>
          <w:tblHeader w:val="false"/>
        </w:trPr>
        <w:tc>
          <w:tcPr>
            <w:tcW w:type="dxa" w:w="3212"/>
            <w:tcMar>
              <w:top w:type="dxa" w:w="40"/>
              <w:left w:type="dxa" w:w="80"/>
              <w:bottom w:type="dxa" w:w="40"/>
              <w:right w:type="dxa" w:w="80"/>
            </w:tcMar>
          </w:tcPr>
          <w:p>
            <w:r>
              <w:rPr>
                <w:sz w:val="19"/>
                <w:szCs w:val="19"/>
              </w:rPr>
              <w:t xml:space="preserve">Schuld, arXiv 2021 — QML-Modelle sind Kernmethoden</w:t>
            </w:r>
          </w:p>
        </w:tc>
        <w:tc>
          <w:tcPr>
            <w:tcW w:type="dxa" w:w="3212"/>
            <w:tcMar>
              <w:top w:type="dxa" w:w="40"/>
              <w:left w:type="dxa" w:w="80"/>
              <w:bottom w:type="dxa" w:w="40"/>
              <w:right w:type="dxa" w:w="80"/>
            </w:tcMar>
          </w:tcPr>
          <w:p>
            <w:r>
              <w:rPr>
                <w:sz w:val="19"/>
                <w:szCs w:val="19"/>
              </w:rPr>
              <w:t xml:space="preserve">Datenkodierung ist der entscheidende Baustein</w:t>
            </w:r>
          </w:p>
        </w:tc>
        <w:tc>
          <w:tcPr>
            <w:tcW w:type="dxa" w:w="3214"/>
            <w:tcMar>
              <w:top w:type="dxa" w:w="40"/>
              <w:left w:type="dxa" w:w="80"/>
              <w:bottom w:type="dxa" w:w="40"/>
              <w:right w:type="dxa" w:w="80"/>
            </w:tcMar>
          </w:tcPr>
          <w:p>
            <w:r>
              <w:rPr>
                <w:sz w:val="19"/>
                <w:szCs w:val="19"/>
              </w:rPr>
              <w:t xml:space="preserve">V</w:t>
            </w:r>
          </w:p>
        </w:tc>
      </w:tr>
      <w:tr>
        <w:trPr>
          <w:tblHeader w:val="false"/>
        </w:trPr>
        <w:tc>
          <w:tcPr>
            <w:tcW w:type="dxa" w:w="3212"/>
            <w:tcMar>
              <w:top w:type="dxa" w:w="40"/>
              <w:left w:type="dxa" w:w="80"/>
              <w:bottom w:type="dxa" w:w="40"/>
              <w:right w:type="dxa" w:w="80"/>
            </w:tcMar>
          </w:tcPr>
          <w:p>
            <w:r>
              <w:rPr>
                <w:sz w:val="19"/>
                <w:szCs w:val="19"/>
              </w:rPr>
              <w:t xml:space="preserve">Schreiber/Eisert/Meyer, PRL 2023 — Classical surrogates</w:t>
            </w:r>
          </w:p>
        </w:tc>
        <w:tc>
          <w:tcPr>
            <w:tcW w:type="dxa" w:w="3212"/>
            <w:tcMar>
              <w:top w:type="dxa" w:w="40"/>
              <w:left w:type="dxa" w:w="80"/>
              <w:bottom w:type="dxa" w:w="40"/>
              <w:right w:type="dxa" w:w="80"/>
            </w:tcMar>
          </w:tcPr>
          <w:p>
            <w:r>
              <w:rPr>
                <w:sz w:val="19"/>
                <w:szCs w:val="19"/>
              </w:rPr>
              <w:t xml:space="preserve">Trainierte Quantenmodelle haben oft klassische Surrogate</w:t>
            </w:r>
          </w:p>
        </w:tc>
        <w:tc>
          <w:tcPr>
            <w:tcW w:type="dxa" w:w="3214"/>
            <w:tcMar>
              <w:top w:type="dxa" w:w="40"/>
              <w:left w:type="dxa" w:w="80"/>
              <w:bottom w:type="dxa" w:w="40"/>
              <w:right w:type="dxa" w:w="80"/>
            </w:tcMar>
          </w:tcPr>
          <w:p>
            <w:r>
              <w:rPr>
                <w:sz w:val="19"/>
                <w:szCs w:val="19"/>
              </w:rPr>
              <w:t xml:space="preserve">B</w:t>
            </w:r>
            <w:r>
              <w:rPr>
                <w:sz w:val="19"/>
                <w:szCs w:val="19"/>
              </w:rPr>
              <w:t xml:space="preserve"> für Schaltung → Butterfly</w:t>
            </w:r>
          </w:p>
        </w:tc>
      </w:tr>
      <w:tr>
        <w:trPr>
          <w:tblHeader w:val="false"/>
        </w:trPr>
        <w:tc>
          <w:tcPr>
            <w:tcW w:type="dxa" w:w="3212"/>
            <w:tcMar>
              <w:top w:type="dxa" w:w="40"/>
              <w:left w:type="dxa" w:w="80"/>
              <w:bottom w:type="dxa" w:w="40"/>
              <w:right w:type="dxa" w:w="80"/>
            </w:tcMar>
          </w:tcPr>
          <w:p>
            <w:r>
              <w:rPr>
                <w:sz w:val="19"/>
                <w:szCs w:val="19"/>
              </w:rPr>
              <w:t xml:space="preserve">Cerezo u. a., Nat. Commun. 2025 — BP-frei ⇒ simulierbar?</w:t>
            </w:r>
          </w:p>
        </w:tc>
        <w:tc>
          <w:tcPr>
            <w:tcW w:type="dxa" w:w="3212"/>
            <w:tcMar>
              <w:top w:type="dxa" w:w="40"/>
              <w:left w:type="dxa" w:w="80"/>
              <w:bottom w:type="dxa" w:w="40"/>
              <w:right w:type="dxa" w:w="80"/>
            </w:tcMar>
          </w:tcPr>
          <w:p>
            <w:r>
              <w:rPr>
                <w:sz w:val="19"/>
                <w:szCs w:val="19"/>
              </w:rPr>
              <w:t xml:space="preserve">Beweisbar trainierbare Schaltungen sind meist klassisch simulierbar</w:t>
            </w:r>
          </w:p>
        </w:tc>
        <w:tc>
          <w:tcPr>
            <w:tcW w:type="dxa" w:w="3214"/>
            <w:tcMar>
              <w:top w:type="dxa" w:w="40"/>
              <w:left w:type="dxa" w:w="80"/>
              <w:bottom w:type="dxa" w:w="40"/>
              <w:right w:type="dxa" w:w="80"/>
            </w:tcMar>
          </w:tcPr>
          <w:p>
            <w:r>
              <w:rPr>
                <w:sz w:val="19"/>
                <w:szCs w:val="19"/>
              </w:rPr>
              <w:t xml:space="preserve">G</w:t>
            </w:r>
            <w:r>
              <w:rPr>
                <w:sz w:val="19"/>
                <w:szCs w:val="19"/>
              </w:rPr>
              <w:t xml:space="preserve"> gegen jeden Quanten-Tempoanspruch</w:t>
            </w:r>
          </w:p>
        </w:tc>
      </w:tr>
      <w:tr>
        <w:trPr>
          <w:tblHeader w:val="false"/>
        </w:trPr>
        <w:tc>
          <w:tcPr>
            <w:tcW w:type="dxa" w:w="3212"/>
            <w:tcMar>
              <w:top w:type="dxa" w:w="40"/>
              <w:left w:type="dxa" w:w="80"/>
              <w:bottom w:type="dxa" w:w="40"/>
              <w:right w:type="dxa" w:w="80"/>
            </w:tcMar>
          </w:tcPr>
          <w:p>
            <w:r>
              <w:rPr>
                <w:sz w:val="19"/>
                <w:szCs w:val="19"/>
              </w:rPr>
              <w:t xml:space="preserve">Tang, STOC 2019</w:t>
            </w:r>
          </w:p>
        </w:tc>
        <w:tc>
          <w:tcPr>
            <w:tcW w:type="dxa" w:w="3212"/>
            <w:tcMar>
              <w:top w:type="dxa" w:w="40"/>
              <w:left w:type="dxa" w:w="80"/>
              <w:bottom w:type="dxa" w:w="40"/>
              <w:right w:type="dxa" w:w="80"/>
            </w:tcMar>
          </w:tcPr>
          <w:p>
            <w:r>
              <w:rPr>
                <w:sz w:val="19"/>
                <w:szCs w:val="19"/>
              </w:rPr>
              <w:t xml:space="preserve">Quanten-Empfehlungsalgorithmus klassisch nachgebaut</w:t>
            </w:r>
          </w:p>
        </w:tc>
        <w:tc>
          <w:tcPr>
            <w:tcW w:type="dxa" w:w="3214"/>
            <w:tcMar>
              <w:top w:type="dxa" w:w="40"/>
              <w:left w:type="dxa" w:w="80"/>
              <w:bottom w:type="dxa" w:w="40"/>
              <w:right w:type="dxa" w:w="80"/>
            </w:tcMar>
          </w:tcPr>
          <w:p>
            <w:r>
              <w:rPr>
                <w:sz w:val="19"/>
                <w:szCs w:val="19"/>
              </w:rPr>
              <w:t xml:space="preserve">V</w:t>
            </w:r>
            <w:r>
              <w:rPr>
                <w:sz w:val="19"/>
                <w:szCs w:val="19"/>
              </w:rPr>
              <w:t xml:space="preserve"> Begriff „quanteninspiriert“</w:t>
            </w:r>
          </w:p>
        </w:tc>
      </w:tr>
    </w:tbl>
    <w:p>
      <w:pPr>
        <w:spacing w:after="60"/>
      </w:pPr>
    </w:p>
    <w:p>
      <w:pPr>
        <w:pStyle w:val="Heading3"/>
      </w:pPr>
      <w:r>
        <w:t xml:space="preserve">1.4 Konzentration, Barren Plateaus, Quantenvorteil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2"/>
        <w:gridCol w:w="4072"/>
        <w:gridCol w:w="2444"/>
      </w:tblGrid>
      <w:tr>
        <w:trPr>
          <w:tblHeader/>
        </w:trPr>
        <w:tc>
          <w:tcPr>
            <w:tcW w:type="dxa" w:w="3122"/>
            <w:shd w:fill="DCE6F0" w:color="auto" w:val="clear"/>
            <w:tcMar>
              <w:top w:type="dxa" w:w="40"/>
              <w:left w:type="dxa" w:w="80"/>
              <w:bottom w:type="dxa" w:w="40"/>
              <w:right w:type="dxa" w:w="80"/>
            </w:tcMar>
          </w:tcPr>
          <w:p>
            <w:r>
              <w:rPr>
                <w:b/>
                <w:bCs/>
                <w:sz w:val="19"/>
                <w:szCs w:val="19"/>
              </w:rPr>
              <w:t xml:space="preserve">Arbeit</w:t>
            </w:r>
          </w:p>
        </w:tc>
        <w:tc>
          <w:tcPr>
            <w:tcW w:type="dxa" w:w="4072"/>
            <w:shd w:fill="DCE6F0" w:color="auto" w:val="clear"/>
            <w:tcMar>
              <w:top w:type="dxa" w:w="40"/>
              <w:left w:type="dxa" w:w="80"/>
              <w:bottom w:type="dxa" w:w="40"/>
              <w:right w:type="dxa" w:w="80"/>
            </w:tcMar>
          </w:tcPr>
          <w:p>
            <w:r>
              <w:rPr>
                <w:b/>
                <w:bCs/>
                <w:sz w:val="19"/>
                <w:szCs w:val="19"/>
              </w:rPr>
              <w:t xml:space="preserve">Kern</w:t>
            </w:r>
          </w:p>
        </w:tc>
        <w:tc>
          <w:tcPr>
            <w:tcW w:type="dxa" w:w="2444"/>
            <w:shd w:fill="DCE6F0" w:color="auto" w:val="clear"/>
            <w:tcMar>
              <w:top w:type="dxa" w:w="40"/>
              <w:left w:type="dxa" w:w="80"/>
              <w:bottom w:type="dxa" w:w="40"/>
              <w:right w:type="dxa" w:w="80"/>
            </w:tcMar>
          </w:tcPr>
          <w:p>
            <w:r>
              <w:rPr>
                <w:b/>
                <w:bCs/>
                <w:sz w:val="19"/>
                <w:szCs w:val="19"/>
              </w:rPr>
              <w:t xml:space="preserve">Für QIRE</w:t>
            </w:r>
          </w:p>
        </w:tc>
      </w:tr>
      <w:tr>
        <w:trPr>
          <w:tblHeader w:val="false"/>
        </w:trPr>
        <w:tc>
          <w:tcPr>
            <w:tcW w:type="dxa" w:w="3122"/>
            <w:tcMar>
              <w:top w:type="dxa" w:w="40"/>
              <w:left w:type="dxa" w:w="80"/>
              <w:bottom w:type="dxa" w:w="40"/>
              <w:right w:type="dxa" w:w="80"/>
            </w:tcMar>
          </w:tcPr>
          <w:p>
            <w:r>
              <w:rPr>
                <w:sz w:val="19"/>
                <w:szCs w:val="19"/>
              </w:rPr>
              <w:t xml:space="preserve">McClean u. a., Nat. Commun. 2018</w:t>
            </w:r>
          </w:p>
        </w:tc>
        <w:tc>
          <w:tcPr>
            <w:tcW w:type="dxa" w:w="4072"/>
            <w:tcMar>
              <w:top w:type="dxa" w:w="40"/>
              <w:left w:type="dxa" w:w="80"/>
              <w:bottom w:type="dxa" w:w="40"/>
              <w:right w:type="dxa" w:w="80"/>
            </w:tcMar>
          </w:tcPr>
          <w:p>
            <w:r>
              <w:rPr>
                <w:sz w:val="19"/>
                <w:szCs w:val="19"/>
              </w:rPr>
              <w:t xml:space="preserve">Gradienten exponentiell klein in n</w:t>
            </w:r>
          </w:p>
        </w:tc>
        <w:tc>
          <w:tcPr>
            <w:tcW w:type="dxa" w:w="2444"/>
            <w:tcMar>
              <w:top w:type="dxa" w:w="40"/>
              <w:left w:type="dxa" w:w="80"/>
              <w:bottom w:type="dxa" w:w="40"/>
              <w:right w:type="dxa" w:w="80"/>
            </w:tcMar>
          </w:tcPr>
          <w:p>
            <w:r>
              <w:rPr>
                <w:sz w:val="19"/>
                <w:szCs w:val="19"/>
              </w:rPr>
              <w:t xml:space="preserve">V</w:t>
            </w:r>
            <w:r>
              <w:rPr>
                <w:sz w:val="19"/>
                <w:szCs w:val="19"/>
              </w:rPr>
              <w:t xml:space="preserve"> Q-005 wäre Replikation</w:t>
            </w:r>
          </w:p>
        </w:tc>
      </w:tr>
      <w:tr>
        <w:trPr>
          <w:tblHeader w:val="false"/>
        </w:trPr>
        <w:tc>
          <w:tcPr>
            <w:tcW w:type="dxa" w:w="3122"/>
            <w:tcMar>
              <w:top w:type="dxa" w:w="40"/>
              <w:left w:type="dxa" w:w="80"/>
              <w:bottom w:type="dxa" w:w="40"/>
              <w:right w:type="dxa" w:w="80"/>
            </w:tcMar>
          </w:tcPr>
          <w:p>
            <w:r>
              <w:rPr>
                <w:sz w:val="19"/>
                <w:szCs w:val="19"/>
              </w:rPr>
              <w:t xml:space="preserve">Thanasilp u. a., Nat. Commun. 2024</w:t>
            </w:r>
          </w:p>
        </w:tc>
        <w:tc>
          <w:tcPr>
            <w:tcW w:type="dxa" w:w="4072"/>
            <w:tcMar>
              <w:top w:type="dxa" w:w="40"/>
              <w:left w:type="dxa" w:w="80"/>
              <w:bottom w:type="dxa" w:w="40"/>
              <w:right w:type="dxa" w:w="80"/>
            </w:tcMar>
          </w:tcPr>
          <w:p>
            <w:r>
              <w:rPr>
                <w:sz w:val="19"/>
                <w:szCs w:val="19"/>
              </w:rPr>
              <w:t xml:space="preserve">Quantenkerne konzentrieren sich exponentiell → Vorhersage unabhängig von der Eingabe</w:t>
            </w:r>
          </w:p>
        </w:tc>
        <w:tc>
          <w:tcPr>
            <w:tcW w:type="dxa" w:w="2444"/>
            <w:tcMar>
              <w:top w:type="dxa" w:w="40"/>
              <w:left w:type="dxa" w:w="80"/>
              <w:bottom w:type="dxa" w:w="40"/>
              <w:right w:type="dxa" w:w="80"/>
            </w:tcMar>
          </w:tcPr>
          <w:p>
            <w:r>
              <w:rPr>
                <w:sz w:val="19"/>
                <w:szCs w:val="19"/>
              </w:rPr>
              <w:t xml:space="preserve">B</w:t>
            </w:r>
            <w:r>
              <w:rPr>
                <w:sz w:val="19"/>
                <w:szCs w:val="19"/>
              </w:rPr>
              <w:t xml:space="preserve"> K-Serie; (d) bekannt</w:t>
            </w:r>
          </w:p>
        </w:tc>
      </w:tr>
      <w:tr>
        <w:trPr>
          <w:tblHeader w:val="false"/>
        </w:trPr>
        <w:tc>
          <w:tcPr>
            <w:tcW w:type="dxa" w:w="3122"/>
            <w:tcMar>
              <w:top w:type="dxa" w:w="40"/>
              <w:left w:type="dxa" w:w="80"/>
              <w:bottom w:type="dxa" w:w="40"/>
              <w:right w:type="dxa" w:w="80"/>
            </w:tcMar>
          </w:tcPr>
          <w:p>
            <w:r>
              <w:rPr>
                <w:sz w:val="19"/>
                <w:szCs w:val="19"/>
              </w:rPr>
              <w:t xml:space="preserve">Larocca u. a., Nat. Rev. Phys. 2025</w:t>
            </w:r>
          </w:p>
        </w:tc>
        <w:tc>
          <w:tcPr>
            <w:tcW w:type="dxa" w:w="4072"/>
            <w:tcMar>
              <w:top w:type="dxa" w:w="40"/>
              <w:left w:type="dxa" w:w="80"/>
              <w:bottom w:type="dxa" w:w="40"/>
              <w:right w:type="dxa" w:w="80"/>
            </w:tcMar>
          </w:tcPr>
          <w:p>
            <w:r>
              <w:rPr>
                <w:sz w:val="19"/>
                <w:szCs w:val="19"/>
              </w:rPr>
              <w:t xml:space="preserve">Übersicht Barren Plateaus</w:t>
            </w:r>
          </w:p>
        </w:tc>
        <w:tc>
          <w:tcPr>
            <w:tcW w:type="dxa" w:w="2444"/>
            <w:tcMar>
              <w:top w:type="dxa" w:w="40"/>
              <w:left w:type="dxa" w:w="80"/>
              <w:bottom w:type="dxa" w:w="40"/>
              <w:right w:type="dxa" w:w="80"/>
            </w:tcMar>
          </w:tcPr>
          <w:p>
            <w:r>
              <w:rPr>
                <w:sz w:val="19"/>
                <w:szCs w:val="19"/>
              </w:rPr>
              <w:t xml:space="preserve">Einstiegslektüre</w:t>
            </w:r>
          </w:p>
        </w:tc>
      </w:tr>
      <w:tr>
        <w:trPr>
          <w:tblHeader w:val="false"/>
        </w:trPr>
        <w:tc>
          <w:tcPr>
            <w:tcW w:type="dxa" w:w="3122"/>
            <w:tcMar>
              <w:top w:type="dxa" w:w="40"/>
              <w:left w:type="dxa" w:w="80"/>
              <w:bottom w:type="dxa" w:w="40"/>
              <w:right w:type="dxa" w:w="80"/>
            </w:tcMar>
          </w:tcPr>
          <w:p>
            <w:r>
              <w:rPr>
                <w:sz w:val="19"/>
                <w:szCs w:val="19"/>
              </w:rPr>
              <w:t xml:space="preserve">Kairon/Jäger/Krems, PRA 2026</w:t>
            </w:r>
          </w:p>
        </w:tc>
        <w:tc>
          <w:tcPr>
            <w:tcW w:type="dxa" w:w="4072"/>
            <w:tcMar>
              <w:top w:type="dxa" w:w="40"/>
              <w:left w:type="dxa" w:w="80"/>
              <w:bottom w:type="dxa" w:w="40"/>
              <w:right w:type="dxa" w:w="80"/>
            </w:tcMar>
          </w:tcPr>
          <w:p>
            <w:r>
              <w:rPr>
                <w:sz w:val="19"/>
                <w:szCs w:val="19"/>
              </w:rPr>
              <w:t xml:space="preserve">Kernkonzentration ⇔ Barren Plateaus</w:t>
            </w:r>
          </w:p>
        </w:tc>
        <w:tc>
          <w:tcPr>
            <w:tcW w:type="dxa" w:w="2444"/>
            <w:tcMar>
              <w:top w:type="dxa" w:w="40"/>
              <w:left w:type="dxa" w:w="80"/>
              <w:bottom w:type="dxa" w:w="40"/>
              <w:right w:type="dxa" w:w="80"/>
            </w:tcMar>
          </w:tcPr>
          <w:p>
            <w:r>
              <w:rPr>
                <w:sz w:val="19"/>
                <w:szCs w:val="19"/>
              </w:rPr>
              <w:t xml:space="preserve">V</w:t>
            </w:r>
          </w:p>
        </w:tc>
      </w:tr>
      <w:tr>
        <w:trPr>
          <w:tblHeader w:val="false"/>
        </w:trPr>
        <w:tc>
          <w:tcPr>
            <w:tcW w:type="dxa" w:w="3122"/>
            <w:tcMar>
              <w:top w:type="dxa" w:w="40"/>
              <w:left w:type="dxa" w:w="80"/>
              <w:bottom w:type="dxa" w:w="40"/>
              <w:right w:type="dxa" w:w="80"/>
            </w:tcMar>
          </w:tcPr>
          <w:p>
            <w:r>
              <w:rPr>
                <w:sz w:val="19"/>
                <w:szCs w:val="19"/>
              </w:rPr>
              <w:t xml:space="preserve">Aghaei Saem u. a., QST 2026 — Pitfalls</w:t>
            </w:r>
          </w:p>
        </w:tc>
        <w:tc>
          <w:tcPr>
            <w:tcW w:type="dxa" w:w="4072"/>
            <w:tcMar>
              <w:top w:type="dxa" w:w="40"/>
              <w:left w:type="dxa" w:w="80"/>
              <w:bottom w:type="dxa" w:w="40"/>
              <w:right w:type="dxa" w:w="80"/>
            </w:tcMar>
          </w:tcPr>
          <w:p>
            <w:r>
              <w:rPr>
                <w:sz w:val="19"/>
                <w:szCs w:val="19"/>
              </w:rPr>
              <w:t xml:space="preserve">Quantum Natural Gradient &amp; Co. überwinden Konzentration bei endlichem Messbudget nicht</w:t>
            </w:r>
          </w:p>
        </w:tc>
        <w:tc>
          <w:tcPr>
            <w:tcW w:type="dxa" w:w="2444"/>
            <w:tcMar>
              <w:top w:type="dxa" w:w="40"/>
              <w:left w:type="dxa" w:w="80"/>
              <w:bottom w:type="dxa" w:w="40"/>
              <w:right w:type="dxa" w:w="80"/>
            </w:tcMar>
          </w:tcPr>
          <w:p>
            <w:r>
              <w:rPr>
                <w:sz w:val="19"/>
                <w:szCs w:val="19"/>
              </w:rPr>
              <w:t xml:space="preserve">G</w:t>
            </w:r>
            <w:r>
              <w:rPr>
                <w:sz w:val="19"/>
                <w:szCs w:val="19"/>
              </w:rPr>
              <w:t xml:space="preserve"> zu Ideen in BEFUNDE §4</w:t>
            </w:r>
          </w:p>
        </w:tc>
      </w:tr>
      <w:tr>
        <w:trPr>
          <w:tblHeader w:val="false"/>
        </w:trPr>
        <w:tc>
          <w:tcPr>
            <w:tcW w:type="dxa" w:w="3122"/>
            <w:tcMar>
              <w:top w:type="dxa" w:w="40"/>
              <w:left w:type="dxa" w:w="80"/>
              <w:bottom w:type="dxa" w:w="40"/>
              <w:right w:type="dxa" w:w="80"/>
            </w:tcMar>
          </w:tcPr>
          <w:p>
            <w:r>
              <w:rPr>
                <w:sz w:val="19"/>
                <w:szCs w:val="19"/>
              </w:rPr>
              <w:t xml:space="preserve">Huang u. a., Nat. Commun. 2021 — Power of data</w:t>
            </w:r>
          </w:p>
        </w:tc>
        <w:tc>
          <w:tcPr>
            <w:tcW w:type="dxa" w:w="4072"/>
            <w:tcMar>
              <w:top w:type="dxa" w:w="40"/>
              <w:left w:type="dxa" w:w="80"/>
              <w:bottom w:type="dxa" w:w="40"/>
              <w:right w:type="dxa" w:w="80"/>
            </w:tcMar>
          </w:tcPr>
          <w:p>
            <w:r>
              <w:rPr>
                <w:sz w:val="19"/>
                <w:szCs w:val="19"/>
              </w:rPr>
              <w:t xml:space="preserve">Klassisches ML mit Daten oft ebenbürtig; projizierte Kerne</w:t>
            </w:r>
          </w:p>
        </w:tc>
        <w:tc>
          <w:tcPr>
            <w:tcW w:type="dxa" w:w="2444"/>
            <w:tcMar>
              <w:top w:type="dxa" w:w="40"/>
              <w:left w:type="dxa" w:w="80"/>
              <w:bottom w:type="dxa" w:w="40"/>
              <w:right w:type="dxa" w:w="80"/>
            </w:tcMar>
          </w:tcPr>
          <w:p>
            <w:r>
              <w:rPr>
                <w:sz w:val="19"/>
                <w:szCs w:val="19"/>
              </w:rPr>
              <w:t xml:space="preserve">G</w:t>
            </w:r>
            <w:r>
              <w:rPr>
                <w:sz w:val="19"/>
                <w:szCs w:val="19"/>
              </w:rPr>
              <w:t xml:space="preserve">/</w:t>
            </w:r>
            <w:r>
              <w:rPr>
                <w:sz w:val="19"/>
                <w:szCs w:val="19"/>
              </w:rPr>
              <w:t xml:space="preserve">V</w:t>
            </w:r>
          </w:p>
        </w:tc>
      </w:tr>
      <w:tr>
        <w:trPr>
          <w:tblHeader w:val="false"/>
        </w:trPr>
        <w:tc>
          <w:tcPr>
            <w:tcW w:type="dxa" w:w="3122"/>
            <w:tcMar>
              <w:top w:type="dxa" w:w="40"/>
              <w:left w:type="dxa" w:w="80"/>
              <w:bottom w:type="dxa" w:w="40"/>
              <w:right w:type="dxa" w:w="80"/>
            </w:tcMar>
          </w:tcPr>
          <w:p>
            <w:r>
              <w:rPr>
                <w:sz w:val="19"/>
                <w:szCs w:val="19"/>
              </w:rPr>
              <w:t xml:space="preserve">Chen/Cotler/Huang/Li, FOCS 2021</w:t>
            </w:r>
          </w:p>
        </w:tc>
        <w:tc>
          <w:tcPr>
            <w:tcW w:type="dxa" w:w="4072"/>
            <w:tcMar>
              <w:top w:type="dxa" w:w="40"/>
              <w:left w:type="dxa" w:w="80"/>
              <w:bottom w:type="dxa" w:w="40"/>
              <w:right w:type="dxa" w:w="80"/>
            </w:tcMar>
          </w:tcPr>
          <w:p>
            <w:r>
              <w:rPr>
                <w:sz w:val="19"/>
                <w:szCs w:val="19"/>
              </w:rPr>
              <w:t xml:space="preserve">Exponentielle Trennung mit/ohne Quantenspeicher</w:t>
            </w:r>
          </w:p>
        </w:tc>
        <w:tc>
          <w:tcPr>
            <w:tcW w:type="dxa" w:w="2444"/>
            <w:tcMar>
              <w:top w:type="dxa" w:w="40"/>
              <w:left w:type="dxa" w:w="80"/>
              <w:bottom w:type="dxa" w:w="40"/>
              <w:right w:type="dxa" w:w="80"/>
            </w:tcMar>
          </w:tcPr>
          <w:p>
            <w:r>
              <w:rPr>
                <w:sz w:val="19"/>
                <w:szCs w:val="19"/>
              </w:rPr>
              <w:t xml:space="preserve">Theorie</w:t>
            </w:r>
          </w:p>
        </w:tc>
      </w:tr>
      <w:tr>
        <w:trPr>
          <w:tblHeader w:val="false"/>
        </w:trPr>
        <w:tc>
          <w:tcPr>
            <w:tcW w:type="dxa" w:w="3122"/>
            <w:tcMar>
              <w:top w:type="dxa" w:w="40"/>
              <w:left w:type="dxa" w:w="80"/>
              <w:bottom w:type="dxa" w:w="40"/>
              <w:right w:type="dxa" w:w="80"/>
            </w:tcMar>
          </w:tcPr>
          <w:p>
            <w:r>
              <w:rPr>
                <w:sz w:val="19"/>
                <w:szCs w:val="19"/>
              </w:rPr>
              <w:t xml:space="preserve">Huang u. a., Science 2022</w:t>
            </w:r>
          </w:p>
        </w:tc>
        <w:tc>
          <w:tcPr>
            <w:tcW w:type="dxa" w:w="4072"/>
            <w:tcMar>
              <w:top w:type="dxa" w:w="40"/>
              <w:left w:type="dxa" w:w="80"/>
              <w:bottom w:type="dxa" w:w="40"/>
              <w:right w:type="dxa" w:w="80"/>
            </w:tcMar>
          </w:tcPr>
          <w:p>
            <w:r>
              <w:rPr>
                <w:sz w:val="19"/>
                <w:szCs w:val="19"/>
              </w:rPr>
              <w:t xml:space="preserve">Zwei Kopien + Bell-Messung → exponentiell weniger Experimente; 40 Qubits</w:t>
            </w:r>
          </w:p>
        </w:tc>
        <w:tc>
          <w:tcPr>
            <w:tcW w:type="dxa" w:w="2444"/>
            <w:tcMar>
              <w:top w:type="dxa" w:w="40"/>
              <w:left w:type="dxa" w:w="80"/>
              <w:bottom w:type="dxa" w:w="40"/>
              <w:right w:type="dxa" w:w="80"/>
            </w:tcMar>
          </w:tcPr>
          <w:p>
            <w:r>
              <w:rPr>
                <w:sz w:val="19"/>
                <w:szCs w:val="19"/>
              </w:rPr>
              <w:t xml:space="preserve">einziger beweisbarer Vorteil</w:t>
            </w:r>
          </w:p>
        </w:tc>
      </w:tr>
      <w:tr>
        <w:trPr>
          <w:tblHeader w:val="false"/>
        </w:trPr>
        <w:tc>
          <w:tcPr>
            <w:tcW w:type="dxa" w:w="3122"/>
            <w:tcMar>
              <w:top w:type="dxa" w:w="40"/>
              <w:left w:type="dxa" w:w="80"/>
              <w:bottom w:type="dxa" w:w="40"/>
              <w:right w:type="dxa" w:w="80"/>
            </w:tcMar>
          </w:tcPr>
          <w:p>
            <w:r>
              <w:rPr>
                <w:sz w:val="19"/>
                <w:szCs w:val="19"/>
              </w:rPr>
              <w:t xml:space="preserve">Liu u. a., Science 2025</w:t>
            </w:r>
          </w:p>
        </w:tc>
        <w:tc>
          <w:tcPr>
            <w:tcW w:type="dxa" w:w="4072"/>
            <w:tcMar>
              <w:top w:type="dxa" w:w="40"/>
              <w:left w:type="dxa" w:w="80"/>
              <w:bottom w:type="dxa" w:w="40"/>
              <w:right w:type="dxa" w:w="80"/>
            </w:tcMar>
          </w:tcPr>
          <w:p>
            <w:r>
              <w:rPr>
                <w:sz w:val="19"/>
                <w:szCs w:val="19"/>
              </w:rPr>
              <w:t xml:space="preserve">Photonisch, ~11,8 Größenordnungen weniger Stichproben</w:t>
            </w:r>
          </w:p>
        </w:tc>
        <w:tc>
          <w:tcPr>
            <w:tcW w:type="dxa" w:w="2444"/>
            <w:tcMar>
              <w:top w:type="dxa" w:w="40"/>
              <w:left w:type="dxa" w:w="80"/>
              <w:bottom w:type="dxa" w:w="40"/>
              <w:right w:type="dxa" w:w="80"/>
            </w:tcMar>
          </w:tcPr>
          <w:p>
            <w:r>
              <w:rPr>
                <w:sz w:val="19"/>
                <w:szCs w:val="19"/>
              </w:rPr>
              <w:t xml:space="preserve">Stand der Technik</w:t>
            </w:r>
          </w:p>
        </w:tc>
      </w:tr>
      <w:tr>
        <w:trPr>
          <w:tblHeader w:val="false"/>
        </w:trPr>
        <w:tc>
          <w:tcPr>
            <w:tcW w:type="dxa" w:w="3122"/>
            <w:tcMar>
              <w:top w:type="dxa" w:w="40"/>
              <w:left w:type="dxa" w:w="80"/>
              <w:bottom w:type="dxa" w:w="40"/>
              <w:right w:type="dxa" w:w="80"/>
            </w:tcMar>
          </w:tcPr>
          <w:p>
            <w:r>
              <w:rPr>
                <w:sz w:val="19"/>
                <w:szCs w:val="19"/>
              </w:rPr>
              <w:t xml:space="preserve">Seif u. a., Nat. Commun. 2026</w:t>
            </w:r>
          </w:p>
        </w:tc>
        <w:tc>
          <w:tcPr>
            <w:tcW w:type="dxa" w:w="4072"/>
            <w:tcMar>
              <w:top w:type="dxa" w:w="40"/>
              <w:left w:type="dxa" w:w="80"/>
              <w:bottom w:type="dxa" w:w="40"/>
              <w:right w:type="dxa" w:w="80"/>
            </w:tcMar>
          </w:tcPr>
          <w:p>
            <w:r>
              <w:rPr>
                <w:sz w:val="19"/>
                <w:szCs w:val="19"/>
              </w:rPr>
              <w:t xml:space="preserve">Verschränkungsgestütztes Lernen von Pauli-Kanälen, bis 64 Qubits, supraleitend</w:t>
            </w:r>
          </w:p>
        </w:tc>
        <w:tc>
          <w:tcPr>
            <w:tcW w:type="dxa" w:w="2444"/>
            <w:tcMar>
              <w:top w:type="dxa" w:w="40"/>
              <w:left w:type="dxa" w:w="80"/>
              <w:bottom w:type="dxa" w:w="40"/>
              <w:right w:type="dxa" w:w="80"/>
            </w:tcMar>
          </w:tcPr>
          <w:p>
            <w:r>
              <w:rPr>
                <w:sz w:val="19"/>
                <w:szCs w:val="19"/>
              </w:rPr>
              <w:t xml:space="preserve">Machbarkeit auf IBM-artiger Hardware</w:t>
            </w:r>
          </w:p>
        </w:tc>
      </w:tr>
      <w:tr>
        <w:trPr>
          <w:tblHeader w:val="false"/>
        </w:trPr>
        <w:tc>
          <w:tcPr>
            <w:tcW w:type="dxa" w:w="3122"/>
            <w:tcMar>
              <w:top w:type="dxa" w:w="40"/>
              <w:left w:type="dxa" w:w="80"/>
              <w:bottom w:type="dxa" w:w="40"/>
              <w:right w:type="dxa" w:w="80"/>
            </w:tcMar>
          </w:tcPr>
          <w:p>
            <w:r>
              <w:rPr>
                <w:sz w:val="19"/>
                <w:szCs w:val="19"/>
              </w:rPr>
              <w:t xml:space="preserve">Kannan u. a., arXiv 2608.13521 (Aug. 2026)</w:t>
            </w:r>
          </w:p>
        </w:tc>
        <w:tc>
          <w:tcPr>
            <w:tcW w:type="dxa" w:w="4072"/>
            <w:tcMar>
              <w:top w:type="dxa" w:w="40"/>
              <w:left w:type="dxa" w:w="80"/>
              <w:bottom w:type="dxa" w:w="40"/>
              <w:right w:type="dxa" w:w="80"/>
            </w:tcMar>
          </w:tcPr>
          <w:p>
            <w:r>
              <w:rPr>
                <w:sz w:val="19"/>
                <w:szCs w:val="19"/>
              </w:rPr>
              <w:t xml:space="preserve">Ein Qubit am Sensor → exponentiell weniger Messungen für Fourier-Koeffizienten klassischer Signale; 10⁷-fach im Experiment</w:t>
            </w:r>
          </w:p>
        </w:tc>
        <w:tc>
          <w:tcPr>
            <w:tcW w:type="dxa" w:w="2444"/>
            <w:tcMar>
              <w:top w:type="dxa" w:w="40"/>
              <w:left w:type="dxa" w:w="80"/>
              <w:bottom w:type="dxa" w:w="40"/>
              <w:right w:type="dxa" w:w="80"/>
            </w:tcMar>
          </w:tcPr>
          <w:p>
            <w:r>
              <w:rPr>
                <w:sz w:val="19"/>
                <w:szCs w:val="19"/>
              </w:rPr>
              <w:t xml:space="preserve">Grenze für Q-019, Thema fürs MPI</w:t>
            </w:r>
          </w:p>
        </w:tc>
      </w:tr>
    </w:tbl>
    <w:p>
      <w:pPr>
        <w:spacing w:after="60"/>
      </w:pPr>
    </w:p>
    <w:p>
      <w:pPr>
        <w:pStyle w:val="Heading3"/>
      </w:pPr>
      <w:r>
        <w:t xml:space="preserve">1.5 Rang von Repräsentationen (Projekt B), Nichtlinearität, Sprache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67"/>
        <w:gridCol w:w="3267"/>
        <w:gridCol w:w="3104"/>
      </w:tblGrid>
      <w:tr>
        <w:trPr>
          <w:tblHeader/>
        </w:trPr>
        <w:tc>
          <w:tcPr>
            <w:tcW w:type="dxa" w:w="3267"/>
            <w:shd w:fill="DCE6F0" w:color="auto" w:val="clear"/>
            <w:tcMar>
              <w:top w:type="dxa" w:w="40"/>
              <w:left w:type="dxa" w:w="80"/>
              <w:bottom w:type="dxa" w:w="40"/>
              <w:right w:type="dxa" w:w="80"/>
            </w:tcMar>
          </w:tcPr>
          <w:p>
            <w:r>
              <w:rPr>
                <w:b/>
                <w:bCs/>
                <w:sz w:val="19"/>
                <w:szCs w:val="19"/>
              </w:rPr>
              <w:t xml:space="preserve">Arbeit</w:t>
            </w:r>
          </w:p>
        </w:tc>
        <w:tc>
          <w:tcPr>
            <w:tcW w:type="dxa" w:w="3267"/>
            <w:shd w:fill="DCE6F0" w:color="auto" w:val="clear"/>
            <w:tcMar>
              <w:top w:type="dxa" w:w="40"/>
              <w:left w:type="dxa" w:w="80"/>
              <w:bottom w:type="dxa" w:w="40"/>
              <w:right w:type="dxa" w:w="80"/>
            </w:tcMar>
          </w:tcPr>
          <w:p>
            <w:r>
              <w:rPr>
                <w:b/>
                <w:bCs/>
                <w:sz w:val="19"/>
                <w:szCs w:val="19"/>
              </w:rPr>
              <w:t xml:space="preserve">Kern</w:t>
            </w:r>
          </w:p>
        </w:tc>
        <w:tc>
          <w:tcPr>
            <w:tcW w:type="dxa" w:w="3104"/>
            <w:shd w:fill="DCE6F0" w:color="auto" w:val="clear"/>
            <w:tcMar>
              <w:top w:type="dxa" w:w="40"/>
              <w:left w:type="dxa" w:w="80"/>
              <w:bottom w:type="dxa" w:w="40"/>
              <w:right w:type="dxa" w:w="80"/>
            </w:tcMar>
          </w:tcPr>
          <w:p>
            <w:r>
              <w:rPr>
                <w:b/>
                <w:bCs/>
                <w:sz w:val="19"/>
                <w:szCs w:val="19"/>
              </w:rPr>
              <w:t xml:space="preserve">Für QIRE</w:t>
            </w:r>
          </w:p>
        </w:tc>
      </w:tr>
      <w:tr>
        <w:trPr>
          <w:tblHeader w:val="false"/>
        </w:trPr>
        <w:tc>
          <w:tcPr>
            <w:tcW w:type="dxa" w:w="3267"/>
            <w:tcMar>
              <w:top w:type="dxa" w:w="40"/>
              <w:left w:type="dxa" w:w="80"/>
              <w:bottom w:type="dxa" w:w="40"/>
              <w:right w:type="dxa" w:w="80"/>
            </w:tcMar>
          </w:tcPr>
          <w:p>
            <w:r>
              <w:rPr>
                <w:sz w:val="19"/>
                <w:szCs w:val="19"/>
              </w:rPr>
              <w:t xml:space="preserve">Papyan/Han/Donoho, PNAS 2020 — Neural Collapse</w:t>
            </w:r>
          </w:p>
        </w:tc>
        <w:tc>
          <w:tcPr>
            <w:tcW w:type="dxa" w:w="3267"/>
            <w:tcMar>
              <w:top w:type="dxa" w:w="40"/>
              <w:left w:type="dxa" w:w="80"/>
              <w:bottom w:type="dxa" w:w="40"/>
              <w:right w:type="dxa" w:w="80"/>
            </w:tcMar>
          </w:tcPr>
          <w:p>
            <w:r>
              <w:rPr>
                <w:sz w:val="19"/>
                <w:szCs w:val="19"/>
              </w:rPr>
              <w:t xml:space="preserve">Endphase: Merkmale → (C−1)-Simplex</w:t>
            </w:r>
          </w:p>
        </w:tc>
        <w:tc>
          <w:tcPr>
            <w:tcW w:type="dxa" w:w="3104"/>
            <w:tcMar>
              <w:top w:type="dxa" w:w="40"/>
              <w:left w:type="dxa" w:w="80"/>
              <w:bottom w:type="dxa" w:w="40"/>
              <w:right w:type="dxa" w:w="80"/>
            </w:tcMar>
          </w:tcPr>
          <w:p>
            <w:r>
              <w:rPr>
                <w:sz w:val="19"/>
                <w:szCs w:val="19"/>
              </w:rPr>
              <w:t xml:space="preserve">V</w:t>
            </w:r>
            <w:r>
              <w:rPr>
                <w:sz w:val="19"/>
                <w:szCs w:val="19"/>
              </w:rPr>
              <w:t xml:space="preserve">; B-014 misst 2,7 statt 9 → kein Collapse, begründen</w:t>
            </w:r>
          </w:p>
        </w:tc>
      </w:tr>
      <w:tr>
        <w:trPr>
          <w:tblHeader w:val="false"/>
        </w:trPr>
        <w:tc>
          <w:tcPr>
            <w:tcW w:type="dxa" w:w="3267"/>
            <w:tcMar>
              <w:top w:type="dxa" w:w="40"/>
              <w:left w:type="dxa" w:w="80"/>
              <w:bottom w:type="dxa" w:w="40"/>
              <w:right w:type="dxa" w:w="80"/>
            </w:tcMar>
          </w:tcPr>
          <w:p>
            <w:r>
              <w:rPr>
                <w:sz w:val="19"/>
                <w:szCs w:val="19"/>
              </w:rPr>
              <w:t xml:space="preserve">Huh u. a., TMLR 2023 — Low-Rank Simplicity Bias</w:t>
            </w:r>
          </w:p>
        </w:tc>
        <w:tc>
          <w:tcPr>
            <w:tcW w:type="dxa" w:w="3267"/>
            <w:tcMar>
              <w:top w:type="dxa" w:w="40"/>
              <w:left w:type="dxa" w:w="80"/>
              <w:bottom w:type="dxa" w:w="40"/>
              <w:right w:type="dxa" w:w="80"/>
            </w:tcMar>
          </w:tcPr>
          <w:p>
            <w:r>
              <w:rPr>
                <w:sz w:val="19"/>
                <w:szCs w:val="19"/>
              </w:rPr>
              <w:t xml:space="preserve">Tiefere Netze → niedrigerer Rang</w:t>
            </w:r>
          </w:p>
        </w:tc>
        <w:tc>
          <w:tcPr>
            <w:tcW w:type="dxa" w:w="3104"/>
            <w:tcMar>
              <w:top w:type="dxa" w:w="40"/>
              <w:left w:type="dxa" w:w="80"/>
              <w:bottom w:type="dxa" w:w="40"/>
              <w:right w:type="dxa" w:w="80"/>
            </w:tcMar>
          </w:tcPr>
          <w:p>
            <w:r>
              <w:rPr>
                <w:sz w:val="19"/>
                <w:szCs w:val="19"/>
              </w:rPr>
              <w:t xml:space="preserve">G</w:t>
            </w:r>
            <w:r>
              <w:rPr>
                <w:sz w:val="19"/>
                <w:szCs w:val="19"/>
              </w:rPr>
              <w:t xml:space="preserve"> zu „nicht von der Architektur“</w:t>
            </w:r>
          </w:p>
        </w:tc>
      </w:tr>
      <w:tr>
        <w:trPr>
          <w:tblHeader w:val="false"/>
        </w:trPr>
        <w:tc>
          <w:tcPr>
            <w:tcW w:type="dxa" w:w="3267"/>
            <w:tcMar>
              <w:top w:type="dxa" w:w="40"/>
              <w:left w:type="dxa" w:w="80"/>
              <w:bottom w:type="dxa" w:w="40"/>
              <w:right w:type="dxa" w:w="80"/>
            </w:tcMar>
          </w:tcPr>
          <w:p>
            <w:r>
              <w:rPr>
                <w:sz w:val="19"/>
                <w:szCs w:val="19"/>
              </w:rPr>
              <w:t xml:space="preserve">Ansuini u. a., NeurIPS 2019 — Intrinsische Dimension</w:t>
            </w:r>
          </w:p>
        </w:tc>
        <w:tc>
          <w:tcPr>
            <w:tcW w:type="dxa" w:w="3267"/>
            <w:tcMar>
              <w:top w:type="dxa" w:w="40"/>
              <w:left w:type="dxa" w:w="80"/>
              <w:bottom w:type="dxa" w:w="40"/>
              <w:right w:type="dxa" w:w="80"/>
            </w:tcMar>
          </w:tcPr>
          <w:p>
            <w:r>
              <w:rPr>
                <w:sz w:val="19"/>
                <w:szCs w:val="19"/>
              </w:rPr>
              <w:t xml:space="preserve">ID ≪ Breite, schichtabhängig, sagt Genauigkeit vorher</w:t>
            </w:r>
          </w:p>
        </w:tc>
        <w:tc>
          <w:tcPr>
            <w:tcW w:type="dxa" w:w="3104"/>
            <w:tcMar>
              <w:top w:type="dxa" w:w="40"/>
              <w:left w:type="dxa" w:w="80"/>
              <w:bottom w:type="dxa" w:w="40"/>
              <w:right w:type="dxa" w:w="80"/>
            </w:tcMar>
          </w:tcPr>
          <w:p>
            <w:r>
              <w:rPr>
                <w:sz w:val="19"/>
                <w:szCs w:val="19"/>
              </w:rPr>
              <w:t xml:space="preserve">B</w:t>
            </w:r>
            <w:r>
              <w:rPr>
                <w:sz w:val="19"/>
                <w:szCs w:val="19"/>
              </w:rPr>
              <w:t xml:space="preserve"> + </w:t>
            </w:r>
            <w:r>
              <w:rPr>
                <w:sz w:val="19"/>
                <w:szCs w:val="19"/>
              </w:rPr>
              <w:t xml:space="preserve">G</w:t>
            </w:r>
            <w:r>
              <w:rPr>
                <w:sz w:val="19"/>
                <w:szCs w:val="19"/>
              </w:rPr>
              <w:t xml:space="preserve"> (Schichtabhängigkeit)</w:t>
            </w:r>
          </w:p>
        </w:tc>
      </w:tr>
      <w:tr>
        <w:trPr>
          <w:tblHeader w:val="false"/>
        </w:trPr>
        <w:tc>
          <w:tcPr>
            <w:tcW w:type="dxa" w:w="3267"/>
            <w:tcMar>
              <w:top w:type="dxa" w:w="40"/>
              <w:left w:type="dxa" w:w="80"/>
              <w:bottom w:type="dxa" w:w="40"/>
              <w:right w:type="dxa" w:w="80"/>
            </w:tcMar>
          </w:tcPr>
          <w:p>
            <w:r>
              <w:rPr>
                <w:sz w:val="19"/>
                <w:szCs w:val="19"/>
              </w:rPr>
              <w:t xml:space="preserve">Novikov u. a., NeurIPS 2015; Stoudenmire/Schwab, NeurIPS 2016</w:t>
            </w:r>
          </w:p>
        </w:tc>
        <w:tc>
          <w:tcPr>
            <w:tcW w:type="dxa" w:w="3267"/>
            <w:tcMar>
              <w:top w:type="dxa" w:w="40"/>
              <w:left w:type="dxa" w:w="80"/>
              <w:bottom w:type="dxa" w:w="40"/>
              <w:right w:type="dxa" w:w="80"/>
            </w:tcMar>
          </w:tcPr>
          <w:p>
            <w:r>
              <w:rPr>
                <w:sz w:val="19"/>
                <w:szCs w:val="19"/>
              </w:rPr>
              <w:t xml:space="preserve">Tensor-Train-Schichten; MPS als Klassifikator</w:t>
            </w:r>
          </w:p>
        </w:tc>
        <w:tc>
          <w:tcPr>
            <w:tcW w:type="dxa" w:w="3104"/>
            <w:tcMar>
              <w:top w:type="dxa" w:w="40"/>
              <w:left w:type="dxa" w:w="80"/>
              <w:bottom w:type="dxa" w:w="40"/>
              <w:right w:type="dxa" w:w="80"/>
            </w:tcMar>
          </w:tcPr>
          <w:p>
            <w:r>
              <w:rPr>
                <w:sz w:val="19"/>
                <w:szCs w:val="19"/>
              </w:rPr>
              <w:t xml:space="preserve">V</w:t>
            </w:r>
            <w:r>
              <w:rPr>
                <w:sz w:val="19"/>
                <w:szCs w:val="19"/>
              </w:rPr>
              <w:t xml:space="preserve"> Projekt B</w:t>
            </w:r>
          </w:p>
        </w:tc>
      </w:tr>
      <w:tr>
        <w:trPr>
          <w:tblHeader w:val="false"/>
        </w:trPr>
        <w:tc>
          <w:tcPr>
            <w:tcW w:type="dxa" w:w="3267"/>
            <w:tcMar>
              <w:top w:type="dxa" w:w="40"/>
              <w:left w:type="dxa" w:w="80"/>
              <w:bottom w:type="dxa" w:w="40"/>
              <w:right w:type="dxa" w:w="80"/>
            </w:tcMar>
          </w:tcPr>
          <w:p>
            <w:r>
              <w:rPr>
                <w:sz w:val="19"/>
                <w:szCs w:val="19"/>
              </w:rPr>
              <w:t xml:space="preserve">Jayakumar u. a., ICLR 2020 — Multiplicative Interactions</w:t>
            </w:r>
          </w:p>
        </w:tc>
        <w:tc>
          <w:tcPr>
            <w:tcW w:type="dxa" w:w="3267"/>
            <w:tcMar>
              <w:top w:type="dxa" w:w="40"/>
              <w:left w:type="dxa" w:w="80"/>
              <w:bottom w:type="dxa" w:w="40"/>
              <w:right w:type="dxa" w:w="80"/>
            </w:tcMar>
          </w:tcPr>
          <w:p>
            <w:r>
              <w:rPr>
                <w:sz w:val="19"/>
                <w:szCs w:val="19"/>
              </w:rPr>
              <w:t xml:space="preserve">Multiplikative Terme erweitern die Funktionsklasse</w:t>
            </w:r>
          </w:p>
        </w:tc>
        <w:tc>
          <w:tcPr>
            <w:tcW w:type="dxa" w:w="3104"/>
            <w:tcMar>
              <w:top w:type="dxa" w:w="40"/>
              <w:left w:type="dxa" w:w="80"/>
              <w:bottom w:type="dxa" w:w="40"/>
              <w:right w:type="dxa" w:w="80"/>
            </w:tcMar>
          </w:tcPr>
          <w:p>
            <w:r>
              <w:rPr>
                <w:sz w:val="19"/>
                <w:szCs w:val="19"/>
              </w:rPr>
              <w:t xml:space="preserve">B</w:t>
            </w:r>
            <w:r>
              <w:rPr>
                <w:sz w:val="19"/>
                <w:szCs w:val="19"/>
              </w:rPr>
              <w:t xml:space="preserve"> „Quadratur trägt“</w:t>
            </w:r>
          </w:p>
        </w:tc>
      </w:tr>
      <w:tr>
        <w:trPr>
          <w:tblHeader w:val="false"/>
        </w:trPr>
        <w:tc>
          <w:tcPr>
            <w:tcW w:type="dxa" w:w="3267"/>
            <w:tcMar>
              <w:top w:type="dxa" w:w="40"/>
              <w:left w:type="dxa" w:w="80"/>
              <w:bottom w:type="dxa" w:w="40"/>
              <w:right w:type="dxa" w:w="80"/>
            </w:tcMar>
          </w:tcPr>
          <w:p>
            <w:r>
              <w:rPr>
                <w:sz w:val="19"/>
                <w:szCs w:val="19"/>
              </w:rPr>
              <w:t xml:space="preserve">Tsuchida u. a., NeurIPS 2023 — Squared Neural Families</w:t>
            </w:r>
          </w:p>
        </w:tc>
        <w:tc>
          <w:tcPr>
            <w:tcW w:type="dxa" w:w="3267"/>
            <w:tcMar>
              <w:top w:type="dxa" w:w="40"/>
              <w:left w:type="dxa" w:w="80"/>
              <w:bottom w:type="dxa" w:w="40"/>
              <w:right w:type="dxa" w:w="80"/>
            </w:tcMar>
          </w:tcPr>
          <w:p>
            <w:r>
              <w:rPr>
                <w:sz w:val="19"/>
                <w:szCs w:val="19"/>
              </w:rPr>
              <w:t xml:space="preserve">Quadrieren + normieren als klassischer Baustein</w:t>
            </w:r>
          </w:p>
        </w:tc>
        <w:tc>
          <w:tcPr>
            <w:tcW w:type="dxa" w:w="3104"/>
            <w:tcMar>
              <w:top w:type="dxa" w:w="40"/>
              <w:left w:type="dxa" w:w="80"/>
              <w:bottom w:type="dxa" w:w="40"/>
              <w:right w:type="dxa" w:w="80"/>
            </w:tcMar>
          </w:tcPr>
          <w:p>
            <w:r>
              <w:rPr>
                <w:sz w:val="19"/>
                <w:szCs w:val="19"/>
              </w:rPr>
              <w:t xml:space="preserve">V</w:t>
            </w:r>
          </w:p>
        </w:tc>
      </w:tr>
      <w:tr>
        <w:trPr>
          <w:tblHeader w:val="false"/>
        </w:trPr>
        <w:tc>
          <w:tcPr>
            <w:tcW w:type="dxa" w:w="3267"/>
            <w:tcMar>
              <w:top w:type="dxa" w:w="40"/>
              <w:left w:type="dxa" w:w="80"/>
              <w:bottom w:type="dxa" w:w="40"/>
              <w:right w:type="dxa" w:w="80"/>
            </w:tcMar>
          </w:tcPr>
          <w:p>
            <w:r>
              <w:rPr>
                <w:sz w:val="19"/>
                <w:szCs w:val="19"/>
              </w:rPr>
              <w:t xml:space="preserve">Nebli u. a., arXiv 2026 — The Quantum Shortcut</w:t>
            </w:r>
          </w:p>
        </w:tc>
        <w:tc>
          <w:tcPr>
            <w:tcW w:type="dxa" w:w="3267"/>
            <w:tcMar>
              <w:top w:type="dxa" w:w="40"/>
              <w:left w:type="dxa" w:w="80"/>
              <w:bottom w:type="dxa" w:w="40"/>
              <w:right w:type="dxa" w:w="80"/>
            </w:tcMar>
          </w:tcPr>
          <w:p>
            <w:r>
              <w:rPr>
                <w:sz w:val="19"/>
                <w:szCs w:val="19"/>
              </w:rPr>
              <w:t xml:space="preserve">Born-Formen als Auslese in 253M-Sprachmodellen: ⅓ bzw. ½ der Schritte; beim Transformer nur Aufwärmeffekt</w:t>
            </w:r>
          </w:p>
        </w:tc>
        <w:tc>
          <w:tcPr>
            <w:tcW w:type="dxa" w:w="3104"/>
            <w:tcMar>
              <w:top w:type="dxa" w:w="40"/>
              <w:left w:type="dxa" w:w="80"/>
              <w:bottom w:type="dxa" w:w="40"/>
              <w:right w:type="dxa" w:w="80"/>
            </w:tcMar>
          </w:tcPr>
          <w:p>
            <w:r>
              <w:rPr>
                <w:sz w:val="19"/>
                <w:szCs w:val="19"/>
              </w:rPr>
              <w:t xml:space="preserve">K</w:t>
            </w:r>
            <w:r>
              <w:rPr>
                <w:sz w:val="19"/>
                <w:szCs w:val="19"/>
              </w:rPr>
              <w:t xml:space="preserve"> zu (c), Hinweis für T-002</w:t>
            </w:r>
          </w:p>
        </w:tc>
      </w:tr>
      <w:tr>
        <w:trPr>
          <w:tblHeader w:val="false"/>
        </w:trPr>
        <w:tc>
          <w:tcPr>
            <w:tcW w:type="dxa" w:w="3267"/>
            <w:tcMar>
              <w:top w:type="dxa" w:w="40"/>
              <w:left w:type="dxa" w:w="80"/>
              <w:bottom w:type="dxa" w:w="40"/>
              <w:right w:type="dxa" w:w="80"/>
            </w:tcMar>
          </w:tcPr>
          <w:p>
            <w:r>
              <w:rPr>
                <w:sz w:val="19"/>
                <w:szCs w:val="19"/>
              </w:rPr>
              <w:t xml:space="preserve">Schuld/Sweke/Meyer, PRA 2021</w:t>
            </w:r>
          </w:p>
        </w:tc>
        <w:tc>
          <w:tcPr>
            <w:tcW w:type="dxa" w:w="3267"/>
            <w:tcMar>
              <w:top w:type="dxa" w:w="40"/>
              <w:left w:type="dxa" w:w="80"/>
              <w:bottom w:type="dxa" w:w="40"/>
              <w:right w:type="dxa" w:w="80"/>
            </w:tcMar>
          </w:tcPr>
          <w:p>
            <w:r>
              <w:rPr>
                <w:sz w:val="19"/>
                <w:szCs w:val="19"/>
              </w:rPr>
              <w:t xml:space="preserve">Winkelkodierung = Fourier-Reihe; Re-Uploading erweitert Frequenzen</w:t>
            </w:r>
          </w:p>
        </w:tc>
        <w:tc>
          <w:tcPr>
            <w:tcW w:type="dxa" w:w="3104"/>
            <w:tcMar>
              <w:top w:type="dxa" w:w="40"/>
              <w:left w:type="dxa" w:w="80"/>
              <w:bottom w:type="dxa" w:w="40"/>
              <w:right w:type="dxa" w:w="80"/>
            </w:tcMar>
          </w:tcPr>
          <w:p>
            <w:r>
              <w:rPr>
                <w:sz w:val="19"/>
                <w:szCs w:val="19"/>
              </w:rPr>
              <w:t xml:space="preserve">V</w:t>
            </w:r>
            <w:r>
              <w:rPr>
                <w:sz w:val="19"/>
                <w:szCs w:val="19"/>
              </w:rPr>
              <w:t xml:space="preserve"> Q-017</w:t>
            </w:r>
          </w:p>
        </w:tc>
      </w:tr>
      <w:tr>
        <w:trPr>
          <w:tblHeader w:val="false"/>
        </w:trPr>
        <w:tc>
          <w:tcPr>
            <w:tcW w:type="dxa" w:w="3267"/>
            <w:tcMar>
              <w:top w:type="dxa" w:w="40"/>
              <w:left w:type="dxa" w:w="80"/>
              <w:bottom w:type="dxa" w:w="40"/>
              <w:right w:type="dxa" w:w="80"/>
            </w:tcMar>
          </w:tcPr>
          <w:p>
            <w:r>
              <w:rPr>
                <w:sz w:val="19"/>
                <w:szCs w:val="19"/>
              </w:rPr>
              <w:t xml:space="preserve">LLäMmlein (arXiv 2024)</w:t>
            </w:r>
          </w:p>
        </w:tc>
        <w:tc>
          <w:tcPr>
            <w:tcW w:type="dxa" w:w="3267"/>
            <w:tcMar>
              <w:top w:type="dxa" w:w="40"/>
              <w:left w:type="dxa" w:w="80"/>
              <w:bottom w:type="dxa" w:w="40"/>
              <w:right w:type="dxa" w:w="80"/>
            </w:tcMar>
          </w:tcPr>
          <w:p>
            <w:r>
              <w:rPr>
                <w:sz w:val="19"/>
                <w:szCs w:val="19"/>
              </w:rPr>
              <w:t xml:space="preserve">Deutsche Decoder 120M/1B(/7B), inkl. Chat-Variante</w:t>
            </w:r>
          </w:p>
        </w:tc>
        <w:tc>
          <w:tcPr>
            <w:tcW w:type="dxa" w:w="3104"/>
            <w:tcMar>
              <w:top w:type="dxa" w:w="40"/>
              <w:left w:type="dxa" w:w="80"/>
              <w:bottom w:type="dxa" w:w="40"/>
              <w:right w:type="dxa" w:w="80"/>
            </w:tcMar>
          </w:tcPr>
          <w:p>
            <w:r>
              <w:rPr>
                <w:sz w:val="19"/>
                <w:szCs w:val="19"/>
              </w:rPr>
              <w:t xml:space="preserve">G</w:t>
            </w:r>
            <w:r>
              <w:rPr>
                <w:sz w:val="19"/>
                <w:szCs w:val="19"/>
              </w:rPr>
              <w:t xml:space="preserve"> zu (f), </w:t>
            </w:r>
            <w:r>
              <w:rPr>
                <w:sz w:val="19"/>
                <w:szCs w:val="19"/>
              </w:rPr>
              <w:t xml:space="preserve">Chance</w:t>
            </w:r>
            <w:r>
              <w:rPr>
                <w:sz w:val="19"/>
                <w:szCs w:val="19"/>
              </w:rPr>
              <w:t xml:space="preserve"> als Basis</w:t>
            </w:r>
          </w:p>
        </w:tc>
      </w:tr>
    </w:tbl>
    <w:p>
      <w:pPr>
        <w:spacing w:after="60"/>
      </w:pPr>
    </w:p>
    <w:p>
      <w:pPr>
        <w:pBdr>
          <w:bottom w:val="single" w:color="BBBBBB" w:sz="6" w:space="1"/>
        </w:pBdr>
        <w:spacing w:after="120"/>
      </w:pPr>
    </w:p>
    <w:p>
      <w:pPr>
        <w:pStyle w:val="Heading2"/>
      </w:pPr>
      <w:r>
        <w:t xml:space="preserve">2. Alleinstellungsmerkmal — Kandidat für Kandidat</w:t>
      </w:r>
    </w:p>
    <w:p>
      <w:pPr>
        <w:spacing w:after="120"/>
      </w:pPr>
      <w:r>
        <w:t xml:space="preserve">Bewertung: </w:t>
      </w:r>
      <w:r>
        <w:rPr>
          <w:b/>
          <w:bCs/>
        </w:rPr>
        <w:t xml:space="preserve">neu</w:t>
      </w:r>
      <w:r>
        <w:t xml:space="preserve"> (keine Vorlage gefunden) · </w:t>
      </w:r>
      <w:r>
        <w:rPr>
          <w:b/>
          <w:bCs/>
        </w:rPr>
        <w:t xml:space="preserve">teilweise</w:t>
      </w:r>
      <w:r>
        <w:t xml:space="preserve"> (Teile bekannt, eine bestimmte Kombination oder Messung nicht) · </w:t>
      </w:r>
      <w:r>
        <w:rPr>
          <w:b/>
          <w:bCs/>
        </w:rPr>
        <w:t xml:space="preserve">bekannt</w:t>
      </w:r>
      <w:r>
        <w:t xml:space="preserve"> (veröffentlicht). „Nicht gefunden“ heißt: in dieser Suche nicht gefunden — die Suche war nicht erschöpfend.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
        <w:gridCol w:w="2581"/>
        <w:gridCol w:w="1118"/>
        <w:gridCol w:w="2581"/>
        <w:gridCol w:w="258"/>
        <w:gridCol w:w="258"/>
        <w:gridCol w:w="2584"/>
      </w:tblGrid>
      <w:tr>
        <w:trPr>
          <w:tblHeader/>
        </w:trPr>
        <w:tc>
          <w:tcPr>
            <w:tcW w:type="dxa" w:w="258"/>
            <w:shd w:fill="DCE6F0" w:color="auto" w:val="clear"/>
            <w:tcMar>
              <w:top w:type="dxa" w:w="40"/>
              <w:left w:type="dxa" w:w="80"/>
              <w:bottom w:type="dxa" w:w="40"/>
              <w:right w:type="dxa" w:w="80"/>
            </w:tcMar>
          </w:tcPr>
          <w:p>
            <w:r>
              <w:rPr>
                <w:b/>
                <w:bCs/>
                <w:sz w:val="19"/>
                <w:szCs w:val="19"/>
              </w:rPr>
              <w:t xml:space="preserve">#</w:t>
            </w:r>
          </w:p>
        </w:tc>
        <w:tc>
          <w:tcPr>
            <w:tcW w:type="dxa" w:w="2581"/>
            <w:shd w:fill="DCE6F0" w:color="auto" w:val="clear"/>
            <w:tcMar>
              <w:top w:type="dxa" w:w="40"/>
              <w:left w:type="dxa" w:w="80"/>
              <w:bottom w:type="dxa" w:w="40"/>
              <w:right w:type="dxa" w:w="80"/>
            </w:tcMar>
          </w:tcPr>
          <w:p>
            <w:r>
              <w:rPr>
                <w:b/>
                <w:bCs/>
                <w:sz w:val="19"/>
                <w:szCs w:val="19"/>
              </w:rPr>
              <w:t xml:space="preserve">Kandidat</w:t>
            </w:r>
          </w:p>
        </w:tc>
        <w:tc>
          <w:tcPr>
            <w:tcW w:type="dxa" w:w="1118"/>
            <w:shd w:fill="DCE6F0" w:color="auto" w:val="clear"/>
            <w:tcMar>
              <w:top w:type="dxa" w:w="40"/>
              <w:left w:type="dxa" w:w="80"/>
              <w:bottom w:type="dxa" w:w="40"/>
              <w:right w:type="dxa" w:w="80"/>
            </w:tcMar>
          </w:tcPr>
          <w:p>
            <w:r>
              <w:rPr>
                <w:b/>
                <w:bCs/>
                <w:sz w:val="19"/>
                <w:szCs w:val="19"/>
              </w:rPr>
              <w:t xml:space="preserve">Urteil</w:t>
            </w:r>
          </w:p>
        </w:tc>
        <w:tc>
          <w:tcPr>
            <w:tcW w:type="dxa" w:w="2581"/>
            <w:shd w:fill="DCE6F0" w:color="auto" w:val="clear"/>
            <w:tcMar>
              <w:top w:type="dxa" w:w="40"/>
              <w:left w:type="dxa" w:w="80"/>
              <w:bottom w:type="dxa" w:w="40"/>
              <w:right w:type="dxa" w:w="80"/>
            </w:tcMar>
          </w:tcPr>
          <w:p>
            <w:r>
              <w:rPr>
                <w:b/>
                <w:bCs/>
                <w:sz w:val="19"/>
                <w:szCs w:val="19"/>
              </w:rPr>
              <w:t xml:space="preserve">Belegquelle</w:t>
            </w:r>
          </w:p>
        </w:tc>
        <w:tc>
          <w:tcPr>
            <w:tcW w:type="dxa" w:w="258"/>
            <w:shd w:fill="DCE6F0" w:color="auto" w:val="clear"/>
            <w:tcMar>
              <w:top w:type="dxa" w:w="40"/>
              <w:left w:type="dxa" w:w="80"/>
              <w:bottom w:type="dxa" w:w="40"/>
              <w:right w:type="dxa" w:w="80"/>
            </w:tcMar>
          </w:tcPr>
          <w:p/>
        </w:tc>
        <w:tc>
          <w:tcPr>
            <w:tcW w:type="dxa" w:w="258"/>
            <w:shd w:fill="DCE6F0" w:color="auto" w:val="clear"/>
            <w:tcMar>
              <w:top w:type="dxa" w:w="40"/>
              <w:left w:type="dxa" w:w="80"/>
              <w:bottom w:type="dxa" w:w="40"/>
              <w:right w:type="dxa" w:w="80"/>
            </w:tcMar>
          </w:tcPr>
          <w:p/>
        </w:tc>
        <w:tc>
          <w:tcPr>
            <w:tcW w:type="dxa" w:w="2584"/>
            <w:shd w:fill="DCE6F0" w:color="auto" w:val="clear"/>
            <w:tcMar>
              <w:top w:type="dxa" w:w="40"/>
              <w:left w:type="dxa" w:w="80"/>
              <w:bottom w:type="dxa" w:w="40"/>
              <w:right w:type="dxa" w:w="80"/>
            </w:tcMar>
          </w:tcPr>
          <w:p/>
        </w:tc>
      </w:tr>
      <w:tr>
        <w:trPr>
          <w:tblHeader w:val="false"/>
        </w:trPr>
        <w:tc>
          <w:tcPr>
            <w:tcW w:type="dxa" w:w="258"/>
            <w:tcMar>
              <w:top w:type="dxa" w:w="40"/>
              <w:left w:type="dxa" w:w="80"/>
              <w:bottom w:type="dxa" w:w="40"/>
              <w:right w:type="dxa" w:w="80"/>
            </w:tcMar>
          </w:tcPr>
          <w:p>
            <w:r>
              <w:rPr>
                <w:sz w:val="19"/>
                <w:szCs w:val="19"/>
              </w:rPr>
              <w:t xml:space="preserve">a</w:t>
            </w:r>
          </w:p>
        </w:tc>
        <w:tc>
          <w:tcPr>
            <w:tcW w:type="dxa" w:w="2581"/>
            <w:tcMar>
              <w:top w:type="dxa" w:w="40"/>
              <w:left w:type="dxa" w:w="80"/>
              <w:bottom w:type="dxa" w:w="40"/>
              <w:right w:type="dxa" w:w="80"/>
            </w:tcMar>
          </w:tcPr>
          <w:p>
            <w:r>
              <w:rPr>
                <w:sz w:val="19"/>
                <w:szCs w:val="19"/>
              </w:rPr>
              <w:t xml:space="preserve">Geteilte Winkel je Qubit-Ebene → 16–80 Parameter</w:t>
            </w:r>
          </w:p>
        </w:tc>
        <w:tc>
          <w:tcPr>
            <w:tcW w:type="dxa" w:w="1118"/>
            <w:tcMar>
              <w:top w:type="dxa" w:w="40"/>
              <w:left w:type="dxa" w:w="80"/>
              <w:bottom w:type="dxa" w:w="40"/>
              <w:right w:type="dxa" w:w="80"/>
            </w:tcMar>
          </w:tcPr>
          <w:p>
            <w:r>
              <w:rPr>
                <w:sz w:val="19"/>
                <w:szCs w:val="19"/>
              </w:rPr>
              <w:t xml:space="preserve">bekannt</w:t>
            </w:r>
          </w:p>
        </w:tc>
        <w:tc>
          <w:tcPr>
            <w:tcW w:type="dxa" w:w="2581"/>
            <w:tcMar>
              <w:top w:type="dxa" w:w="40"/>
              <w:left w:type="dxa" w:w="80"/>
              <w:bottom w:type="dxa" w:w="40"/>
              <w:right w:type="dxa" w:w="80"/>
            </w:tcMar>
          </w:tcPr>
          <w:p>
            <w:r>
              <w:rPr>
                <w:sz w:val="19"/>
                <w:szCs w:val="19"/>
              </w:rPr>
              <w:t xml:space="preserve">Quantum-PEFT (ICLR 2025): (2L+1)log₂d−2L; KRU (ICML 2018): O(log N) mit 2×2-Kronecker-Faktoren. BOFT/EUNN teilen </w:t>
            </w:r>
            <w:r>
              <w:rPr>
                <w:i/>
                <w:iCs/>
                <w:sz w:val="19"/>
                <w:szCs w:val="19"/>
              </w:rPr>
              <w:t xml:space="preserve">nicht</w:t>
            </w:r>
            <w:r>
              <w:rPr>
                <w:sz w:val="19"/>
                <w:szCs w:val="19"/>
              </w:rPr>
              <w:t xml:space="preserve"> — gegen die ist QIRE sparsamer, gegen Quantum-PEFT nicht.</w:t>
            </w:r>
          </w:p>
        </w:tc>
        <w:tc>
          <w:tcPr>
            <w:tcW w:type="dxa" w:w="258"/>
            <w:tcMar>
              <w:top w:type="dxa" w:w="40"/>
              <w:left w:type="dxa" w:w="80"/>
              <w:bottom w:type="dxa" w:w="40"/>
              <w:right w:type="dxa" w:w="80"/>
            </w:tcMar>
          </w:tcPr>
          <w:p/>
        </w:tc>
        <w:tc>
          <w:tcPr>
            <w:tcW w:type="dxa" w:w="258"/>
            <w:tcMar>
              <w:top w:type="dxa" w:w="40"/>
              <w:left w:type="dxa" w:w="80"/>
              <w:bottom w:type="dxa" w:w="40"/>
              <w:right w:type="dxa" w:w="80"/>
            </w:tcMar>
          </w:tcPr>
          <w:p/>
        </w:tc>
        <w:tc>
          <w:tcPr>
            <w:tcW w:type="dxa" w:w="2584"/>
            <w:tcMar>
              <w:top w:type="dxa" w:w="40"/>
              <w:left w:type="dxa" w:w="80"/>
              <w:bottom w:type="dxa" w:w="40"/>
              <w:right w:type="dxa" w:w="80"/>
            </w:tcMar>
          </w:tcPr>
          <w:p/>
        </w:tc>
      </w:tr>
      <w:tr>
        <w:trPr>
          <w:tblHeader w:val="false"/>
        </w:trPr>
        <w:tc>
          <w:tcPr>
            <w:tcW w:type="dxa" w:w="258"/>
            <w:tcMar>
              <w:top w:type="dxa" w:w="40"/>
              <w:left w:type="dxa" w:w="80"/>
              <w:bottom w:type="dxa" w:w="40"/>
              <w:right w:type="dxa" w:w="80"/>
            </w:tcMar>
          </w:tcPr>
          <w:p>
            <w:r>
              <w:rPr>
                <w:sz w:val="19"/>
                <w:szCs w:val="19"/>
              </w:rPr>
              <w:t xml:space="preserve">b</w:t>
            </w:r>
          </w:p>
        </w:tc>
        <w:tc>
          <w:tcPr>
            <w:tcW w:type="dxa" w:w="2581"/>
            <w:tcMar>
              <w:top w:type="dxa" w:w="40"/>
              <w:left w:type="dxa" w:w="80"/>
              <w:bottom w:type="dxa" w:w="40"/>
              <w:right w:type="dxa" w:w="80"/>
            </w:tcMar>
          </w:tcPr>
          <w:p>
            <w:r>
              <w:rPr>
                <w:sz w:val="19"/>
                <w:szCs w:val="19"/>
              </w:rPr>
              <w:t xml:space="preserve">Systematische Abgrenzungstests mit Positivkontrolle, TOST, Vorregistrierung</w:t>
            </w:r>
          </w:p>
        </w:tc>
        <w:tc>
          <w:tcPr>
            <w:tcW w:type="dxa" w:w="1118"/>
            <w:tcMar>
              <w:top w:type="dxa" w:w="40"/>
              <w:left w:type="dxa" w:w="80"/>
              <w:bottom w:type="dxa" w:w="40"/>
              <w:right w:type="dxa" w:w="80"/>
            </w:tcMar>
          </w:tcPr>
          <w:p>
            <w:r>
              <w:rPr>
                <w:sz w:val="19"/>
                <w:szCs w:val="19"/>
              </w:rPr>
              <w:t xml:space="preserve">teilweise neu</w:t>
            </w:r>
          </w:p>
        </w:tc>
        <w:tc>
          <w:tcPr>
            <w:tcW w:type="dxa" w:w="2581"/>
            <w:tcMar>
              <w:top w:type="dxa" w:w="40"/>
              <w:left w:type="dxa" w:w="80"/>
              <w:bottom w:type="dxa" w:w="40"/>
              <w:right w:type="dxa" w:w="80"/>
            </w:tcMar>
          </w:tcPr>
          <w:p>
            <w:r>
              <w:rPr>
                <w:sz w:val="19"/>
                <w:szCs w:val="19"/>
              </w:rPr>
              <w:t xml:space="preserve">Bowles 2024: systematisch, entfernt Verschränkung, aber ohne Statistik/Vorregistrierung. Kesiku 2026: Zerlegung per Mediation, ohne Äquivalenztest. TOST in ML existiert allgemein. </w:t>
            </w:r>
            <w:r>
              <w:rPr>
                <w:sz w:val="19"/>
                <w:szCs w:val="19"/>
              </w:rPr>
              <w:t xml:space="preserve">Die Kombination für quanteninspirierte Bausteine nicht gefunden.</w:t>
            </w:r>
          </w:p>
        </w:tc>
        <w:tc>
          <w:tcPr>
            <w:tcW w:type="dxa" w:w="258"/>
            <w:tcMar>
              <w:top w:type="dxa" w:w="40"/>
              <w:left w:type="dxa" w:w="80"/>
              <w:bottom w:type="dxa" w:w="40"/>
              <w:right w:type="dxa" w:w="80"/>
            </w:tcMar>
          </w:tcPr>
          <w:p/>
        </w:tc>
        <w:tc>
          <w:tcPr>
            <w:tcW w:type="dxa" w:w="258"/>
            <w:tcMar>
              <w:top w:type="dxa" w:w="40"/>
              <w:left w:type="dxa" w:w="80"/>
              <w:bottom w:type="dxa" w:w="40"/>
              <w:right w:type="dxa" w:w="80"/>
            </w:tcMar>
          </w:tcPr>
          <w:p/>
        </w:tc>
        <w:tc>
          <w:tcPr>
            <w:tcW w:type="dxa" w:w="2584"/>
            <w:tcMar>
              <w:top w:type="dxa" w:w="40"/>
              <w:left w:type="dxa" w:w="80"/>
              <w:bottom w:type="dxa" w:w="40"/>
              <w:right w:type="dxa" w:w="80"/>
            </w:tcMar>
          </w:tcPr>
          <w:p/>
        </w:tc>
      </w:tr>
      <w:tr>
        <w:trPr>
          <w:tblHeader w:val="false"/>
        </w:trPr>
        <w:tc>
          <w:tcPr>
            <w:tcW w:type="dxa" w:w="258"/>
            <w:tcMar>
              <w:top w:type="dxa" w:w="40"/>
              <w:left w:type="dxa" w:w="80"/>
              <w:bottom w:type="dxa" w:w="40"/>
              <w:right w:type="dxa" w:w="80"/>
            </w:tcMar>
          </w:tcPr>
          <w:p>
            <w:r>
              <w:rPr>
                <w:sz w:val="19"/>
                <w:szCs w:val="19"/>
              </w:rPr>
              <w:t xml:space="preserve">c</w:t>
            </w:r>
          </w:p>
        </w:tc>
        <w:tc>
          <w:tcPr>
            <w:tcW w:type="dxa" w:w="2581"/>
            <w:tcMar>
              <w:top w:type="dxa" w:w="40"/>
              <w:left w:type="dxa" w:w="80"/>
              <w:bottom w:type="dxa" w:w="40"/>
              <w:right w:type="dxa" w:w="80"/>
            </w:tcMar>
          </w:tcPr>
          <w:p>
            <w:r>
              <w:rPr>
                <w:sz w:val="19"/>
                <w:szCs w:val="19"/>
              </w:rPr>
              <w:t xml:space="preserve">„Die Position der Born-Regel entscheidet“ (Gate: wirkungslos, Auslese: trägt ~87–92 %)</w:t>
            </w:r>
          </w:p>
        </w:tc>
        <w:tc>
          <w:tcPr>
            <w:tcW w:type="dxa" w:w="1118"/>
            <w:tcMar>
              <w:top w:type="dxa" w:w="40"/>
              <w:left w:type="dxa" w:w="80"/>
              <w:bottom w:type="dxa" w:w="40"/>
              <w:right w:type="dxa" w:w="80"/>
            </w:tcMar>
          </w:tcPr>
          <w:p>
            <w:r>
              <w:rPr>
                <w:sz w:val="19"/>
                <w:szCs w:val="19"/>
              </w:rPr>
              <w:t xml:space="preserve">teilweise neu</w:t>
            </w:r>
          </w:p>
        </w:tc>
        <w:tc>
          <w:tcPr>
            <w:tcW w:type="dxa" w:w="2581"/>
            <w:tcMar>
              <w:top w:type="dxa" w:w="40"/>
              <w:left w:type="dxa" w:w="80"/>
              <w:bottom w:type="dxa" w:w="40"/>
              <w:right w:type="dxa" w:w="80"/>
            </w:tcMar>
          </w:tcPr>
          <w:p>
            <w:r>
              <w:rPr>
                <w:sz w:val="19"/>
                <w:szCs w:val="19"/>
              </w:rPr>
              <w:t xml:space="preserve">Theorie bekannt: Zając 2026 (quadratische Formen), Schuld 2021, Jayakumar 2020. Born-Auslese in LMs: Nebli 2026. </w:t>
            </w:r>
            <w:r>
              <w:rPr>
                <w:sz w:val="19"/>
                <w:szCs w:val="19"/>
              </w:rPr>
              <w:t xml:space="preserve">Die empirische Zerlegung und die Positionsaussage nicht gefunden.</w:t>
            </w:r>
          </w:p>
        </w:tc>
        <w:tc>
          <w:tcPr>
            <w:tcW w:type="dxa" w:w="258"/>
            <w:tcMar>
              <w:top w:type="dxa" w:w="40"/>
              <w:left w:type="dxa" w:w="80"/>
              <w:bottom w:type="dxa" w:w="40"/>
              <w:right w:type="dxa" w:w="80"/>
            </w:tcMar>
          </w:tcPr>
          <w:p/>
        </w:tc>
        <w:tc>
          <w:tcPr>
            <w:tcW w:type="dxa" w:w="258"/>
            <w:tcMar>
              <w:top w:type="dxa" w:w="40"/>
              <w:left w:type="dxa" w:w="80"/>
              <w:bottom w:type="dxa" w:w="40"/>
              <w:right w:type="dxa" w:w="80"/>
            </w:tcMar>
          </w:tcPr>
          <w:p/>
        </w:tc>
        <w:tc>
          <w:tcPr>
            <w:tcW w:type="dxa" w:w="2584"/>
            <w:tcMar>
              <w:top w:type="dxa" w:w="40"/>
              <w:left w:type="dxa" w:w="80"/>
              <w:bottom w:type="dxa" w:w="40"/>
              <w:right w:type="dxa" w:w="80"/>
            </w:tcMar>
          </w:tcPr>
          <w:p/>
        </w:tc>
      </w:tr>
      <w:tr>
        <w:trPr>
          <w:tblHeader w:val="false"/>
        </w:trPr>
        <w:tc>
          <w:tcPr>
            <w:tcW w:type="dxa" w:w="258"/>
            <w:tcMar>
              <w:top w:type="dxa" w:w="40"/>
              <w:left w:type="dxa" w:w="80"/>
              <w:bottom w:type="dxa" w:w="40"/>
              <w:right w:type="dxa" w:w="80"/>
            </w:tcMar>
          </w:tcPr>
          <w:p>
            <w:r>
              <w:rPr>
                <w:sz w:val="19"/>
                <w:szCs w:val="19"/>
              </w:rPr>
              <w:t xml:space="preserve">d</w:t>
            </w:r>
          </w:p>
        </w:tc>
        <w:tc>
          <w:tcPr>
            <w:tcW w:type="dxa" w:w="2581"/>
            <w:tcMar>
              <w:top w:type="dxa" w:w="40"/>
              <w:left w:type="dxa" w:w="80"/>
              <w:bottom w:type="dxa" w:w="40"/>
              <w:right w:type="dxa" w:w="80"/>
            </w:tcMar>
          </w:tcPr>
          <w:p>
            <w:r>
              <w:rPr>
                <w:sz w:val="19"/>
                <w:szCs w:val="19"/>
              </w:rPr>
              <w:t xml:space="preserve">Konzentration ↔ Scheitern von Quantenkernen, Exponent gemessen</w:t>
            </w:r>
          </w:p>
        </w:tc>
        <w:tc>
          <w:tcPr>
            <w:tcW w:type="dxa" w:w="1118"/>
            <w:tcMar>
              <w:top w:type="dxa" w:w="40"/>
              <w:left w:type="dxa" w:w="80"/>
              <w:bottom w:type="dxa" w:w="40"/>
              <w:right w:type="dxa" w:w="80"/>
            </w:tcMar>
          </w:tcPr>
          <w:p>
            <w:r>
              <w:rPr>
                <w:sz w:val="19"/>
                <w:szCs w:val="19"/>
              </w:rPr>
              <w:t xml:space="preserve">bekannt</w:t>
            </w:r>
          </w:p>
        </w:tc>
        <w:tc>
          <w:tcPr>
            <w:tcW w:type="dxa" w:w="2581"/>
            <w:tcMar>
              <w:top w:type="dxa" w:w="40"/>
              <w:left w:type="dxa" w:w="80"/>
              <w:bottom w:type="dxa" w:w="40"/>
              <w:right w:type="dxa" w:w="80"/>
            </w:tcMar>
          </w:tcPr>
          <w:p>
            <w:r>
              <w:rPr>
                <w:sz w:val="19"/>
                <w:szCs w:val="19"/>
              </w:rPr>
              <w:t xml:space="preserve">Thanasilp 2024 (Beweis), McClean 2018, Kairon 2026. E\</w:t>
            </w:r>
          </w:p>
        </w:tc>
        <w:tc>
          <w:tcPr>
            <w:tcW w:type="dxa" w:w="258"/>
            <w:tcMar>
              <w:top w:type="dxa" w:w="40"/>
              <w:left w:type="dxa" w:w="80"/>
              <w:bottom w:type="dxa" w:w="40"/>
              <w:right w:type="dxa" w:w="80"/>
            </w:tcMar>
          </w:tcPr>
          <w:p>
            <w:r>
              <w:rPr>
                <w:sz w:val="19"/>
                <w:szCs w:val="19"/>
              </w:rPr>
              <w:t xml:space="preserve">⟨ψ\</w:t>
            </w:r>
          </w:p>
        </w:tc>
        <w:tc>
          <w:tcPr>
            <w:tcW w:type="dxa" w:w="258"/>
            <w:tcMar>
              <w:top w:type="dxa" w:w="40"/>
              <w:left w:type="dxa" w:w="80"/>
              <w:bottom w:type="dxa" w:w="40"/>
              <w:right w:type="dxa" w:w="80"/>
            </w:tcMar>
          </w:tcPr>
          <w:p>
            <w:r>
              <w:rPr>
                <w:sz w:val="19"/>
                <w:szCs w:val="19"/>
              </w:rPr>
              <w:t xml:space="preserve">φ⟩\</w:t>
            </w:r>
          </w:p>
        </w:tc>
        <w:tc>
          <w:tcPr>
            <w:tcW w:type="dxa" w:w="2584"/>
            <w:tcMar>
              <w:top w:type="dxa" w:w="40"/>
              <w:left w:type="dxa" w:w="80"/>
              <w:bottom w:type="dxa" w:w="40"/>
              <w:right w:type="dxa" w:w="80"/>
            </w:tcMar>
          </w:tcPr>
          <w:p>
            <w:r>
              <w:rPr>
                <w:sz w:val="19"/>
                <w:szCs w:val="19"/>
              </w:rPr>
              <w:t xml:space="preserve">² = 2⁻ⁿ für Zufallszustände ist Lehrbuchwissen. QIREs −0,958 ist eine saubere Replikation.</w:t>
            </w:r>
          </w:p>
        </w:tc>
      </w:tr>
      <w:tr>
        <w:trPr>
          <w:tblHeader w:val="false"/>
        </w:trPr>
        <w:tc>
          <w:tcPr>
            <w:tcW w:type="dxa" w:w="258"/>
            <w:tcMar>
              <w:top w:type="dxa" w:w="40"/>
              <w:left w:type="dxa" w:w="80"/>
              <w:bottom w:type="dxa" w:w="40"/>
              <w:right w:type="dxa" w:w="80"/>
            </w:tcMar>
          </w:tcPr>
          <w:p>
            <w:r>
              <w:rPr>
                <w:sz w:val="19"/>
                <w:szCs w:val="19"/>
              </w:rPr>
              <w:t xml:space="preserve">e</w:t>
            </w:r>
          </w:p>
        </w:tc>
        <w:tc>
          <w:tcPr>
            <w:tcW w:type="dxa" w:w="2581"/>
            <w:tcMar>
              <w:top w:type="dxa" w:w="40"/>
              <w:left w:type="dxa" w:w="80"/>
              <w:bottom w:type="dxa" w:w="40"/>
              <w:right w:type="dxa" w:w="80"/>
            </w:tcMar>
          </w:tcPr>
          <w:p>
            <w:r>
              <w:rPr>
                <w:sz w:val="19"/>
                <w:szCs w:val="19"/>
              </w:rPr>
              <w:t xml:space="preserve">Butterfly gewinnt erst ab 16.384 Dim. auf CPU, wegen Cache-Kante der dichten Schicht</w:t>
            </w:r>
          </w:p>
        </w:tc>
        <w:tc>
          <w:tcPr>
            <w:tcW w:type="dxa" w:w="1118"/>
            <w:tcMar>
              <w:top w:type="dxa" w:w="40"/>
              <w:left w:type="dxa" w:w="80"/>
              <w:bottom w:type="dxa" w:w="40"/>
              <w:right w:type="dxa" w:w="80"/>
            </w:tcMar>
          </w:tcPr>
          <w:p>
            <w:r>
              <w:rPr>
                <w:sz w:val="19"/>
                <w:szCs w:val="19"/>
              </w:rPr>
              <w:t xml:space="preserve">bekannt</w:t>
            </w:r>
            <w:r>
              <w:rPr>
                <w:sz w:val="19"/>
                <w:szCs w:val="19"/>
              </w:rPr>
              <w:t xml:space="preserve"> (Befund lokal)</w:t>
            </w:r>
          </w:p>
        </w:tc>
        <w:tc>
          <w:tcPr>
            <w:tcW w:type="dxa" w:w="2581"/>
            <w:tcMar>
              <w:top w:type="dxa" w:w="40"/>
              <w:left w:type="dxa" w:w="80"/>
              <w:bottom w:type="dxa" w:w="40"/>
              <w:right w:type="dxa" w:w="80"/>
            </w:tcMar>
          </w:tcPr>
          <w:p>
            <w:r>
              <w:rPr>
                <w:sz w:val="19"/>
                <w:szCs w:val="19"/>
              </w:rPr>
              <w:t xml:space="preserve">Pixelated Butterfly 2022, Monarch 2022: Butterfly ist nicht hardwareeffizient. Die konkrete Zahl gilt nur für diesen Ryzen. Gut als ehrliche Grenze, kein USP.</w:t>
            </w:r>
          </w:p>
        </w:tc>
        <w:tc>
          <w:tcPr>
            <w:tcW w:type="dxa" w:w="258"/>
            <w:tcMar>
              <w:top w:type="dxa" w:w="40"/>
              <w:left w:type="dxa" w:w="80"/>
              <w:bottom w:type="dxa" w:w="40"/>
              <w:right w:type="dxa" w:w="80"/>
            </w:tcMar>
          </w:tcPr>
          <w:p/>
        </w:tc>
        <w:tc>
          <w:tcPr>
            <w:tcW w:type="dxa" w:w="258"/>
            <w:tcMar>
              <w:top w:type="dxa" w:w="40"/>
              <w:left w:type="dxa" w:w="80"/>
              <w:bottom w:type="dxa" w:w="40"/>
              <w:right w:type="dxa" w:w="80"/>
            </w:tcMar>
          </w:tcPr>
          <w:p/>
        </w:tc>
        <w:tc>
          <w:tcPr>
            <w:tcW w:type="dxa" w:w="2584"/>
            <w:tcMar>
              <w:top w:type="dxa" w:w="40"/>
              <w:left w:type="dxa" w:w="80"/>
              <w:bottom w:type="dxa" w:w="40"/>
              <w:right w:type="dxa" w:w="80"/>
            </w:tcMar>
          </w:tcPr>
          <w:p/>
        </w:tc>
      </w:tr>
      <w:tr>
        <w:trPr>
          <w:tblHeader w:val="false"/>
        </w:trPr>
        <w:tc>
          <w:tcPr>
            <w:tcW w:type="dxa" w:w="258"/>
            <w:tcMar>
              <w:top w:type="dxa" w:w="40"/>
              <w:left w:type="dxa" w:w="80"/>
              <w:bottom w:type="dxa" w:w="40"/>
              <w:right w:type="dxa" w:w="80"/>
            </w:tcMar>
          </w:tcPr>
          <w:p>
            <w:r>
              <w:rPr>
                <w:sz w:val="19"/>
                <w:szCs w:val="19"/>
              </w:rPr>
              <w:t xml:space="preserve">f</w:t>
            </w:r>
          </w:p>
        </w:tc>
        <w:tc>
          <w:tcPr>
            <w:tcW w:type="dxa" w:w="2581"/>
            <w:tcMar>
              <w:top w:type="dxa" w:w="40"/>
              <w:left w:type="dxa" w:w="80"/>
              <w:bottom w:type="dxa" w:w="40"/>
              <w:right w:type="dxa" w:w="80"/>
            </w:tcMar>
          </w:tcPr>
          <w:p>
            <w:r>
              <w:rPr>
                <w:sz w:val="19"/>
                <w:szCs w:val="19"/>
              </w:rPr>
              <w:t xml:space="preserve">Deutscher Korpus</w:t>
            </w:r>
          </w:p>
        </w:tc>
        <w:tc>
          <w:tcPr>
            <w:tcW w:type="dxa" w:w="1118"/>
            <w:tcMar>
              <w:top w:type="dxa" w:w="40"/>
              <w:left w:type="dxa" w:w="80"/>
              <w:bottom w:type="dxa" w:w="40"/>
              <w:right w:type="dxa" w:w="80"/>
            </w:tcMar>
          </w:tcPr>
          <w:p>
            <w:r>
              <w:rPr>
                <w:sz w:val="19"/>
                <w:szCs w:val="19"/>
              </w:rPr>
              <w:t xml:space="preserve">bekannt</w:t>
            </w:r>
          </w:p>
        </w:tc>
        <w:tc>
          <w:tcPr>
            <w:tcW w:type="dxa" w:w="2581"/>
            <w:tcMar>
              <w:top w:type="dxa" w:w="40"/>
              <w:left w:type="dxa" w:w="80"/>
              <w:bottom w:type="dxa" w:w="40"/>
              <w:right w:type="dxa" w:w="80"/>
            </w:tcMar>
          </w:tcPr>
          <w:p>
            <w:r>
              <w:rPr>
                <w:sz w:val="19"/>
                <w:szCs w:val="19"/>
              </w:rPr>
              <w:t xml:space="preserve">LLäMmlein 2024 (deutsch, von null, bis 7B). 3,27 Zeichen/Token ist eine nützliche Kennzahl, kein Beitrag.</w:t>
            </w:r>
          </w:p>
        </w:tc>
        <w:tc>
          <w:tcPr>
            <w:tcW w:type="dxa" w:w="258"/>
            <w:tcMar>
              <w:top w:type="dxa" w:w="40"/>
              <w:left w:type="dxa" w:w="80"/>
              <w:bottom w:type="dxa" w:w="40"/>
              <w:right w:type="dxa" w:w="80"/>
            </w:tcMar>
          </w:tcPr>
          <w:p/>
        </w:tc>
        <w:tc>
          <w:tcPr>
            <w:tcW w:type="dxa" w:w="258"/>
            <w:tcMar>
              <w:top w:type="dxa" w:w="40"/>
              <w:left w:type="dxa" w:w="80"/>
              <w:bottom w:type="dxa" w:w="40"/>
              <w:right w:type="dxa" w:w="80"/>
            </w:tcMar>
          </w:tcPr>
          <w:p/>
        </w:tc>
        <w:tc>
          <w:tcPr>
            <w:tcW w:type="dxa" w:w="2584"/>
            <w:tcMar>
              <w:top w:type="dxa" w:w="40"/>
              <w:left w:type="dxa" w:w="80"/>
              <w:bottom w:type="dxa" w:w="40"/>
              <w:right w:type="dxa" w:w="80"/>
            </w:tcMar>
          </w:tcPr>
          <w:p/>
        </w:tc>
      </w:tr>
      <w:tr>
        <w:trPr>
          <w:tblHeader w:val="false"/>
        </w:trPr>
        <w:tc>
          <w:tcPr>
            <w:tcW w:type="dxa" w:w="258"/>
            <w:tcMar>
              <w:top w:type="dxa" w:w="40"/>
              <w:left w:type="dxa" w:w="80"/>
              <w:bottom w:type="dxa" w:w="40"/>
              <w:right w:type="dxa" w:w="80"/>
            </w:tcMar>
          </w:tcPr>
          <w:p>
            <w:r>
              <w:rPr>
                <w:sz w:val="19"/>
                <w:szCs w:val="19"/>
              </w:rPr>
              <w:t xml:space="preserve">g</w:t>
            </w:r>
          </w:p>
        </w:tc>
        <w:tc>
          <w:tcPr>
            <w:tcW w:type="dxa" w:w="2581"/>
            <w:tcMar>
              <w:top w:type="dxa" w:w="40"/>
              <w:left w:type="dxa" w:w="80"/>
              <w:bottom w:type="dxa" w:w="40"/>
              <w:right w:type="dxa" w:w="80"/>
            </w:tcMar>
          </w:tcPr>
          <w:p>
            <w:r>
              <w:rPr>
                <w:i/>
                <w:iCs/>
                <w:sz w:val="19"/>
                <w:szCs w:val="19"/>
              </w:rPr>
              <w:t xml:space="preserve">Zusatz:</w:t>
            </w:r>
            <w:r>
              <w:rPr>
                <w:sz w:val="19"/>
                <w:szCs w:val="19"/>
              </w:rPr>
              <w:t xml:space="preserve"> B-014 — Rang ≈ Minimum aus Datendimension und Klassenzahl, Klassenabhängigkeit entsteht erst im Training (kontrolliertes d×C-Gitter + untrainierte Kontrolle)</w:t>
            </w:r>
          </w:p>
        </w:tc>
        <w:tc>
          <w:tcPr>
            <w:tcW w:type="dxa" w:w="1118"/>
            <w:tcMar>
              <w:top w:type="dxa" w:w="40"/>
              <w:left w:type="dxa" w:w="80"/>
              <w:bottom w:type="dxa" w:w="40"/>
              <w:right w:type="dxa" w:w="80"/>
            </w:tcMar>
          </w:tcPr>
          <w:p>
            <w:r>
              <w:rPr>
                <w:sz w:val="19"/>
                <w:szCs w:val="19"/>
              </w:rPr>
              <w:t xml:space="preserve">teilweise neu</w:t>
            </w:r>
          </w:p>
        </w:tc>
        <w:tc>
          <w:tcPr>
            <w:tcW w:type="dxa" w:w="2581"/>
            <w:tcMar>
              <w:top w:type="dxa" w:w="40"/>
              <w:left w:type="dxa" w:w="80"/>
              <w:bottom w:type="dxa" w:w="40"/>
              <w:right w:type="dxa" w:w="80"/>
            </w:tcMar>
          </w:tcPr>
          <w:p>
            <w:r>
              <w:rPr>
                <w:sz w:val="19"/>
                <w:szCs w:val="19"/>
              </w:rPr>
              <w:t xml:space="preserve">Einzelteile bekannt (Papyan 2020, Huh 2023, Ansuini 2019). Das kontrollierte Zwei-Faktor-Gitter nicht gefunden. Architektur nicht variiert → Überschrift einschränken.</w:t>
            </w:r>
          </w:p>
        </w:tc>
        <w:tc>
          <w:tcPr>
            <w:tcW w:type="dxa" w:w="258"/>
            <w:tcMar>
              <w:top w:type="dxa" w:w="40"/>
              <w:left w:type="dxa" w:w="80"/>
              <w:bottom w:type="dxa" w:w="40"/>
              <w:right w:type="dxa" w:w="80"/>
            </w:tcMar>
          </w:tcPr>
          <w:p/>
        </w:tc>
        <w:tc>
          <w:tcPr>
            <w:tcW w:type="dxa" w:w="258"/>
            <w:tcMar>
              <w:top w:type="dxa" w:w="40"/>
              <w:left w:type="dxa" w:w="80"/>
              <w:bottom w:type="dxa" w:w="40"/>
              <w:right w:type="dxa" w:w="80"/>
            </w:tcMar>
          </w:tcPr>
          <w:p/>
        </w:tc>
        <w:tc>
          <w:tcPr>
            <w:tcW w:type="dxa" w:w="2584"/>
            <w:tcMar>
              <w:top w:type="dxa" w:w="40"/>
              <w:left w:type="dxa" w:w="80"/>
              <w:bottom w:type="dxa" w:w="40"/>
              <w:right w:type="dxa" w:w="80"/>
            </w:tcMar>
          </w:tcPr>
          <w:p/>
        </w:tc>
      </w:tr>
      <w:tr>
        <w:trPr>
          <w:tblHeader w:val="false"/>
        </w:trPr>
        <w:tc>
          <w:tcPr>
            <w:tcW w:type="dxa" w:w="258"/>
            <w:tcMar>
              <w:top w:type="dxa" w:w="40"/>
              <w:left w:type="dxa" w:w="80"/>
              <w:bottom w:type="dxa" w:w="40"/>
              <w:right w:type="dxa" w:w="80"/>
            </w:tcMar>
          </w:tcPr>
          <w:p>
            <w:r>
              <w:rPr>
                <w:sz w:val="19"/>
                <w:szCs w:val="19"/>
              </w:rPr>
              <w:t xml:space="preserve">h</w:t>
            </w:r>
          </w:p>
        </w:tc>
        <w:tc>
          <w:tcPr>
            <w:tcW w:type="dxa" w:w="2581"/>
            <w:tcMar>
              <w:top w:type="dxa" w:w="40"/>
              <w:left w:type="dxa" w:w="80"/>
              <w:bottom w:type="dxa" w:w="40"/>
              <w:right w:type="dxa" w:w="80"/>
            </w:tcMar>
          </w:tcPr>
          <w:p>
            <w:r>
              <w:rPr>
                <w:i/>
                <w:iCs/>
                <w:sz w:val="19"/>
                <w:szCs w:val="19"/>
              </w:rPr>
              <w:t xml:space="preserve">Zusatz:</w:t>
            </w:r>
            <w:r>
              <w:rPr>
                <w:sz w:val="19"/>
                <w:szCs w:val="19"/>
              </w:rPr>
              <w:t xml:space="preserve"> „Ein Nullbefund an einem Bauteil ist wertlos, solange ein anderes Bauteil dessen Aufgabe übernehmen kann“ (Q-014 → Q-018)</w:t>
            </w:r>
          </w:p>
        </w:tc>
        <w:tc>
          <w:tcPr>
            <w:tcW w:type="dxa" w:w="1118"/>
            <w:tcMar>
              <w:top w:type="dxa" w:w="40"/>
              <w:left w:type="dxa" w:w="80"/>
              <w:bottom w:type="dxa" w:w="40"/>
              <w:right w:type="dxa" w:w="80"/>
            </w:tcMar>
          </w:tcPr>
          <w:p>
            <w:r>
              <w:rPr>
                <w:sz w:val="19"/>
                <w:szCs w:val="19"/>
              </w:rPr>
              <w:t xml:space="preserve">teilweise</w:t>
            </w:r>
          </w:p>
        </w:tc>
        <w:tc>
          <w:tcPr>
            <w:tcW w:type="dxa" w:w="2581"/>
            <w:tcMar>
              <w:top w:type="dxa" w:w="40"/>
              <w:left w:type="dxa" w:w="80"/>
              <w:bottom w:type="dxa" w:w="40"/>
              <w:right w:type="dxa" w:w="80"/>
            </w:tcMar>
          </w:tcPr>
          <w:p>
            <w:r>
              <w:rPr>
                <w:sz w:val="19"/>
                <w:szCs w:val="19"/>
              </w:rPr>
              <w:t xml:space="preserve">Bowles 2024 zeigt indirekt dasselbe (dressed circuit ohne Verlust, Re-Uploading mit Verlust). Als ausdrückliche Prüfregel mit Auflösungstest nicht gefunden.</w:t>
            </w:r>
          </w:p>
        </w:tc>
        <w:tc>
          <w:tcPr>
            <w:tcW w:type="dxa" w:w="258"/>
            <w:tcMar>
              <w:top w:type="dxa" w:w="40"/>
              <w:left w:type="dxa" w:w="80"/>
              <w:bottom w:type="dxa" w:w="40"/>
              <w:right w:type="dxa" w:w="80"/>
            </w:tcMar>
          </w:tcPr>
          <w:p/>
        </w:tc>
        <w:tc>
          <w:tcPr>
            <w:tcW w:type="dxa" w:w="258"/>
            <w:tcMar>
              <w:top w:type="dxa" w:w="40"/>
              <w:left w:type="dxa" w:w="80"/>
              <w:bottom w:type="dxa" w:w="40"/>
              <w:right w:type="dxa" w:w="80"/>
            </w:tcMar>
          </w:tcPr>
          <w:p/>
        </w:tc>
        <w:tc>
          <w:tcPr>
            <w:tcW w:type="dxa" w:w="2584"/>
            <w:tcMar>
              <w:top w:type="dxa" w:w="40"/>
              <w:left w:type="dxa" w:w="80"/>
              <w:bottom w:type="dxa" w:w="40"/>
              <w:right w:type="dxa" w:w="80"/>
            </w:tcMar>
          </w:tcPr>
          <w:p/>
        </w:tc>
      </w:tr>
    </w:tbl>
    <w:p>
      <w:pPr>
        <w:spacing w:after="60"/>
      </w:pPr>
    </w:p>
    <w:p>
      <w:pPr>
        <w:pStyle w:val="Heading3"/>
      </w:pPr>
      <w:r>
        <w:t xml:space="preserve">2.1 Was das für die Arbeit heißt — ehrlich</w:t>
      </w:r>
    </w:p>
    <w:p>
      <w:pPr>
        <w:pStyle w:val="ListParagraph"/>
        <w:numPr>
          <w:ilvl w:val="0"/>
          <w:numId w:val="2"/>
        </w:numPr>
        <w:spacing w:after="60"/>
      </w:pPr>
      <w:r>
        <w:rPr>
          <w:b/>
          <w:bCs/>
        </w:rPr>
        <w:t xml:space="preserve">Nicht mehr behaupten:</w:t>
      </w:r>
      <w:r>
        <w:t xml:space="preserve"> „Unsere quanteninspirierte Schicht braucht extrem wenige Parameter“ als Neuheit. Stattdessen: „Wir verwenden die aus Quantum-PEFT/KRU bekannte Parametrisierung und fragen, </w:t>
      </w:r>
      <w:r>
        <w:rPr>
          <w:i/>
          <w:iCs/>
        </w:rPr>
        <w:t xml:space="preserve">welcher Teil davon wirkt</w:t>
      </w:r>
      <w:r>
        <w:t xml:space="preserve">.“</w:t>
      </w:r>
    </w:p>
    <w:p>
      <w:pPr>
        <w:pStyle w:val="ListParagraph"/>
        <w:numPr>
          <w:ilvl w:val="0"/>
          <w:numId w:val="2"/>
        </w:numPr>
        <w:spacing w:after="60"/>
      </w:pPr>
      <w:r>
        <w:rPr>
          <w:b/>
          <w:bCs/>
        </w:rPr>
        <w:t xml:space="preserve">Die Frage wechseln von „Ist QIRE besser?“ zu „Wie viel Quanten steckt drin?“.</w:t>
      </w:r>
      <w:r>
        <w:t xml:space="preserve"> Dazu passen Bowles 2024, Kesiku 2026 und Zając 2026 als Rahmen — und QIRE liefert die schärfste Messung: vorregistriert, mit Äquivalenztest und Kontrollen.</w:t>
      </w:r>
    </w:p>
    <w:p>
      <w:pPr>
        <w:pStyle w:val="ListParagraph"/>
        <w:numPr>
          <w:ilvl w:val="0"/>
          <w:numId w:val="2"/>
        </w:numPr>
        <w:spacing w:after="60"/>
      </w:pPr>
      <w:r>
        <w:rPr>
          <w:b/>
          <w:bCs/>
        </w:rPr>
        <w:t xml:space="preserve">Voraussetzung:</w:t>
      </w:r>
      <w:r>
        <w:t xml:space="preserve"> Die Methodik ist nur dann ein USP, wenn sie überall eingehalten ist. Der Review hat gezeigt, dass gerade die Kernaussage gegen eine Kontrolle gemessen wurde, die schlechter als ein lineares Modell war, und dass „Tiefe trägt nichts bei“ aus einem Lauf mit durchgefallener Positivkontrolle stammt. </w:t>
      </w:r>
      <w:r>
        <w:rPr>
          <w:b/>
          <w:bCs/>
        </w:rPr>
        <w:t xml:space="preserve">Ohne Q-020 ist Kandidat (b) angreifbar</w:t>
      </w:r>
      <w:r>
        <w:t xml:space="preserve"> — eine Jury würde genau dort bohren.</w:t>
      </w:r>
    </w:p>
    <w:p>
      <w:pPr>
        <w:pStyle w:val="ListParagraph"/>
        <w:numPr>
          <w:ilvl w:val="0"/>
          <w:numId w:val="2"/>
        </w:numPr>
        <w:spacing w:after="60"/>
      </w:pPr>
      <w:r>
        <w:rPr>
          <w:b/>
          <w:bCs/>
        </w:rPr>
        <w:t xml:space="preserve">Bowles liefert die Erklärung für den Verschränkungs-Nullbefund frei Haus:</w:t>
      </w:r>
      <w:r>
        <w:t xml:space="preserve"> Beim „dressed circuit“ (klassische Schichten drumherum) schadet das Entfernen der Verschränkung nicht, bei Re-Uploading schon. Das ist dieselbe Lehre wie Q-018 — und spricht dafür, Verschränkung × Tiefe </w:t>
      </w:r>
      <w:r>
        <w:rPr>
          <w:b/>
          <w:bCs/>
        </w:rPr>
        <w:t xml:space="preserve">ohne Encoder</w:t>
      </w:r>
      <w:r>
        <w:t xml:space="preserve"> zu messen (Q-020 b).</w:t>
      </w:r>
    </w:p>
    <w:p>
      <w:pPr>
        <w:pStyle w:val="Heading3"/>
      </w:pPr>
      <w:r>
        <w:t xml:space="preserve">2.2 Die drei stärksten USP-Kandidaten</w:t>
      </w:r>
    </w:p>
    <w:p>
      <w:pPr>
        <w:pStyle w:val="ListParagraph"/>
        <w:numPr>
          <w:ilvl w:val="0"/>
          <w:numId w:val="3"/>
        </w:numPr>
        <w:spacing w:after="60"/>
      </w:pPr>
      <w:r>
        <w:rPr>
          <w:b/>
          <w:bCs/>
        </w:rPr>
        <w:t xml:space="preserve">(b) Vorregistrierte Abgrenzungsbatterie für quanteninspirierte Bausteine</w:t>
      </w:r>
      <w:r>
        <w:t xml:space="preserve"> — TOST statt „nicht signifikant“, Positivkontrolle, Auflösungsprüfung, lineare Referenz je Kontrolle, zurückgezogene Aussagen bleiben sichtbar. Nächste Arbeiten (Bowles, Kesiku) haben das nicht. </w:t>
      </w:r>
      <w:r>
        <w:rPr>
          <w:i/>
          <w:iCs/>
        </w:rPr>
        <w:t xml:space="preserve">Bedingung: Q-020.</w:t>
      </w:r>
    </w:p>
    <w:p>
      <w:pPr>
        <w:pStyle w:val="ListParagraph"/>
        <w:numPr>
          <w:ilvl w:val="0"/>
          <w:numId w:val="3"/>
        </w:numPr>
        <w:spacing w:after="60"/>
      </w:pPr>
      <w:r>
        <w:rPr>
          <w:b/>
          <w:bCs/>
        </w:rPr>
        <w:t xml:space="preserve">(c) Mechanismus-Zerlegung „Born-Regel an der Auslese“</w:t>
      </w:r>
      <w:r>
        <w:t xml:space="preserve"> — 86,5 % (MNIST) bzw. 91,5 % (Fashion) des Vorteils aus der Quadratur, dieselbe Operation als Gate wirkungslos. Die Theorie dahinter ist durch Zając 2026 abgesichert (das ist gut: eigene Herleitung + fremder Beweis); neu ist die gemessene Aufteilung und die Positionsaussage.</w:t>
      </w:r>
    </w:p>
    <w:p>
      <w:pPr>
        <w:pStyle w:val="ListParagraph"/>
        <w:numPr>
          <w:ilvl w:val="0"/>
          <w:numId w:val="3"/>
        </w:numPr>
        <w:spacing w:after="60"/>
      </w:pPr>
      <w:r>
        <w:rPr>
          <w:b/>
          <w:bCs/>
        </w:rPr>
        <w:t xml:space="preserve">(g) B-014 — Rang als Minimum zweier Zwänge, entsteht erst beim Lernen</w:t>
      </w:r>
      <w:r>
        <w:t xml:space="preserve"> — mit untrainierter Kontrolle. Muss gegen Neural Collapse, Low-Rank Simplicity Bias und intrinsische Dimension abgegrenzt und mit einem zweiten Architekturtyp geprüft werden.</w:t>
      </w:r>
    </w:p>
    <w:p>
      <w:pPr>
        <w:pStyle w:val="Heading3"/>
      </w:pPr>
      <w:r>
        <w:t xml:space="preserve">2.3 Die drei wichtigsten Konkurrenzarbeiten</w:t>
      </w:r>
    </w:p>
    <w:p>
      <w:pPr>
        <w:pStyle w:val="ListParagraph"/>
        <w:numPr>
          <w:ilvl w:val="0"/>
          <w:numId w:val="4"/>
        </w:numPr>
        <w:spacing w:after="60"/>
      </w:pPr>
      <w:r>
        <w:rPr>
          <w:b/>
          <w:bCs/>
        </w:rPr>
        <w:t xml:space="preserve">Quantum-PEFT</w:t>
      </w:r>
      <w:r>
        <w:t xml:space="preserve"> (Koike-Akino, Tonin, Wu, Wu, Candogan, Cevher; ICLR 2025, https://arxiv.org/abs/2503.05431) — praktisch dieselbe Schaltung, logarithmische Parameterzahl, schon auf Mistral-7B. Muss in der Arbeit prominent stehen.</w:t>
      </w:r>
    </w:p>
    <w:p>
      <w:pPr>
        <w:pStyle w:val="ListParagraph"/>
        <w:numPr>
          <w:ilvl w:val="0"/>
          <w:numId w:val="4"/>
        </w:numPr>
        <w:spacing w:after="60"/>
      </w:pPr>
      <w:r>
        <w:rPr>
          <w:b/>
          <w:bCs/>
        </w:rPr>
        <w:t xml:space="preserve">Bowles, Ahmed, Schuld</w:t>
      </w:r>
      <w:r>
        <w:t xml:space="preserve"> (arXiv 2403.07059, 2024) — die Referenz für „fair gegen klassisch messen“ und „Verschränkung entfernen“. QIRE muss erklären, was es über sie hinaus macht (Statistik, Vorregistrierung, Kontrollen, Mechanismuszerlegung).</w:t>
      </w:r>
    </w:p>
    <w:p>
      <w:pPr>
        <w:pStyle w:val="ListParagraph"/>
        <w:numPr>
          <w:ilvl w:val="0"/>
          <w:numId w:val="4"/>
        </w:numPr>
        <w:spacing w:after="60"/>
      </w:pPr>
      <w:r>
        <w:rPr>
          <w:b/>
          <w:bCs/>
        </w:rPr>
        <w:t xml:space="preserve">BOFT</w:t>
      </w:r>
      <w:r>
        <w:t xml:space="preserve"> (Liu u. a., ICLR 2024, https://arxiv.org/abs/2311.06243) — orthogonales Butterfly-Finetuning; die Baseline, gegen die jede QIRE-Adapter-Aussage antreten muss (in Hugging Face PEFT fertig vorhanden).</w:t>
      </w:r>
    </w:p>
    <w:p>
      <w:pPr>
        <w:spacing w:after="120"/>
      </w:pPr>
      <w:r>
        <w:t xml:space="preserve">Knapp dahinter: </w:t>
      </w:r>
      <w:r>
        <w:rPr>
          <w:b/>
          <w:bCs/>
        </w:rPr>
        <w:t xml:space="preserve">Zając u. a. 2026</w:t>
      </w:r>
      <w:r>
        <w:t xml:space="preserve"> (nimmt der Rayleigh-Theorie die Neuheit) und </w:t>
      </w:r>
      <w:r>
        <w:rPr>
          <w:b/>
          <w:bCs/>
        </w:rPr>
        <w:t xml:space="preserve">Kronecker Recurrent Units 2018</w:t>
      </w:r>
      <w:r>
        <w:t xml:space="preserve"> (log-Parameter mit 2×2-Kronecker-Faktoren).</w:t>
      </w:r>
    </w:p>
    <w:p>
      <w:pPr>
        <w:pBdr>
          <w:bottom w:val="single" w:color="BBBBBB" w:sz="6" w:space="1"/>
        </w:pBdr>
        <w:spacing w:after="120"/>
      </w:pPr>
    </w:p>
    <w:p>
      <w:pPr>
        <w:pStyle w:val="Heading2"/>
      </w:pPr>
      <w:r>
        <w:t xml:space="preserve">3. Zukunftsrichtungen mit echtem USP-Potenzial</w:t>
      </w:r>
    </w:p>
    <w:p>
      <w:pPr>
        <w:spacing w:after="120"/>
      </w:pPr>
      <w:r>
        <w:t xml:space="preserve">Geordnet nach </w:t>
      </w:r>
      <w:r>
        <w:rPr>
          <w:b/>
          <w:bCs/>
        </w:rPr>
        <w:t xml:space="preserve">Erfolgsaussicht ÷ Aufwand</w:t>
      </w:r>
      <w:r>
        <w:t xml:space="preserve">. Die Nummern C1–C7 verweisen auf </w:t>
      </w:r>
      <w:r>
        <w:rPr>
          <w:rFonts w:ascii="Consolas" w:cs="Consolas" w:eastAsia="Consolas" w:hAnsi="Consolas"/>
          <w:sz w:val="19"/>
          <w:szCs w:val="19"/>
        </w:rPr>
        <w:t xml:space="preserve">../BERICHT/01_VERBESSERUNGEN_UND_ZUKUNFT.md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
        <w:gridCol w:w="2877"/>
        <w:gridCol w:w="2349"/>
        <w:gridCol w:w="1246"/>
        <w:gridCol w:w="2879"/>
      </w:tblGrid>
      <w:tr>
        <w:trPr>
          <w:tblHeader/>
        </w:trPr>
        <w:tc>
          <w:tcPr>
            <w:tcW w:type="dxa" w:w="287"/>
            <w:shd w:fill="DCE6F0" w:color="auto" w:val="clear"/>
            <w:tcMar>
              <w:top w:type="dxa" w:w="40"/>
              <w:left w:type="dxa" w:w="80"/>
              <w:bottom w:type="dxa" w:w="40"/>
              <w:right w:type="dxa" w:w="80"/>
            </w:tcMar>
          </w:tcPr>
          <w:p>
            <w:r>
              <w:rPr>
                <w:b/>
                <w:bCs/>
                <w:sz w:val="19"/>
                <w:szCs w:val="19"/>
              </w:rPr>
              <w:t xml:space="preserve">Rang</w:t>
            </w:r>
          </w:p>
        </w:tc>
        <w:tc>
          <w:tcPr>
            <w:tcW w:type="dxa" w:w="2877"/>
            <w:shd w:fill="DCE6F0" w:color="auto" w:val="clear"/>
            <w:tcMar>
              <w:top w:type="dxa" w:w="40"/>
              <w:left w:type="dxa" w:w="80"/>
              <w:bottom w:type="dxa" w:w="40"/>
              <w:right w:type="dxa" w:w="80"/>
            </w:tcMar>
          </w:tcPr>
          <w:p>
            <w:r>
              <w:rPr>
                <w:b/>
                <w:bCs/>
                <w:sz w:val="19"/>
                <w:szCs w:val="19"/>
              </w:rPr>
              <w:t xml:space="preserve">Richtung</w:t>
            </w:r>
          </w:p>
        </w:tc>
        <w:tc>
          <w:tcPr>
            <w:tcW w:type="dxa" w:w="2349"/>
            <w:shd w:fill="DCE6F0" w:color="auto" w:val="clear"/>
            <w:tcMar>
              <w:top w:type="dxa" w:w="40"/>
              <w:left w:type="dxa" w:w="80"/>
              <w:bottom w:type="dxa" w:w="40"/>
              <w:right w:type="dxa" w:w="80"/>
            </w:tcMar>
          </w:tcPr>
          <w:p>
            <w:r>
              <w:rPr>
                <w:b/>
                <w:bCs/>
                <w:sz w:val="19"/>
                <w:szCs w:val="19"/>
              </w:rPr>
              <w:t xml:space="preserve">Aussicht</w:t>
            </w:r>
          </w:p>
        </w:tc>
        <w:tc>
          <w:tcPr>
            <w:tcW w:type="dxa" w:w="1246"/>
            <w:shd w:fill="DCE6F0" w:color="auto" w:val="clear"/>
            <w:tcMar>
              <w:top w:type="dxa" w:w="40"/>
              <w:left w:type="dxa" w:w="80"/>
              <w:bottom w:type="dxa" w:w="40"/>
              <w:right w:type="dxa" w:w="80"/>
            </w:tcMar>
          </w:tcPr>
          <w:p>
            <w:r>
              <w:rPr>
                <w:b/>
                <w:bCs/>
                <w:sz w:val="19"/>
                <w:szCs w:val="19"/>
              </w:rPr>
              <w:t xml:space="preserve">Aufwand</w:t>
            </w:r>
          </w:p>
        </w:tc>
        <w:tc>
          <w:tcPr>
            <w:tcW w:type="dxa" w:w="2879"/>
            <w:shd w:fill="DCE6F0" w:color="auto" w:val="clear"/>
            <w:tcMar>
              <w:top w:type="dxa" w:w="40"/>
              <w:left w:type="dxa" w:w="80"/>
              <w:bottom w:type="dxa" w:w="40"/>
              <w:right w:type="dxa" w:w="80"/>
            </w:tcMar>
          </w:tcPr>
          <w:p>
            <w:r>
              <w:rPr>
                <w:b/>
                <w:bCs/>
                <w:sz w:val="19"/>
                <w:szCs w:val="19"/>
              </w:rPr>
              <w:t xml:space="preserve">USP, falls es klappt</w:t>
            </w:r>
          </w:p>
        </w:tc>
      </w:tr>
      <w:tr>
        <w:trPr>
          <w:tblHeader w:val="false"/>
        </w:trPr>
        <w:tc>
          <w:tcPr>
            <w:tcW w:type="dxa" w:w="287"/>
            <w:tcMar>
              <w:top w:type="dxa" w:w="40"/>
              <w:left w:type="dxa" w:w="80"/>
              <w:bottom w:type="dxa" w:w="40"/>
              <w:right w:type="dxa" w:w="80"/>
            </w:tcMar>
          </w:tcPr>
          <w:p>
            <w:r>
              <w:rPr>
                <w:sz w:val="19"/>
                <w:szCs w:val="19"/>
              </w:rPr>
              <w:t xml:space="preserve">1</w:t>
            </w:r>
          </w:p>
        </w:tc>
        <w:tc>
          <w:tcPr>
            <w:tcW w:type="dxa" w:w="2877"/>
            <w:tcMar>
              <w:top w:type="dxa" w:w="40"/>
              <w:left w:type="dxa" w:w="80"/>
              <w:bottom w:type="dxa" w:w="40"/>
              <w:right w:type="dxa" w:w="80"/>
            </w:tcMar>
          </w:tcPr>
          <w:p>
            <w:r>
              <w:rPr>
                <w:sz w:val="19"/>
                <w:szCs w:val="19"/>
              </w:rPr>
              <w:t xml:space="preserve">Q-020 + Methodik-Paket (C7)</w:t>
            </w:r>
          </w:p>
        </w:tc>
        <w:tc>
          <w:tcPr>
            <w:tcW w:type="dxa" w:w="2349"/>
            <w:tcMar>
              <w:top w:type="dxa" w:w="40"/>
              <w:left w:type="dxa" w:w="80"/>
              <w:bottom w:type="dxa" w:w="40"/>
              <w:right w:type="dxa" w:w="80"/>
            </w:tcMar>
          </w:tcPr>
          <w:p>
            <w:r>
              <w:rPr>
                <w:sz w:val="19"/>
                <w:szCs w:val="19"/>
              </w:rPr>
              <w:t xml:space="preserve">hoch</w:t>
            </w:r>
          </w:p>
        </w:tc>
        <w:tc>
          <w:tcPr>
            <w:tcW w:type="dxa" w:w="1246"/>
            <w:tcMar>
              <w:top w:type="dxa" w:w="40"/>
              <w:left w:type="dxa" w:w="80"/>
              <w:bottom w:type="dxa" w:w="40"/>
              <w:right w:type="dxa" w:w="80"/>
            </w:tcMar>
          </w:tcPr>
          <w:p>
            <w:r>
              <w:rPr>
                <w:sz w:val="19"/>
                <w:szCs w:val="19"/>
              </w:rPr>
              <w:t xml:space="preserve">gering (CPU, Gerüst steht)</w:t>
            </w:r>
          </w:p>
        </w:tc>
        <w:tc>
          <w:tcPr>
            <w:tcW w:type="dxa" w:w="2879"/>
            <w:tcMar>
              <w:top w:type="dxa" w:w="40"/>
              <w:left w:type="dxa" w:w="80"/>
              <w:bottom w:type="dxa" w:w="40"/>
              <w:right w:type="dxa" w:w="80"/>
            </w:tcMar>
          </w:tcPr>
          <w:p>
            <w:r>
              <w:rPr>
                <w:sz w:val="19"/>
                <w:szCs w:val="19"/>
              </w:rPr>
              <w:t xml:space="preserve">(b) wird unangreifbar</w:t>
            </w:r>
          </w:p>
        </w:tc>
      </w:tr>
      <w:tr>
        <w:trPr>
          <w:tblHeader w:val="false"/>
        </w:trPr>
        <w:tc>
          <w:tcPr>
            <w:tcW w:type="dxa" w:w="287"/>
            <w:tcMar>
              <w:top w:type="dxa" w:w="40"/>
              <w:left w:type="dxa" w:w="80"/>
              <w:bottom w:type="dxa" w:w="40"/>
              <w:right w:type="dxa" w:w="80"/>
            </w:tcMar>
          </w:tcPr>
          <w:p>
            <w:r>
              <w:rPr>
                <w:sz w:val="19"/>
                <w:szCs w:val="19"/>
              </w:rPr>
              <w:t xml:space="preserve">2</w:t>
            </w:r>
          </w:p>
        </w:tc>
        <w:tc>
          <w:tcPr>
            <w:tcW w:type="dxa" w:w="2877"/>
            <w:tcMar>
              <w:top w:type="dxa" w:w="40"/>
              <w:left w:type="dxa" w:w="80"/>
              <w:bottom w:type="dxa" w:w="40"/>
              <w:right w:type="dxa" w:w="80"/>
            </w:tcMar>
          </w:tcPr>
          <w:p>
            <w:r>
              <w:rPr>
                <w:sz w:val="19"/>
                <w:szCs w:val="19"/>
              </w:rPr>
              <w:t xml:space="preserve">Walsh-Hadamard-Aufgabe für Q-019, mit Lernkurve (C3 + C4)</w:t>
            </w:r>
          </w:p>
        </w:tc>
        <w:tc>
          <w:tcPr>
            <w:tcW w:type="dxa" w:w="2349"/>
            <w:tcMar>
              <w:top w:type="dxa" w:w="40"/>
              <w:left w:type="dxa" w:w="80"/>
              <w:bottom w:type="dxa" w:w="40"/>
              <w:right w:type="dxa" w:w="80"/>
            </w:tcMar>
          </w:tcPr>
          <w:p>
            <w:r>
              <w:rPr>
                <w:sz w:val="19"/>
                <w:szCs w:val="19"/>
              </w:rPr>
              <w:t xml:space="preserve">mittel–hoch</w:t>
            </w:r>
          </w:p>
        </w:tc>
        <w:tc>
          <w:tcPr>
            <w:tcW w:type="dxa" w:w="1246"/>
            <w:tcMar>
              <w:top w:type="dxa" w:w="40"/>
              <w:left w:type="dxa" w:w="80"/>
              <w:bottom w:type="dxa" w:w="40"/>
              <w:right w:type="dxa" w:w="80"/>
            </w:tcMar>
          </w:tcPr>
          <w:p>
            <w:r>
              <w:rPr>
                <w:sz w:val="19"/>
                <w:szCs w:val="19"/>
              </w:rPr>
              <w:t xml:space="preserve">gering–mittel</w:t>
            </w:r>
          </w:p>
        </w:tc>
        <w:tc>
          <w:tcPr>
            <w:tcW w:type="dxa" w:w="2879"/>
            <w:tcMar>
              <w:top w:type="dxa" w:w="40"/>
              <w:left w:type="dxa" w:w="80"/>
              <w:bottom w:type="dxa" w:w="40"/>
              <w:right w:type="dxa" w:w="80"/>
            </w:tcMar>
          </w:tcPr>
          <w:p>
            <w:r>
              <w:rPr>
                <w:sz w:val="19"/>
                <w:szCs w:val="19"/>
              </w:rPr>
              <w:t xml:space="preserve">„Struktur = ideale Basis → Datenvorteil“</w:t>
            </w:r>
          </w:p>
        </w:tc>
      </w:tr>
      <w:tr>
        <w:trPr>
          <w:tblHeader w:val="false"/>
        </w:trPr>
        <w:tc>
          <w:tcPr>
            <w:tcW w:type="dxa" w:w="287"/>
            <w:tcMar>
              <w:top w:type="dxa" w:w="40"/>
              <w:left w:type="dxa" w:w="80"/>
              <w:bottom w:type="dxa" w:w="40"/>
              <w:right w:type="dxa" w:w="80"/>
            </w:tcMar>
          </w:tcPr>
          <w:p>
            <w:r>
              <w:rPr>
                <w:sz w:val="19"/>
                <w:szCs w:val="19"/>
              </w:rPr>
              <w:t xml:space="preserve">3</w:t>
            </w:r>
          </w:p>
        </w:tc>
        <w:tc>
          <w:tcPr>
            <w:tcW w:type="dxa" w:w="2877"/>
            <w:tcMar>
              <w:top w:type="dxa" w:w="40"/>
              <w:left w:type="dxa" w:w="80"/>
              <w:bottom w:type="dxa" w:w="40"/>
              <w:right w:type="dxa" w:w="80"/>
            </w:tcMar>
          </w:tcPr>
          <w:p>
            <w:r>
              <w:rPr>
                <w:sz w:val="19"/>
                <w:szCs w:val="19"/>
              </w:rPr>
              <w:t xml:space="preserve">QIRE-Adapter auf deutschem LLäMmlein gegen LoRA/BOFT/Quantum-PEFT (C1)</w:t>
            </w:r>
          </w:p>
        </w:tc>
        <w:tc>
          <w:tcPr>
            <w:tcW w:type="dxa" w:w="2349"/>
            <w:tcMar>
              <w:top w:type="dxa" w:w="40"/>
              <w:left w:type="dxa" w:w="80"/>
              <w:bottom w:type="dxa" w:w="40"/>
              <w:right w:type="dxa" w:w="80"/>
            </w:tcMar>
          </w:tcPr>
          <w:p>
            <w:r>
              <w:rPr>
                <w:sz w:val="19"/>
                <w:szCs w:val="19"/>
              </w:rPr>
              <w:t xml:space="preserve">mittel (Gleichwertigkeit), gering (Überlegenheit)</w:t>
            </w:r>
          </w:p>
        </w:tc>
        <w:tc>
          <w:tcPr>
            <w:tcW w:type="dxa" w:w="1246"/>
            <w:tcMar>
              <w:top w:type="dxa" w:w="40"/>
              <w:left w:type="dxa" w:w="80"/>
              <w:bottom w:type="dxa" w:w="40"/>
              <w:right w:type="dxa" w:w="80"/>
            </w:tcMar>
          </w:tcPr>
          <w:p>
            <w:r>
              <w:rPr>
                <w:sz w:val="19"/>
                <w:szCs w:val="19"/>
              </w:rPr>
              <w:t xml:space="preserve">mittel–hoch (GPU)</w:t>
            </w:r>
          </w:p>
        </w:tc>
        <w:tc>
          <w:tcPr>
            <w:tcW w:type="dxa" w:w="2879"/>
            <w:tcMar>
              <w:top w:type="dxa" w:w="40"/>
              <w:left w:type="dxa" w:w="80"/>
              <w:bottom w:type="dxa" w:w="40"/>
              <w:right w:type="dxa" w:w="80"/>
            </w:tcMar>
          </w:tcPr>
          <w:p>
            <w:r>
              <w:rPr>
                <w:sz w:val="19"/>
                <w:szCs w:val="19"/>
              </w:rPr>
              <w:t xml:space="preserve">Born-Auslese-Adapter + Äquivalenzstatistik + Deutsch</w:t>
            </w:r>
          </w:p>
        </w:tc>
      </w:tr>
      <w:tr>
        <w:trPr>
          <w:tblHeader w:val="false"/>
        </w:trPr>
        <w:tc>
          <w:tcPr>
            <w:tcW w:type="dxa" w:w="287"/>
            <w:tcMar>
              <w:top w:type="dxa" w:w="40"/>
              <w:left w:type="dxa" w:w="80"/>
              <w:bottom w:type="dxa" w:w="40"/>
              <w:right w:type="dxa" w:w="80"/>
            </w:tcMar>
          </w:tcPr>
          <w:p>
            <w:r>
              <w:rPr>
                <w:sz w:val="19"/>
                <w:szCs w:val="19"/>
              </w:rPr>
              <w:t xml:space="preserve">4</w:t>
            </w:r>
          </w:p>
        </w:tc>
        <w:tc>
          <w:tcPr>
            <w:tcW w:type="dxa" w:w="2877"/>
            <w:tcMar>
              <w:top w:type="dxa" w:w="40"/>
              <w:left w:type="dxa" w:w="80"/>
              <w:bottom w:type="dxa" w:w="40"/>
              <w:right w:type="dxa" w:w="80"/>
            </w:tcMar>
          </w:tcPr>
          <w:p>
            <w:r>
              <w:rPr>
                <w:sz w:val="19"/>
                <w:szCs w:val="19"/>
              </w:rPr>
              <w:t xml:space="preserve">Physik-Daten des MPI (C5)</w:t>
            </w:r>
          </w:p>
        </w:tc>
        <w:tc>
          <w:tcPr>
            <w:tcW w:type="dxa" w:w="2349"/>
            <w:tcMar>
              <w:top w:type="dxa" w:w="40"/>
              <w:left w:type="dxa" w:w="80"/>
              <w:bottom w:type="dxa" w:w="40"/>
              <w:right w:type="dxa" w:w="80"/>
            </w:tcMar>
          </w:tcPr>
          <w:p>
            <w:r>
              <w:rPr>
                <w:sz w:val="19"/>
                <w:szCs w:val="19"/>
              </w:rPr>
              <w:t xml:space="preserve">unbekannt — hängt am Treffen</w:t>
            </w:r>
          </w:p>
        </w:tc>
        <w:tc>
          <w:tcPr>
            <w:tcW w:type="dxa" w:w="1246"/>
            <w:tcMar>
              <w:top w:type="dxa" w:w="40"/>
              <w:left w:type="dxa" w:w="80"/>
              <w:bottom w:type="dxa" w:w="40"/>
              <w:right w:type="dxa" w:w="80"/>
            </w:tcMar>
          </w:tcPr>
          <w:p>
            <w:r>
              <w:rPr>
                <w:sz w:val="19"/>
                <w:szCs w:val="19"/>
              </w:rPr>
              <w:t xml:space="preserve">unbekannt</w:t>
            </w:r>
          </w:p>
        </w:tc>
        <w:tc>
          <w:tcPr>
            <w:tcW w:type="dxa" w:w="2879"/>
            <w:tcMar>
              <w:top w:type="dxa" w:w="40"/>
              <w:left w:type="dxa" w:w="80"/>
              <w:bottom w:type="dxa" w:w="40"/>
              <w:right w:type="dxa" w:w="80"/>
            </w:tcMar>
          </w:tcPr>
          <w:p>
            <w:r>
              <w:rPr>
                <w:sz w:val="19"/>
                <w:szCs w:val="19"/>
              </w:rPr>
              <w:t xml:space="preserve">echte Anwendung, einziger Datensatz, den sonst keiner hat</w:t>
            </w:r>
          </w:p>
        </w:tc>
      </w:tr>
      <w:tr>
        <w:trPr>
          <w:tblHeader w:val="false"/>
        </w:trPr>
        <w:tc>
          <w:tcPr>
            <w:tcW w:type="dxa" w:w="287"/>
            <w:tcMar>
              <w:top w:type="dxa" w:w="40"/>
              <w:left w:type="dxa" w:w="80"/>
              <w:bottom w:type="dxa" w:w="40"/>
              <w:right w:type="dxa" w:w="80"/>
            </w:tcMar>
          </w:tcPr>
          <w:p>
            <w:r>
              <w:rPr>
                <w:sz w:val="19"/>
                <w:szCs w:val="19"/>
              </w:rPr>
              <w:t xml:space="preserve">5</w:t>
            </w:r>
          </w:p>
        </w:tc>
        <w:tc>
          <w:tcPr>
            <w:tcW w:type="dxa" w:w="2877"/>
            <w:tcMar>
              <w:top w:type="dxa" w:w="40"/>
              <w:left w:type="dxa" w:w="80"/>
              <w:bottom w:type="dxa" w:w="40"/>
              <w:right w:type="dxa" w:w="80"/>
            </w:tcMar>
          </w:tcPr>
          <w:p>
            <w:r>
              <w:rPr>
                <w:sz w:val="19"/>
                <w:szCs w:val="19"/>
              </w:rPr>
              <w:t xml:space="preserve">Quantendaten-Vorteil nach Huang 2022 im Kleinen (C2)</w:t>
            </w:r>
          </w:p>
        </w:tc>
        <w:tc>
          <w:tcPr>
            <w:tcW w:type="dxa" w:w="2349"/>
            <w:tcMar>
              <w:top w:type="dxa" w:w="40"/>
              <w:left w:type="dxa" w:w="80"/>
              <w:bottom w:type="dxa" w:w="40"/>
              <w:right w:type="dxa" w:w="80"/>
            </w:tcMar>
          </w:tcPr>
          <w:p>
            <w:r>
              <w:rPr>
                <w:sz w:val="19"/>
                <w:szCs w:val="19"/>
              </w:rPr>
              <w:t xml:space="preserve">mittel (Simulation), gering–mittel (Hardware)</w:t>
            </w:r>
          </w:p>
        </w:tc>
        <w:tc>
          <w:tcPr>
            <w:tcW w:type="dxa" w:w="1246"/>
            <w:tcMar>
              <w:top w:type="dxa" w:w="40"/>
              <w:left w:type="dxa" w:w="80"/>
              <w:bottom w:type="dxa" w:w="40"/>
              <w:right w:type="dxa" w:w="80"/>
            </w:tcMar>
          </w:tcPr>
          <w:p>
            <w:r>
              <w:rPr>
                <w:sz w:val="19"/>
                <w:szCs w:val="19"/>
              </w:rPr>
              <w:t xml:space="preserve">mittel</w:t>
            </w:r>
          </w:p>
        </w:tc>
        <w:tc>
          <w:tcPr>
            <w:tcW w:type="dxa" w:w="2879"/>
            <w:tcMar>
              <w:top w:type="dxa" w:w="40"/>
              <w:left w:type="dxa" w:w="80"/>
              <w:bottom w:type="dxa" w:w="40"/>
              <w:right w:type="dxa" w:w="80"/>
            </w:tcMar>
          </w:tcPr>
          <w:p>
            <w:r>
              <w:rPr>
                <w:sz w:val="19"/>
                <w:szCs w:val="19"/>
              </w:rPr>
              <w:t xml:space="preserve">einziger </w:t>
            </w:r>
            <w:r>
              <w:rPr>
                <w:i/>
                <w:iCs/>
                <w:sz w:val="19"/>
                <w:szCs w:val="19"/>
              </w:rPr>
              <w:t xml:space="preserve">beweisbarer</w:t>
            </w:r>
            <w:r>
              <w:rPr>
                <w:sz w:val="19"/>
                <w:szCs w:val="19"/>
              </w:rPr>
              <w:t xml:space="preserve"> Quantenvorteil — aber Replikation, kein neuer Befund</w:t>
            </w:r>
          </w:p>
        </w:tc>
      </w:tr>
    </w:tbl>
    <w:p>
      <w:pPr>
        <w:spacing w:after="60"/>
      </w:pPr>
    </w:p>
    <w:p>
      <w:pPr>
        <w:pStyle w:val="Heading3"/>
      </w:pPr>
      <w:r>
        <w:t xml:space="preserve">3.1 Q-020 und die Methodik (Rang 1)</w:t>
      </w:r>
    </w:p>
    <w:p>
      <w:pPr>
        <w:spacing w:after="120"/>
      </w:pPr>
      <w:r>
        <w:t xml:space="preserve">Warum zuerst: Alle drei USP-Kandidaten hängen an sauberer Messung. Q-020 (faire klassische Referenz mit linearem Vergleichsarm; Verschränkung × Tiefe ohne Encoder) ist billig und macht aus (b) einen Beitrag. Literatur-Anker: Bowles 2024 als „was es schon gibt“, Kesiku 2026 als alternative Zerlegungsmethode. </w:t>
      </w:r>
      <w:r>
        <w:rPr>
          <w:b/>
          <w:bCs/>
        </w:rPr>
        <w:t xml:space="preserve">Konkrete Aufwertung:</w:t>
      </w:r>
      <w:r>
        <w:t xml:space="preserve"> Für jeden Q-Befund die „Quantenanteil“-Zahl ausweisen (wie viel bleibt nach Abzug der klassisch erklärbaren Teile?) — direkt vergleichbar mit Kesikus 0,82 %.</w:t>
      </w:r>
    </w:p>
    <w:p>
      <w:pPr>
        <w:pStyle w:val="Heading3"/>
      </w:pPr>
      <w:r>
        <w:t xml:space="preserve">3.2 Walsh-Hadamard statt Fourier (Rang 2)</w:t>
      </w:r>
    </w:p>
    <w:p>
      <w:pPr>
        <w:spacing w:after="120"/>
      </w:pPr>
      <w:r>
        <w:t xml:space="preserve">Die geteilte Schaltung </w:t>
      </w:r>
      <w:r>
        <w:rPr>
          <w:b/>
          <w:bCs/>
        </w:rPr>
        <w:t xml:space="preserve">ohne CNOT</w:t>
      </w:r>
      <w:r>
        <w:t xml:space="preserve"> ist ein Kronecker-Produkt von 2×2-Drehungen und enthält die Walsh-Hadamard-Transformation exakt (Ry(π/2) auf jedem Qubit ist bis auf Vorzeichen die Hadamard-Matrix). Bei Signalen aus Rechteck-/Schaltmustern ist das die ideale Basis mit 8–16 Parametern; eine dichte Schicht muss sie aus 65.536 Parametern erst lernen. </w:t>
      </w:r>
      <w:r>
        <w:rPr>
          <w:b/>
          <w:bCs/>
        </w:rPr>
        <w:t xml:space="preserve">Was neu wäre:</w:t>
      </w:r>
      <w:r>
        <w:t xml:space="preserve"> Fastfood (2013) nutzt Hadamard fest; KRU (2018) lernt Kronecker-Faktoren für RNNs — dass eine quanteninspirierte Schicht die Walsh-Basis </w:t>
      </w:r>
      <w:r>
        <w:rPr>
          <w:i/>
          <w:iCs/>
        </w:rPr>
        <w:t xml:space="preserve">lernt</w:t>
      </w:r>
      <w:r>
        <w:t xml:space="preserve"> und dadurch </w:t>
      </w:r>
      <w:r>
        <w:rPr>
          <w:b/>
          <w:bCs/>
        </w:rPr>
        <w:t xml:space="preserve">mit wenig Daten</w:t>
      </w:r>
      <w:r>
        <w:t xml:space="preserve"> gewinnt, wurde nicht gefunden. </w:t>
      </w:r>
      <w:r>
        <w:rPr>
          <w:b/>
          <w:bCs/>
        </w:rPr>
        <w:t xml:space="preserve">Ehrlicher Haken:</w:t>
      </w:r>
      <w:r>
        <w:t xml:space="preserve"> Das ist wie die Q-019-Primärhypothese fast per Konstruktion wahr. Der Wert liegt deshalb in der </w:t>
      </w:r>
      <w:r>
        <w:rPr>
          <w:b/>
          <w:bCs/>
        </w:rPr>
        <w:t xml:space="preserve">Lernkurve</w:t>
      </w:r>
      <w:r>
        <w:t xml:space="preserve"> (N = 50…6.000; ab welcher Datenmenge holt dicht auf?) und in der Gegenkontrolle (Fourier-Bänder, permutierte Zeitachse). Hinweis: Kannan 2026 zeigt, dass ein Quantenvorteil beim Signallernen im </w:t>
      </w:r>
      <w:r>
        <w:rPr>
          <w:b/>
          <w:bCs/>
        </w:rPr>
        <w:t xml:space="preserve">Sensor</w:t>
      </w:r>
      <w:r>
        <w:t xml:space="preserve"> liegt, nicht in der Nachverarbeitung — Q-019 darf nicht als „Quantenvorteil bei Signalen“ verkauft werden, sondern als „Induktionsbias einer quanteninspirierten Struktur“.</w:t>
      </w:r>
    </w:p>
    <w:p>
      <w:pPr>
        <w:pStyle w:val="Heading3"/>
      </w:pPr>
      <w:r>
        <w:t xml:space="preserve">3.3 Adapter für ein deutsches Sprachmodell (Rang 3)</w:t>
      </w:r>
    </w:p>
    <w:p>
      <w:pPr>
        <w:spacing w:after="120"/>
      </w:pPr>
      <w:r>
        <w:rPr>
          <w:b/>
          <w:bCs/>
        </w:rPr>
        <w:t xml:space="preserve">Idee:</w:t>
      </w:r>
      <w:r>
        <w:t xml:space="preserve"> LLäMmlein-120M (später 1B-Chat) einfrieren; in Q/V-Projektionen einen QIRE-Adapter setzen; gegen LoRA (Rang 1), BOFT und Quantum-PEFT </w:t>
      </w:r>
      <w:r>
        <w:rPr>
          <w:b/>
          <w:bCs/>
        </w:rPr>
        <w:t xml:space="preserve">bei gleicher Parameterzahl</w:t>
      </w:r>
      <w:r>
        <w:t xml:space="preserve"> (Größenordnung 10²–10³ je Schicht) auf einer deutschen Aufgabe (z. B. Perplexität auf einem Fachkorpus oder eine SuperGLEBer-Aufgabe), mit TOST. </w:t>
      </w:r>
      <w:r>
        <w:rPr>
          <w:b/>
          <w:bCs/>
        </w:rPr>
        <w:t xml:space="preserve">Warum das den Chatbot rettet:</w:t>
      </w:r>
      <w:r>
        <w:t xml:space="preserve"> Aus einem Mini-Modell von null wird ein echter deutscher Chatbot, und „ressourceneffizient“ heißt ehrlich: </w:t>
      </w:r>
      <w:r>
        <w:rPr>
          <w:b/>
          <w:bCs/>
        </w:rPr>
        <w:t xml:space="preserve">weniger trainierbare Parameter und weniger Trainingsspeicher</w:t>
      </w:r>
      <w:r>
        <w:t xml:space="preserve">, nicht schnellere Inferenz — das löst den Konflikt „Struktur gewinnt erst ab 16.384“ (CLAUDE.md §1). </w:t>
      </w:r>
      <w:r>
        <w:rPr>
          <w:b/>
          <w:bCs/>
        </w:rPr>
        <w:t xml:space="preserve">Was QIRE davon unterscheidet:</w:t>
      </w:r>
      <w:r>
        <w:t xml:space="preserve"> (i) Born-Auslese-Variante als </w:t>
      </w:r>
      <w:r>
        <w:rPr>
          <w:i/>
          <w:iCs/>
        </w:rPr>
        <w:t xml:space="preserve">nichtlinearer</w:t>
      </w:r>
      <w:r>
        <w:t xml:space="preserve"> Adapter gegen die rein unitäre Quantum-PEFT-Form — genau der Mechanismus aus (c); (ii) Ablationen CNOT an/aus, geteilt/ungeteilt, Rz an/aus; (iii) Äquivalenzstatistik. </w:t>
      </w:r>
      <w:r>
        <w:rPr>
          <w:b/>
          <w:bCs/>
        </w:rPr>
        <w:t xml:space="preserve">Risiken:</w:t>
      </w:r>
      <w:r>
        <w:t xml:space="preserve"> Quantum-PEFT hat die Hauptaussage schon; Überlegenheit gegen LoRA ist unwahrscheinlich; „gleichwertig bei 10× weniger Parametern“ ist realistisch, aber nicht neu. Braucht GPU (RunPod ohne Guthaben). Nebli 2026 warnt: Vorteile können Aufwärmeffekte sein → ganze Lernkurven berichten. BOFT/LoRA gibt es fertig in Hugging Face PEFT (billige Baselines). Lizenz LLäMmlein: nur Forschung — für Jugend forscht passend, aber im Text nennen.</w:t>
      </w:r>
    </w:p>
    <w:p>
      <w:pPr>
        <w:pStyle w:val="Heading3"/>
      </w:pPr>
      <w:r>
        <w:t xml:space="preserve">3.4 Physik-Daten des MPI (Rang 4)</w:t>
      </w:r>
    </w:p>
    <w:p>
      <w:pPr>
        <w:spacing w:after="120"/>
      </w:pPr>
      <w:r>
        <w:t xml:space="preserve">Das MPI Halle arbeitet an Spintronik, </w:t>
      </w:r>
      <w:r>
        <w:rPr>
          <w:b/>
          <w:bCs/>
        </w:rPr>
        <w:t xml:space="preserve">neuromorphen Bauelementen</w:t>
      </w:r>
      <w:r>
        <w:t xml:space="preserve">, Nanophotonik und Quantenmaterialien (Institutsseite) und hat 2017 das Symposium „Beyond von-Neumann Computing“ zu energieeffizienter Datenverarbeitung ausgerichtet. Echte Messreihen (Spektren, Zeitreihen, Schaltvorgänge) wären der einzige Datensatz, den keine Konkurrenzarbeit hat. Aussicht und Aufwand hängen vollständig davon ab, was das MPI bereitstellen kann — deshalb die Fragen unten.</w:t>
      </w:r>
    </w:p>
    <w:p>
      <w:pPr>
        <w:pStyle w:val="Heading3"/>
      </w:pPr>
      <w:r>
        <w:t xml:space="preserve">3.5 Quantendaten-Vorteil im Kleinen (Rang 5)</w:t>
      </w:r>
    </w:p>
    <w:p>
      <w:pPr>
        <w:spacing w:after="120"/>
      </w:pPr>
      <w:r>
        <w:t xml:space="preserve">Huang 2022 (Science) ist der einzige Ort, an dem ein Lernvorteil </w:t>
      </w:r>
      <w:r>
        <w:rPr>
          <w:b/>
          <w:bCs/>
        </w:rPr>
        <w:t xml:space="preserve">bewiesen</w:t>
      </w:r>
      <w:r>
        <w:t xml:space="preserve"> und gemessen ist; Seif u. a. 2026 zeigen eine Variante auf supraleitender Hardware mit bis zu 64 Qubits. Eine Mini-Version (2–4 Qubits, Bell-Messung an zwei Kopien gegen Einzelmessungen) ist klein simulierbar und auf IBM lauffähig. </w:t>
      </w:r>
      <w:r>
        <w:rPr>
          <w:b/>
          <w:bCs/>
        </w:rPr>
        <w:t xml:space="preserve">Aber:</w:t>
      </w:r>
      <w:r>
        <w:t xml:space="preserve"> Es ist Lernen </w:t>
      </w:r>
      <w:r>
        <w:rPr>
          <w:i/>
          <w:iCs/>
        </w:rPr>
        <w:t xml:space="preserve">über Quantensysteme</w:t>
      </w:r>
      <w:r>
        <w:t xml:space="preserve">, nicht effizientere KI auf klassischen Daten, und es ist eine Replikation. Als </w:t>
      </w:r>
      <w:r>
        <w:rPr>
          <w:b/>
          <w:bCs/>
        </w:rPr>
        <w:t xml:space="preserve">Kontrast-Kapitel</w:t>
      </w:r>
      <w:r>
        <w:t xml:space="preserve"> („so sieht ein echter Quantenvorteil aus — und darum hat QIRE keinen“) stark, als Hauptlinie schwach. </w:t>
      </w:r>
      <w:r>
        <w:rPr>
          <w:b/>
          <w:bCs/>
        </w:rPr>
        <w:t xml:space="preserve">Vor jedem IBM-Lauf:</w:t>
      </w:r>
      <w:r>
        <w:t xml:space="preserve"> Token neu erzeugen (Review §8, PC-Infektion).</w:t>
      </w:r>
    </w:p>
    <w:p>
      <w:pPr>
        <w:pStyle w:val="Heading3"/>
      </w:pPr>
      <w:r>
        <w:t xml:space="preserve">3.6 Was die Literatur aus den alten Ideenlisten streicht oder abwertet</w:t>
      </w:r>
    </w:p>
    <w:p>
      <w:pPr>
        <w:pStyle w:val="ListParagraph"/>
        <w:numPr>
          <w:ilvl w:val="0"/>
          <w:numId w:val="5"/>
        </w:numPr>
        <w:spacing w:after="60"/>
      </w:pPr>
      <w:r>
        <w:rPr>
          <w:b/>
          <w:bCs/>
        </w:rPr>
        <w:t xml:space="preserve">Quantum Natural Gradient / Identitäts-Initialisierung gegen Konzentration</w:t>
      </w:r>
      <w:r>
        <w:t xml:space="preserve"> (BEFUNDE §4): Aghaei Saem u. a. 2026 — hilft bei endlichem Messbudget nicht.</w:t>
      </w:r>
    </w:p>
    <w:p>
      <w:pPr>
        <w:pStyle w:val="ListParagraph"/>
        <w:numPr>
          <w:ilvl w:val="0"/>
          <w:numId w:val="5"/>
        </w:numPr>
        <w:spacing w:after="60"/>
      </w:pPr>
      <w:r>
        <w:rPr>
          <w:b/>
          <w:bCs/>
        </w:rPr>
        <w:t xml:space="preserve">Q-005 Barren Plateaus, K-Serie</w:t>
      </w:r>
      <w:r>
        <w:t xml:space="preserve">: Replikationen bekannter Theorie (McClean 2018, Thanasilp 2024). Nützlich als Prüfung der eigenen Werkzeuge, kein Beitrag.</w:t>
      </w:r>
    </w:p>
    <w:p>
      <w:pPr>
        <w:pStyle w:val="ListParagraph"/>
        <w:numPr>
          <w:ilvl w:val="0"/>
          <w:numId w:val="5"/>
        </w:numPr>
        <w:spacing w:after="60"/>
      </w:pPr>
      <w:r>
        <w:rPr>
          <w:b/>
          <w:bCs/>
        </w:rPr>
        <w:t xml:space="preserve">„Quanten-Geschwindigkeitsvorteil“</w:t>
      </w:r>
      <w:r>
        <w:t xml:space="preserve"> jeder Art: Cerezo u. a. 2025 und die eigene Theorie (BEFUNDE §12) — ausgeschlossen.</w:t>
      </w:r>
    </w:p>
    <w:p>
      <w:pPr>
        <w:pBdr>
          <w:bottom w:val="single" w:color="BBBBBB" w:sz="6" w:space="1"/>
        </w:pBdr>
        <w:spacing w:after="120"/>
      </w:pPr>
    </w:p>
    <w:p>
      <w:pPr>
        <w:pStyle w:val="Heading2"/>
      </w:pPr>
      <w:r>
        <w:t xml:space="preserve">4. Fragen fürs MPI-Treffen (Vorschlag)</w:t>
      </w:r>
    </w:p>
    <w:p>
      <w:pPr>
        <w:pStyle w:val="ListParagraph"/>
        <w:numPr>
          <w:ilvl w:val="0"/>
          <w:numId w:val="6"/>
        </w:numPr>
        <w:spacing w:after="60"/>
      </w:pPr>
      <w:r>
        <w:t xml:space="preserve">Gibt es Messreihen mit </w:t>
      </w:r>
      <w:r>
        <w:rPr>
          <w:b/>
          <w:bCs/>
        </w:rPr>
        <w:t xml:space="preserve">Schalt- oder Rechtecksignalen</w:t>
      </w:r>
      <w:r>
        <w:t xml:space="preserve"> (Walsh-artig) oder Spektren mit </w:t>
      </w:r>
      <w:r>
        <w:rPr>
          <w:b/>
          <w:bCs/>
        </w:rPr>
        <w:t xml:space="preserve">wenigen gelabelten Beispielen</w:t>
      </w:r>
      <w:r>
        <w:t xml:space="preserve">? Genau dort hätte die Struktur einen begründeten Vorteil (Abschnitt 3.2).</w:t>
      </w:r>
    </w:p>
    <w:p>
      <w:pPr>
        <w:pStyle w:val="ListParagraph"/>
        <w:numPr>
          <w:ilvl w:val="0"/>
          <w:numId w:val="6"/>
        </w:numPr>
        <w:spacing w:after="60"/>
      </w:pPr>
      <w:r>
        <w:t xml:space="preserve">Interessiert die NISE-/Neuromorphik-Seite eine Schicht, die mit </w:t>
      </w:r>
      <w:r>
        <w:rPr>
          <w:b/>
          <w:bCs/>
        </w:rPr>
        <w:t xml:space="preserve">16 Parametern und festem Verbindungsmuster</w:t>
      </w:r>
      <w:r>
        <w:t xml:space="preserve"> auskommt — als Kandidat für Hardware mit wenig Speicher? (Frage, kein Befund.)</w:t>
      </w:r>
    </w:p>
    <w:p>
      <w:pPr>
        <w:pStyle w:val="ListParagraph"/>
        <w:numPr>
          <w:ilvl w:val="0"/>
          <w:numId w:val="6"/>
        </w:numPr>
        <w:spacing w:after="60"/>
      </w:pPr>
      <w:r>
        <w:t xml:space="preserve">Wie bewertet ein Physiker die Linie „quanteninspiriert, ehrlich dequantisiert“ gegenüber „echter Quantenvorteil nur mit Quantendaten/Sensoren“ (Huang 2022, Kannan 2026)?</w:t>
      </w:r>
    </w:p>
    <w:p>
      <w:pPr>
        <w:pStyle w:val="ListParagraph"/>
        <w:numPr>
          <w:ilvl w:val="0"/>
          <w:numId w:val="6"/>
        </w:numPr>
        <w:spacing w:after="60"/>
      </w:pPr>
      <w:r>
        <w:t xml:space="preserve">Gibt es Zugang zu einer GPU für den Adapter-Vergleich (Abschnitt 3.3)?</w:t>
      </w:r>
    </w:p>
    <w:p>
      <w:pPr>
        <w:pBdr>
          <w:bottom w:val="single" w:color="BBBBBB" w:sz="6" w:space="1"/>
        </w:pBdr>
        <w:spacing w:after="120"/>
      </w:pPr>
    </w:p>
    <w:p>
      <w:pPr>
        <w:pStyle w:val="Heading2"/>
      </w:pPr>
      <w:r>
        <w:t xml:space="preserve">5. Was Malte vor dem Zitieren noch lesen muss (Reihenfolge)</w:t>
      </w:r>
    </w:p>
    <w:p>
      <w:pPr>
        <w:pStyle w:val="ListParagraph"/>
        <w:numPr>
          <w:ilvl w:val="0"/>
          <w:numId w:val="7"/>
        </w:numPr>
        <w:spacing w:after="60"/>
      </w:pPr>
      <w:r>
        <w:t xml:space="preserve">Quantum-PEFT (Abschnitt Methode + Tabellen) — sonst droht ein Juryeinwand „das gibt es schon“.</w:t>
      </w:r>
    </w:p>
    <w:p>
      <w:pPr>
        <w:pStyle w:val="ListParagraph"/>
        <w:numPr>
          <w:ilvl w:val="0"/>
          <w:numId w:val="7"/>
        </w:numPr>
        <w:spacing w:after="60"/>
      </w:pPr>
      <w:r>
        <w:t xml:space="preserve">Bowles/Ahmed/Schuld (Abschnitt Verschränkungs-Ablation).</w:t>
      </w:r>
    </w:p>
    <w:p>
      <w:pPr>
        <w:pStyle w:val="ListParagraph"/>
        <w:numPr>
          <w:ilvl w:val="0"/>
          <w:numId w:val="7"/>
        </w:numPr>
        <w:spacing w:after="60"/>
      </w:pPr>
      <w:r>
        <w:t xml:space="preserve">Zając u. a. 2026 (Beweis quadratische Formen) — mit eigener Rayleigh-Herleitung vergleichen.</w:t>
      </w:r>
    </w:p>
    <w:p>
      <w:pPr>
        <w:pStyle w:val="ListParagraph"/>
        <w:numPr>
          <w:ilvl w:val="0"/>
          <w:numId w:val="7"/>
        </w:numPr>
        <w:spacing w:after="60"/>
      </w:pPr>
      <w:r>
        <w:t xml:space="preserve">BOFT (Parametrisierung) und EUNN (FFT-style).</w:t>
      </w:r>
    </w:p>
    <w:p>
      <w:pPr>
        <w:pStyle w:val="ListParagraph"/>
        <w:numPr>
          <w:ilvl w:val="0"/>
          <w:numId w:val="7"/>
        </w:numPr>
        <w:spacing w:after="60"/>
      </w:pPr>
      <w:r>
        <w:t xml:space="preserve">Papyan/Han/Donoho und Huh u. a. für Projekt B.</w:t>
      </w:r>
    </w:p>
    <w:p>
      <w:pPr>
        <w:spacing w:after="120"/>
      </w:pPr>
      <w:r>
        <w:rPr>
          <w:b/>
          <w:bCs/>
        </w:rPr>
        <w:t xml:space="preserve">Offene Unsicherheiten dieser Recherche:</w:t>
      </w:r>
      <w:r>
        <w:t xml:space="preserve"> Autorenlisten von Jayakumar 2020 und LLäMmlein nicht vollständig bestätigt (in den Karten markiert); KronA-Venue unklar; Bowles 2024 als arXiv geführt, Zeitschriftenfassung nicht gefunden; Parameterformeln von BOFT und Quantum-PEFT aus einer automatischen Zusammenfassung der HTML-Fassung — im Volltext nachprüfen.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E74B5"/>
      <w:sz w:val="26"/>
      <w:szCs w:val="26"/>
    </w:rPr>
  </w:style>
  <w:style w:type="paragraph" w:styleId="Heading3">
    <w:name w:val="Heading 3"/>
    <w:basedOn w:val="Normal"/>
    <w:next w:val="Normal"/>
    <w:qFormat/>
    <w:pPr>
      <w:spacing w:after="80" w:before="180"/>
      <w:outlineLvl w:val="2"/>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2026-09-24T12:24:01.387Z</dcterms:created>
  <dcterms:modified xsi:type="dcterms:W3CDTF">2026-09-24T12:24:01.387Z</dcterms:modified>
</cp:coreProperties>
</file>

<file path=docProps/custom.xml><?xml version="1.0" encoding="utf-8"?>
<Properties xmlns="http://schemas.openxmlformats.org/officeDocument/2006/custom-properties" xmlns:vt="http://schemas.openxmlformats.org/officeDocument/2006/docPropsVTypes"/>
</file>