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360"/>
      </w:pPr>
      <w:r>
        <w:rPr>
          <w:rFonts w:ascii="Calibri" w:hAnsi="Calibri"/>
          <w:b/>
          <w:i w:val="0"/>
          <w:color w:val="2E74B5"/>
          <w:sz w:val="22"/>
        </w:rPr>
        <w:t>BUSINESS REQUIREMENTS DOCUMENT</w:t>
      </w:r>
    </w:p>
    <w:p>
      <w:pPr>
        <w:spacing w:after="120"/>
      </w:pPr>
      <w:r>
        <w:rPr>
          <w:rFonts w:ascii="Calibri" w:hAnsi="Calibri"/>
          <w:b/>
          <w:i w:val="0"/>
          <w:color w:val="0B2545"/>
          <w:sz w:val="56"/>
        </w:rPr>
        <w:t>financialSlidesGenerator</w:t>
      </w:r>
    </w:p>
    <w:p>
      <w:pPr>
        <w:spacing w:after="560"/>
      </w:pPr>
      <w:r>
        <w:rPr>
          <w:rFonts w:ascii="Calibri" w:hAnsi="Calibri"/>
          <w:b w:val="0"/>
          <w:i w:val="0"/>
          <w:color w:val="5B6573"/>
          <w:sz w:val="30"/>
        </w:rPr>
        <w:t>Affordable, source-grounded business document generation</w:t>
      </w:r>
    </w:p>
    <w:p>
      <w:pPr>
        <w:spacing w:before="0" w:after="60" w:line="252" w:lineRule="auto"/>
      </w:pPr>
      <w:r>
        <w:rPr>
          <w:rFonts w:ascii="Calibri" w:hAnsi="Calibri"/>
          <w:b/>
          <w:i w:val="0"/>
          <w:color w:val="0B2545"/>
          <w:sz w:val="21"/>
        </w:rPr>
        <w:t xml:space="preserve">Document owner: </w:t>
      </w:r>
      <w:r>
        <w:rPr>
          <w:rFonts w:ascii="Calibri" w:hAnsi="Calibri"/>
          <w:b w:val="0"/>
          <w:i w:val="0"/>
          <w:color w:val="000000"/>
          <w:sz w:val="21"/>
        </w:rPr>
        <w:t>Mshari</w:t>
      </w:r>
    </w:p>
    <w:p>
      <w:pPr>
        <w:spacing w:before="0" w:after="60" w:line="252" w:lineRule="auto"/>
      </w:pPr>
      <w:r>
        <w:rPr>
          <w:rFonts w:ascii="Calibri" w:hAnsi="Calibri"/>
          <w:b/>
          <w:i w:val="0"/>
          <w:color w:val="0B2545"/>
          <w:sz w:val="21"/>
        </w:rPr>
        <w:t xml:space="preserve">Version: </w:t>
      </w:r>
      <w:r>
        <w:rPr>
          <w:rFonts w:ascii="Calibri" w:hAnsi="Calibri"/>
          <w:b w:val="0"/>
          <w:i w:val="0"/>
          <w:color w:val="000000"/>
          <w:sz w:val="21"/>
        </w:rPr>
        <w:t>0.1</w:t>
      </w:r>
    </w:p>
    <w:p>
      <w:pPr>
        <w:spacing w:before="0" w:after="60" w:line="252" w:lineRule="auto"/>
      </w:pPr>
      <w:r>
        <w:rPr>
          <w:rFonts w:ascii="Calibri" w:hAnsi="Calibri"/>
          <w:b/>
          <w:i w:val="0"/>
          <w:color w:val="0B2545"/>
          <w:sz w:val="21"/>
        </w:rPr>
        <w:t xml:space="preserve">Status: </w:t>
      </w:r>
      <w:r>
        <w:rPr>
          <w:rFonts w:ascii="Calibri" w:hAnsi="Calibri"/>
          <w:b w:val="0"/>
          <w:i w:val="0"/>
          <w:color w:val="000000"/>
          <w:sz w:val="21"/>
        </w:rPr>
        <w:t>Draft for continued discovery</w:t>
      </w:r>
    </w:p>
    <w:p>
      <w:pPr>
        <w:spacing w:before="0" w:after="60" w:line="252" w:lineRule="auto"/>
      </w:pPr>
      <w:r>
        <w:rPr>
          <w:rFonts w:ascii="Calibri" w:hAnsi="Calibri"/>
          <w:b/>
          <w:i w:val="0"/>
          <w:color w:val="0B2545"/>
          <w:sz w:val="21"/>
        </w:rPr>
        <w:t xml:space="preserve">Date: </w:t>
      </w:r>
      <w:r>
        <w:rPr>
          <w:rFonts w:ascii="Calibri" w:hAnsi="Calibri"/>
          <w:b w:val="0"/>
          <w:i w:val="0"/>
          <w:color w:val="000000"/>
          <w:sz w:val="21"/>
        </w:rPr>
        <w:t>20 July 2026</w:t>
      </w:r>
    </w:p>
    <w:p>
      <w:pPr>
        <w:spacing w:before="0" w:after="60" w:line="252" w:lineRule="auto"/>
      </w:pPr>
      <w:r>
        <w:rPr>
          <w:rFonts w:ascii="Calibri" w:hAnsi="Calibri"/>
          <w:b/>
          <w:i w:val="0"/>
          <w:color w:val="0B2545"/>
          <w:sz w:val="21"/>
        </w:rPr>
        <w:t xml:space="preserve">Initial product: </w:t>
      </w:r>
      <w:r>
        <w:rPr>
          <w:rFonts w:ascii="Calibri" w:hAnsi="Calibri"/>
          <w:b w:val="0"/>
          <w:i w:val="0"/>
          <w:color w:val="000000"/>
          <w:sz w:val="21"/>
        </w:rPr>
        <w:t>Financial report to PowerPoint presentation</w:t>
      </w:r>
    </w:p>
    <w:p>
      <w:pPr>
        <w:spacing w:before="0" w:after="60" w:line="252" w:lineRule="auto"/>
      </w:pPr>
      <w:r>
        <w:rPr>
          <w:rFonts w:ascii="Calibri" w:hAnsi="Calibri"/>
          <w:b/>
          <w:i w:val="0"/>
          <w:color w:val="0B2545"/>
          <w:sz w:val="21"/>
        </w:rPr>
        <w:t xml:space="preserve">Future direction: </w:t>
      </w:r>
      <w:r>
        <w:rPr>
          <w:rFonts w:ascii="Calibri" w:hAnsi="Calibri"/>
          <w:b w:val="0"/>
          <w:i w:val="0"/>
          <w:color w:val="000000"/>
          <w:sz w:val="21"/>
        </w:rPr>
        <w:t>Excel and additional Office workflows</w:t>
      </w:r>
    </w:p>
    <w:p>
      <w:pPr>
        <w:spacing w:before="760" w:after="0"/>
      </w:pPr>
      <w:r>
        <w:rPr>
          <w:rFonts w:ascii="Calibri" w:hAnsi="Calibri"/>
          <w:b w:val="0"/>
          <w:i/>
          <w:color w:val="1F4D78"/>
          <w:sz w:val="24"/>
        </w:rPr>
        <w:t>Working proposition: upload company information and receive a credible, editable, source-backed business deliverable without paying for a high-cost general AI subscription or manually engineering prompts and layouts.</w:t>
      </w:r>
    </w:p>
    <w:p>
      <w:r>
        <w:br w:type="page"/>
      </w:r>
    </w:p>
    <w:p>
      <w:pPr>
        <w:pStyle w:val="Heading1"/>
        <w:keepNext/>
      </w:pPr>
      <w:r>
        <w:rPr>
          <w:rFonts w:ascii="Calibri" w:hAnsi="Calibri"/>
          <w:b/>
          <w:i w:val="0"/>
          <w:color w:val="2E74B5"/>
          <w:sz w:val="32"/>
        </w:rPr>
        <w:t>1. Executive Summary</w:t>
      </w:r>
    </w:p>
    <w:p>
      <w:pPr>
        <w:widowControl/>
        <w:spacing w:before="0" w:after="120" w:line="264" w:lineRule="auto"/>
      </w:pPr>
      <w:r>
        <w:rPr>
          <w:rFonts w:ascii="Calibri" w:hAnsi="Calibri"/>
          <w:b w:val="0"/>
          <w:i w:val="0"/>
          <w:color w:val="000000"/>
          <w:sz w:val="22"/>
        </w:rPr>
        <w:t>financialSlidesGenerator is a proposed subscription product that converts private company reports, uploaded files, or pasted text into useful business deliverables. The first release will generate PowerPoint presentations. The longer-term opportunity is a reusable analysis platform that can also produce Excel workbooks and other Office outputs.</w:t>
      </w:r>
    </w:p>
    <w:p>
      <w:pPr>
        <w:widowControl/>
        <w:spacing w:before="0" w:after="120" w:line="264" w:lineRule="auto"/>
      </w:pPr>
      <w:r>
        <w:rPr>
          <w:rFonts w:ascii="Calibri" w:hAnsi="Calibri"/>
          <w:b w:val="0"/>
          <w:i w:val="0"/>
          <w:color w:val="000000"/>
          <w:sz w:val="22"/>
        </w:rPr>
        <w:t>The product is intentionally narrow at launch. Intelligence is concentrated in source-grounded business and financial analysis. Presentation design is controlled by a deterministic harness that validates structured model output, selects approved layouts, generates converter-compatible HTML, detects layout defects, and renders the final presentation through a replaceable JavaScript adapter.</w:t>
      </w:r>
    </w:p>
    <w:p>
      <w:pPr>
        <w:spacing w:before="160" w:after="200" w:line="264" w:lineRule="auto"/>
        <w:ind w:left="259" w:right="259"/>
        <w:shd w:fill="F4F6F9"/>
        <w:pBdr>
          <w:left w:val="single" w:sz="18" w:space="8" w:color="2E74B5"/>
        </w:pBdr>
      </w:pPr>
      <w:r>
        <w:rPr>
          <w:rFonts w:ascii="Calibri" w:hAnsi="Calibri"/>
          <w:b/>
          <w:i w:val="0"/>
          <w:color w:val="0B2545"/>
          <w:sz w:val="22"/>
        </w:rPr>
        <w:t xml:space="preserve">Business proposition: </w:t>
      </w:r>
      <w:r>
        <w:rPr>
          <w:rFonts w:ascii="Calibri" w:hAnsi="Calibri"/>
          <w:b w:val="0"/>
          <w:i w:val="0"/>
          <w:color w:val="0B2545"/>
          <w:sz w:val="22"/>
        </w:rPr>
        <w:t>Offer a specialized, trustworthy workflow at a subscription price meaningfully below high-cost general AI plans, while pricing high enough to signal credible quality, security, and support.</w:t>
      </w:r>
    </w:p>
    <w:p>
      <w:pPr>
        <w:widowControl/>
        <w:spacing w:before="0" w:after="120" w:line="264" w:lineRule="auto"/>
      </w:pPr>
      <w:r>
        <w:rPr>
          <w:rFonts w:ascii="Calibri" w:hAnsi="Calibri"/>
          <w:b w:val="0"/>
          <w:i w:val="0"/>
          <w:color w:val="000000"/>
          <w:sz w:val="22"/>
        </w:rPr>
        <w:t>The detailed implementation stack remains provisional. Current direction includes a Python API and orchestration layer, cost-efficient or locally hosted language models, retrieval where useful, a controlled HTML layout compiler, and a Node-based PowerPoint renderer. Final choices will be made after quality and editability benchmarks.</w:t>
      </w:r>
    </w:p>
    <w:p>
      <w:pPr>
        <w:pStyle w:val="Heading2"/>
        <w:keepNext/>
      </w:pPr>
      <w:r>
        <w:rPr>
          <w:rFonts w:ascii="Calibri" w:hAnsi="Calibri"/>
          <w:b/>
          <w:i w:val="0"/>
          <w:color w:val="2E74B5"/>
          <w:sz w:val="26"/>
        </w:rPr>
        <w:t>1.1 Document Purpose</w:t>
      </w:r>
    </w:p>
    <w:p>
      <w:pPr>
        <w:widowControl/>
        <w:spacing w:before="0" w:after="120" w:line="264" w:lineRule="auto"/>
      </w:pPr>
      <w:r>
        <w:rPr>
          <w:rFonts w:ascii="Calibri" w:hAnsi="Calibri"/>
          <w:b w:val="0"/>
          <w:i w:val="0"/>
          <w:color w:val="000000"/>
          <w:sz w:val="22"/>
        </w:rPr>
        <w:t>This BRD defines the business objective, MVP boundaries, user journey, requirements, quality controls, commercial principles, delivery approach, risks, and open decisions. It is not a final technical design.</w:t>
      </w:r>
    </w:p>
    <w:p>
      <w:pPr>
        <w:pStyle w:val="Heading2"/>
        <w:keepNext/>
      </w:pPr>
      <w:r>
        <w:rPr>
          <w:rFonts w:ascii="Calibri" w:hAnsi="Calibri"/>
          <w:b/>
          <w:i w:val="0"/>
          <w:color w:val="2E74B5"/>
          <w:sz w:val="26"/>
        </w:rPr>
        <w:t>1.2 Document Control</w:t>
      </w:r>
    </w:p>
    <w:tbl>
      <w:tblPr>
        <w:tblW w:type="dxa" w:w="9360"/>
        <w:jc w:val="left"/>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1800"/>
        <w:gridCol w:w="7560"/>
      </w:tblGrid>
      <w:tr>
        <w:trPr>
          <w:cantSplit/>
          <w:tblHeader w:val="true"/>
        </w:trPr>
        <w:tc>
          <w:tcPr>
            <w:tcW w:type="dxa" w:w="1800"/>
            <w:vAlign w:val="top"/>
            <w:tcMar>
              <w:top w:w="80" w:type="dxa"/>
              <w:start w:w="120" w:type="dxa"/>
              <w:bottom w:w="80" w:type="dxa"/>
              <w:end w:w="120" w:type="dxa"/>
            </w:tcMar>
            <w:shd w:fill="F2F4F7"/>
          </w:tcPr>
          <w:p>
            <w:pPr>
              <w:spacing w:before="0" w:after="0" w:line="240" w:lineRule="auto"/>
            </w:pPr>
            <w:r/>
            <w:r>
              <w:rPr>
                <w:rFonts w:ascii="Calibri" w:hAnsi="Calibri"/>
                <w:b/>
                <w:i w:val="0"/>
                <w:color w:val="0B2545"/>
                <w:sz w:val="18"/>
              </w:rPr>
              <w:t>Field</w:t>
            </w:r>
          </w:p>
        </w:tc>
        <w:tc>
          <w:tcPr>
            <w:tcW w:type="dxa" w:w="7560"/>
            <w:vAlign w:val="top"/>
            <w:tcMar>
              <w:top w:w="80" w:type="dxa"/>
              <w:start w:w="120" w:type="dxa"/>
              <w:bottom w:w="80" w:type="dxa"/>
              <w:end w:w="120" w:type="dxa"/>
            </w:tcMar>
            <w:shd w:fill="F2F4F7"/>
          </w:tcPr>
          <w:p>
            <w:pPr>
              <w:spacing w:before="0" w:after="0" w:line="240" w:lineRule="auto"/>
            </w:pPr>
            <w:r/>
            <w:r>
              <w:rPr>
                <w:rFonts w:ascii="Calibri" w:hAnsi="Calibri"/>
                <w:b/>
                <w:i w:val="0"/>
                <w:color w:val="0B2545"/>
                <w:sz w:val="18"/>
              </w:rPr>
              <w:t>Value</w:t>
            </w:r>
          </w:p>
        </w:tc>
      </w:tr>
      <w:tr>
        <w:tc>
          <w:tcPr>
            <w:tcW w:type="dxa" w:w="1800"/>
          </w:tcPr>
          <w:p>
            <w:pPr>
              <w:spacing w:before="0" w:after="0" w:line="240" w:lineRule="auto"/>
            </w:pPr>
            <w:r/>
            <w:r>
              <w:rPr>
                <w:rFonts w:ascii="Calibri" w:hAnsi="Calibri"/>
                <w:b/>
                <w:i w:val="0"/>
                <w:color w:val="000000"/>
                <w:sz w:val="18"/>
              </w:rPr>
              <w:t>Version</w:t>
            </w:r>
          </w:p>
        </w:tc>
        <w:tc>
          <w:tcPr>
            <w:tcW w:type="dxa" w:w="7560"/>
          </w:tcPr>
          <w:p>
            <w:pPr>
              <w:spacing w:before="0" w:after="0" w:line="240" w:lineRule="auto"/>
            </w:pPr>
            <w:r/>
            <w:r>
              <w:rPr>
                <w:rFonts w:ascii="Calibri" w:hAnsi="Calibri"/>
                <w:b w:val="0"/>
                <w:i w:val="0"/>
                <w:color w:val="000000"/>
                <w:sz w:val="18"/>
              </w:rPr>
              <w:t>0.1</w:t>
            </w:r>
          </w:p>
        </w:tc>
      </w:tr>
      <w:tr>
        <w:tc>
          <w:tcPr>
            <w:tcW w:type="dxa" w:w="1800"/>
          </w:tcPr>
          <w:p>
            <w:pPr>
              <w:spacing w:before="0" w:after="0" w:line="240" w:lineRule="auto"/>
            </w:pPr>
            <w:r/>
            <w:r>
              <w:rPr>
                <w:rFonts w:ascii="Calibri" w:hAnsi="Calibri"/>
                <w:b/>
                <w:i w:val="0"/>
                <w:color w:val="000000"/>
                <w:sz w:val="18"/>
              </w:rPr>
              <w:t>Status</w:t>
            </w:r>
          </w:p>
        </w:tc>
        <w:tc>
          <w:tcPr>
            <w:tcW w:type="dxa" w:w="7560"/>
          </w:tcPr>
          <w:p>
            <w:pPr>
              <w:spacing w:before="0" w:after="0" w:line="240" w:lineRule="auto"/>
            </w:pPr>
            <w:r/>
            <w:r>
              <w:rPr>
                <w:rFonts w:ascii="Calibri" w:hAnsi="Calibri"/>
                <w:b w:val="0"/>
                <w:i w:val="0"/>
                <w:color w:val="000000"/>
                <w:sz w:val="18"/>
              </w:rPr>
              <w:t>Draft for continued discovery</w:t>
            </w:r>
          </w:p>
        </w:tc>
      </w:tr>
      <w:tr>
        <w:tc>
          <w:tcPr>
            <w:tcW w:type="dxa" w:w="1800"/>
          </w:tcPr>
          <w:p>
            <w:pPr>
              <w:spacing w:before="0" w:after="0" w:line="240" w:lineRule="auto"/>
            </w:pPr>
            <w:r/>
            <w:r>
              <w:rPr>
                <w:rFonts w:ascii="Calibri" w:hAnsi="Calibri"/>
                <w:b/>
                <w:i w:val="0"/>
                <w:color w:val="000000"/>
                <w:sz w:val="18"/>
              </w:rPr>
              <w:t>Owner</w:t>
            </w:r>
          </w:p>
        </w:tc>
        <w:tc>
          <w:tcPr>
            <w:tcW w:type="dxa" w:w="7560"/>
          </w:tcPr>
          <w:p>
            <w:pPr>
              <w:spacing w:before="0" w:after="0" w:line="240" w:lineRule="auto"/>
            </w:pPr>
            <w:r/>
            <w:r>
              <w:rPr>
                <w:rFonts w:ascii="Calibri" w:hAnsi="Calibri"/>
                <w:b w:val="0"/>
                <w:i w:val="0"/>
                <w:color w:val="000000"/>
                <w:sz w:val="18"/>
              </w:rPr>
              <w:t>Mshari</w:t>
            </w:r>
          </w:p>
        </w:tc>
      </w:tr>
      <w:tr>
        <w:tc>
          <w:tcPr>
            <w:tcW w:type="dxa" w:w="1800"/>
          </w:tcPr>
          <w:p>
            <w:pPr>
              <w:spacing w:before="0" w:after="0" w:line="240" w:lineRule="auto"/>
            </w:pPr>
            <w:r/>
            <w:r>
              <w:rPr>
                <w:rFonts w:ascii="Calibri" w:hAnsi="Calibri"/>
                <w:b/>
                <w:i w:val="0"/>
                <w:color w:val="000000"/>
                <w:sz w:val="18"/>
              </w:rPr>
              <w:t>Repository</w:t>
            </w:r>
          </w:p>
        </w:tc>
        <w:tc>
          <w:tcPr>
            <w:tcW w:type="dxa" w:w="7560"/>
          </w:tcPr>
          <w:p>
            <w:pPr>
              <w:spacing w:before="0" w:after="0" w:line="240" w:lineRule="auto"/>
            </w:pPr>
            <w:r/>
            <w:r>
              <w:rPr>
                <w:rFonts w:ascii="Calibri" w:hAnsi="Calibri"/>
                <w:b w:val="0"/>
                <w:i w:val="0"/>
                <w:color w:val="000000"/>
                <w:sz w:val="18"/>
              </w:rPr>
              <w:t>thelonelymars225/financialSlidesGenerator</w:t>
            </w:r>
          </w:p>
        </w:tc>
      </w:tr>
      <w:tr>
        <w:tc>
          <w:tcPr>
            <w:tcW w:type="dxa" w:w="1800"/>
          </w:tcPr>
          <w:p>
            <w:pPr>
              <w:spacing w:before="0" w:after="0" w:line="240" w:lineRule="auto"/>
            </w:pPr>
            <w:r/>
            <w:r>
              <w:rPr>
                <w:rFonts w:ascii="Calibri" w:hAnsi="Calibri"/>
                <w:b/>
                <w:i w:val="0"/>
                <w:color w:val="000000"/>
                <w:sz w:val="18"/>
              </w:rPr>
              <w:t>Notion project</w:t>
            </w:r>
          </w:p>
        </w:tc>
        <w:tc>
          <w:tcPr>
            <w:tcW w:type="dxa" w:w="7560"/>
          </w:tcPr>
          <w:p>
            <w:pPr>
              <w:spacing w:before="0" w:after="0" w:line="240" w:lineRule="auto"/>
            </w:pPr>
            <w:r/>
            <w:r>
              <w:rPr>
                <w:rFonts w:ascii="Calibri" w:hAnsi="Calibri"/>
                <w:b w:val="0"/>
                <w:i w:val="0"/>
                <w:color w:val="000000"/>
                <w:sz w:val="18"/>
              </w:rPr>
              <w:t>financialSlidesGenerator — Planning</w:t>
            </w:r>
          </w:p>
        </w:tc>
      </w:tr>
      <w:tr>
        <w:tc>
          <w:tcPr>
            <w:tcW w:type="dxa" w:w="1800"/>
          </w:tcPr>
          <w:p>
            <w:pPr>
              <w:spacing w:before="0" w:after="0" w:line="240" w:lineRule="auto"/>
            </w:pPr>
            <w:r/>
            <w:r>
              <w:rPr>
                <w:rFonts w:ascii="Calibri" w:hAnsi="Calibri"/>
                <w:b/>
                <w:i w:val="0"/>
                <w:color w:val="000000"/>
                <w:sz w:val="18"/>
              </w:rPr>
              <w:t>Next review</w:t>
            </w:r>
          </w:p>
        </w:tc>
        <w:tc>
          <w:tcPr>
            <w:tcW w:type="dxa" w:w="7560"/>
          </w:tcPr>
          <w:p>
            <w:pPr>
              <w:spacing w:before="0" w:after="0" w:line="240" w:lineRule="auto"/>
            </w:pPr>
            <w:r/>
            <w:r>
              <w:rPr>
                <w:rFonts w:ascii="Calibri" w:hAnsi="Calibri"/>
                <w:b w:val="0"/>
                <w:i w:val="0"/>
                <w:color w:val="000000"/>
                <w:sz w:val="18"/>
              </w:rPr>
              <w:t>After continued technology-stack and MVP discussion</w:t>
            </w:r>
          </w:p>
        </w:tc>
      </w:tr>
    </w:tbl>
    <w:p>
      <w:pPr>
        <w:spacing w:after="0"/>
      </w:pPr>
    </w:p>
    <w:p>
      <w:pPr>
        <w:pStyle w:val="Heading1"/>
        <w:keepNext/>
      </w:pPr>
      <w:r>
        <w:rPr>
          <w:rFonts w:ascii="Calibri" w:hAnsi="Calibri"/>
          <w:b/>
          <w:i w:val="0"/>
          <w:color w:val="2E74B5"/>
          <w:sz w:val="32"/>
        </w:rPr>
        <w:t>2. Business Context and Opportunity</w:t>
      </w:r>
    </w:p>
    <w:p>
      <w:pPr>
        <w:pStyle w:val="Heading2"/>
        <w:keepNext/>
      </w:pPr>
      <w:r>
        <w:rPr>
          <w:rFonts w:ascii="Calibri" w:hAnsi="Calibri"/>
          <w:b/>
          <w:i w:val="0"/>
          <w:color w:val="2E74B5"/>
          <w:sz w:val="26"/>
        </w:rPr>
        <w:t>2.1 Problem Statement</w:t>
      </w:r>
    </w:p>
    <w:p>
      <w:pPr>
        <w:widowControl/>
        <w:spacing w:before="0" w:after="120" w:line="264" w:lineRule="auto"/>
      </w:pPr>
      <w:r>
        <w:rPr>
          <w:rFonts w:ascii="Calibri" w:hAnsi="Calibri"/>
          <w:b w:val="0"/>
          <w:i w:val="0"/>
          <w:color w:val="000000"/>
          <w:sz w:val="22"/>
        </w:rPr>
        <w:t>Business users often have the source information needed for a presentation but lack the time, prompting skill, design process, or specialist software workflow required to turn it into a coherent deck. General AI subscriptions can assist, yet users may still need repeated prompting, manual fact checking, layout correction, and PowerPoint reconstruction. Heavy individual plans can also be disproportionate for customers who need only occasional business-document generation.</w:t>
      </w:r>
    </w:p>
    <w:p>
      <w:pPr>
        <w:widowControl/>
        <w:spacing w:before="0" w:after="120" w:line="264" w:lineRule="auto"/>
      </w:pPr>
      <w:r>
        <w:rPr>
          <w:rFonts w:ascii="Calibri" w:hAnsi="Calibri"/>
          <w:b w:val="0"/>
          <w:i w:val="0"/>
          <w:color w:val="000000"/>
          <w:sz w:val="22"/>
        </w:rPr>
        <w:t>The opportunity is to productize the complete workflow: ingest information, extract and verify facts, analyze the report, fit findings into controlled business layouts, and deliver an editable artifact. Specialization allows the system to use cheaper models and deterministic software where a general assistant would rely on expensive open-ended reasoning.</w:t>
      </w:r>
    </w:p>
    <w:p>
      <w:pPr>
        <w:pStyle w:val="Heading2"/>
        <w:keepNext/>
      </w:pPr>
      <w:r>
        <w:rPr>
          <w:rFonts w:ascii="Calibri" w:hAnsi="Calibri"/>
          <w:b/>
          <w:i w:val="0"/>
          <w:color w:val="2E74B5"/>
          <w:sz w:val="26"/>
        </w:rPr>
        <w:t>2.2 Product Vision</w:t>
      </w:r>
    </w:p>
    <w:p>
      <w:pPr>
        <w:spacing w:before="160" w:after="200" w:line="264" w:lineRule="auto"/>
        <w:ind w:left="259" w:right="259"/>
        <w:shd w:fill="F4F6F9"/>
        <w:pBdr>
          <w:left w:val="single" w:sz="18" w:space="8" w:color="2E74B5"/>
        </w:pBdr>
      </w:pPr>
      <w:r>
        <w:rPr>
          <w:rFonts w:ascii="Calibri" w:hAnsi="Calibri"/>
          <w:b/>
          <w:i w:val="0"/>
          <w:color w:val="0B2545"/>
          <w:sz w:val="22"/>
        </w:rPr>
        <w:t xml:space="preserve">Vision: </w:t>
      </w:r>
      <w:r>
        <w:rPr>
          <w:rFonts w:ascii="Calibri" w:hAnsi="Calibri"/>
          <w:b w:val="0"/>
          <w:i w:val="0"/>
          <w:color w:val="0B2545"/>
          <w:sz w:val="22"/>
        </w:rPr>
        <w:t>Become the affordable business-output layer that transforms trusted company data into polished, editable Office deliverables with traceable analysis and predictable quality.</w:t>
      </w:r>
    </w:p>
    <w:p>
      <w:pPr>
        <w:pStyle w:val="Heading2"/>
        <w:keepNext/>
      </w:pPr>
      <w:r>
        <w:rPr>
          <w:rFonts w:ascii="Calibri" w:hAnsi="Calibri"/>
          <w:b/>
          <w:i w:val="0"/>
          <w:color w:val="2E74B5"/>
          <w:sz w:val="26"/>
        </w:rPr>
        <w:t>2.3 Business Objectives</w:t>
      </w:r>
    </w:p>
    <w:p>
      <w:pPr>
        <w:widowControl/>
        <w:numPr>
          <w:ilvl w:val="0"/>
          <w:numId w:val="11"/>
        </w:numPr>
        <w:spacing w:before="0" w:after="160" w:line="280" w:lineRule="auto"/>
      </w:pPr>
      <w:r>
        <w:rPr>
          <w:rFonts w:ascii="Calibri" w:hAnsi="Calibri"/>
          <w:b w:val="0"/>
          <w:i w:val="0"/>
          <w:color w:val="000000"/>
          <w:sz w:val="22"/>
        </w:rPr>
        <w:t>Reduce the time and expertise required to create an initial business presentation from company information.</w:t>
      </w:r>
    </w:p>
    <w:p>
      <w:pPr>
        <w:widowControl/>
        <w:numPr>
          <w:ilvl w:val="0"/>
          <w:numId w:val="11"/>
        </w:numPr>
        <w:spacing w:before="0" w:after="160" w:line="280" w:lineRule="auto"/>
      </w:pPr>
      <w:r>
        <w:rPr>
          <w:rFonts w:ascii="Calibri" w:hAnsi="Calibri"/>
          <w:b w:val="0"/>
          <w:i w:val="0"/>
          <w:color w:val="000000"/>
          <w:sz w:val="22"/>
        </w:rPr>
        <w:t>Deliver a subscription that is clearly less expensive than high-cost general AI usage while maintaining credible market positioning.</w:t>
      </w:r>
    </w:p>
    <w:p>
      <w:pPr>
        <w:widowControl/>
        <w:numPr>
          <w:ilvl w:val="0"/>
          <w:numId w:val="11"/>
        </w:numPr>
        <w:spacing w:before="0" w:after="160" w:line="280" w:lineRule="auto"/>
      </w:pPr>
      <w:r>
        <w:rPr>
          <w:rFonts w:ascii="Calibri" w:hAnsi="Calibri"/>
          <w:b w:val="0"/>
          <w:i w:val="0"/>
          <w:color w:val="000000"/>
          <w:sz w:val="22"/>
        </w:rPr>
        <w:t>Keep average model cost extremely low by limiting models to analysis and targeted repair rather than layout generation.</w:t>
      </w:r>
    </w:p>
    <w:p>
      <w:pPr>
        <w:widowControl/>
        <w:numPr>
          <w:ilvl w:val="0"/>
          <w:numId w:val="11"/>
        </w:numPr>
        <w:spacing w:before="0" w:after="160" w:line="280" w:lineRule="auto"/>
      </w:pPr>
      <w:r>
        <w:rPr>
          <w:rFonts w:ascii="Calibri" w:hAnsi="Calibri"/>
          <w:b w:val="0"/>
          <w:i w:val="0"/>
          <w:color w:val="000000"/>
          <w:sz w:val="22"/>
        </w:rPr>
        <w:t>Protect analytical quality through deterministic calculations, source citations, validation, benchmarking, and selective fallback to stronger models.</w:t>
      </w:r>
    </w:p>
    <w:p>
      <w:pPr>
        <w:widowControl/>
        <w:numPr>
          <w:ilvl w:val="0"/>
          <w:numId w:val="11"/>
        </w:numPr>
        <w:spacing w:before="0" w:after="160" w:line="280" w:lineRule="auto"/>
      </w:pPr>
      <w:r>
        <w:rPr>
          <w:rFonts w:ascii="Calibri" w:hAnsi="Calibri"/>
          <w:b w:val="0"/>
          <w:i w:val="0"/>
          <w:color w:val="000000"/>
          <w:sz w:val="22"/>
        </w:rPr>
        <w:t>Create a reusable analysis foundation that can later support Excel and other Office outputs without rebuilding the ingestion and reasoning pipeline.</w:t>
      </w:r>
    </w:p>
    <w:p>
      <w:pPr>
        <w:widowControl/>
        <w:numPr>
          <w:ilvl w:val="0"/>
          <w:numId w:val="11"/>
        </w:numPr>
        <w:spacing w:before="0" w:after="160" w:line="280" w:lineRule="auto"/>
      </w:pPr>
      <w:r>
        <w:rPr>
          <w:rFonts w:ascii="Calibri" w:hAnsi="Calibri"/>
          <w:b w:val="0"/>
          <w:i w:val="0"/>
          <w:color w:val="000000"/>
          <w:sz w:val="22"/>
        </w:rPr>
        <w:t>Establish an evaluation-driven continuous-improvement pipeline so model, prompt, harness, and renderer changes can be measured before release.</w:t>
      </w:r>
    </w:p>
    <w:p>
      <w:r>
        <w:br w:type="page"/>
      </w:r>
    </w:p>
    <w:p>
      <w:pPr>
        <w:pStyle w:val="Heading1"/>
        <w:keepNext/>
      </w:pPr>
      <w:r>
        <w:rPr>
          <w:rFonts w:ascii="Calibri" w:hAnsi="Calibri"/>
          <w:b/>
          <w:i w:val="0"/>
          <w:color w:val="2E74B5"/>
          <w:sz w:val="32"/>
        </w:rPr>
        <w:t>3. Product Scope</w:t>
      </w:r>
    </w:p>
    <w:p>
      <w:pPr>
        <w:pStyle w:val="Heading2"/>
        <w:keepNext/>
      </w:pPr>
      <w:r>
        <w:rPr>
          <w:rFonts w:ascii="Calibri" w:hAnsi="Calibri"/>
          <w:b/>
          <w:i w:val="0"/>
          <w:color w:val="2E74B5"/>
          <w:sz w:val="26"/>
        </w:rPr>
        <w:t>3.1 MVP Scope — Slides First</w:t>
      </w:r>
    </w:p>
    <w:p>
      <w:pPr>
        <w:widowControl/>
        <w:numPr>
          <w:ilvl w:val="0"/>
          <w:numId w:val="10"/>
        </w:numPr>
        <w:spacing w:before="0" w:after="160" w:line="280" w:lineRule="auto"/>
      </w:pPr>
      <w:r>
        <w:rPr>
          <w:rFonts w:ascii="Calibri" w:hAnsi="Calibri"/>
          <w:b w:val="0"/>
          <w:i w:val="0"/>
          <w:color w:val="000000"/>
          <w:sz w:val="22"/>
        </w:rPr>
        <w:t>User account, authentication, and subscription entitlement.</w:t>
      </w:r>
    </w:p>
    <w:p>
      <w:pPr>
        <w:widowControl/>
        <w:numPr>
          <w:ilvl w:val="0"/>
          <w:numId w:val="10"/>
        </w:numPr>
        <w:spacing w:before="0" w:after="160" w:line="280" w:lineRule="auto"/>
      </w:pPr>
      <w:r>
        <w:rPr>
          <w:rFonts w:ascii="Calibri" w:hAnsi="Calibri"/>
          <w:b w:val="0"/>
          <w:i w:val="0"/>
          <w:color w:val="000000"/>
          <w:sz w:val="22"/>
        </w:rPr>
        <w:t>Upload of supported files and direct text entry.</w:t>
      </w:r>
    </w:p>
    <w:p>
      <w:pPr>
        <w:widowControl/>
        <w:numPr>
          <w:ilvl w:val="0"/>
          <w:numId w:val="10"/>
        </w:numPr>
        <w:spacing w:before="0" w:after="160" w:line="280" w:lineRule="auto"/>
      </w:pPr>
      <w:r>
        <w:rPr>
          <w:rFonts w:ascii="Calibri" w:hAnsi="Calibri"/>
          <w:b w:val="0"/>
          <w:i w:val="0"/>
          <w:color w:val="000000"/>
          <w:sz w:val="22"/>
        </w:rPr>
        <w:t>Extraction of text, tables, reporting periods, units, and source-page references.</w:t>
      </w:r>
    </w:p>
    <w:p>
      <w:pPr>
        <w:widowControl/>
        <w:numPr>
          <w:ilvl w:val="0"/>
          <w:numId w:val="10"/>
        </w:numPr>
        <w:spacing w:before="0" w:after="160" w:line="280" w:lineRule="auto"/>
      </w:pPr>
      <w:r>
        <w:rPr>
          <w:rFonts w:ascii="Calibri" w:hAnsi="Calibri"/>
          <w:b w:val="0"/>
          <w:i w:val="0"/>
          <w:color w:val="000000"/>
          <w:sz w:val="22"/>
        </w:rPr>
        <w:t>Retrieval of relevant source sections for long documents.</w:t>
      </w:r>
    </w:p>
    <w:p>
      <w:pPr>
        <w:widowControl/>
        <w:numPr>
          <w:ilvl w:val="0"/>
          <w:numId w:val="10"/>
        </w:numPr>
        <w:spacing w:before="0" w:after="160" w:line="280" w:lineRule="auto"/>
      </w:pPr>
      <w:r>
        <w:rPr>
          <w:rFonts w:ascii="Calibri" w:hAnsi="Calibri"/>
          <w:b w:val="0"/>
          <w:i w:val="0"/>
          <w:color w:val="000000"/>
          <w:sz w:val="22"/>
        </w:rPr>
        <w:t>Model-generated structured financial and business analysis.</w:t>
      </w:r>
    </w:p>
    <w:p>
      <w:pPr>
        <w:widowControl/>
        <w:numPr>
          <w:ilvl w:val="0"/>
          <w:numId w:val="10"/>
        </w:numPr>
        <w:spacing w:before="0" w:after="160" w:line="280" w:lineRule="auto"/>
      </w:pPr>
      <w:r>
        <w:rPr>
          <w:rFonts w:ascii="Calibri" w:hAnsi="Calibri"/>
          <w:b w:val="0"/>
          <w:i w:val="0"/>
          <w:color w:val="000000"/>
          <w:sz w:val="22"/>
        </w:rPr>
        <w:t>Deterministic calculation and verification of numeric values wherever feasible.</w:t>
      </w:r>
    </w:p>
    <w:p>
      <w:pPr>
        <w:widowControl/>
        <w:numPr>
          <w:ilvl w:val="0"/>
          <w:numId w:val="10"/>
        </w:numPr>
        <w:spacing w:before="0" w:after="160" w:line="280" w:lineRule="auto"/>
      </w:pPr>
      <w:r>
        <w:rPr>
          <w:rFonts w:ascii="Calibri" w:hAnsi="Calibri"/>
          <w:b w:val="0"/>
          <w:i w:val="0"/>
          <w:color w:val="000000"/>
          <w:sz w:val="22"/>
        </w:rPr>
        <w:t>A constrained analysis and slide specification rather than unrestricted model-generated HTML.</w:t>
      </w:r>
    </w:p>
    <w:p>
      <w:pPr>
        <w:widowControl/>
        <w:numPr>
          <w:ilvl w:val="0"/>
          <w:numId w:val="10"/>
        </w:numPr>
        <w:spacing w:before="0" w:after="160" w:line="280" w:lineRule="auto"/>
      </w:pPr>
      <w:r>
        <w:rPr>
          <w:rFonts w:ascii="Calibri" w:hAnsi="Calibri"/>
          <w:b w:val="0"/>
          <w:i w:val="0"/>
          <w:color w:val="000000"/>
          <w:sz w:val="22"/>
        </w:rPr>
        <w:t>A registry of approved slide layouts and a compiler that emits converter-compatible HTML.</w:t>
      </w:r>
    </w:p>
    <w:p>
      <w:pPr>
        <w:widowControl/>
        <w:numPr>
          <w:ilvl w:val="0"/>
          <w:numId w:val="10"/>
        </w:numPr>
        <w:spacing w:before="0" w:after="160" w:line="280" w:lineRule="auto"/>
      </w:pPr>
      <w:r>
        <w:rPr>
          <w:rFonts w:ascii="Calibri" w:hAnsi="Calibri"/>
          <w:b w:val="0"/>
          <w:i w:val="0"/>
          <w:color w:val="000000"/>
          <w:sz w:val="22"/>
        </w:rPr>
        <w:t>Automated browser preflight for overflow, clipping, overlap, missing assets, and unsupported content.</w:t>
      </w:r>
    </w:p>
    <w:p>
      <w:pPr>
        <w:widowControl/>
        <w:numPr>
          <w:ilvl w:val="0"/>
          <w:numId w:val="10"/>
        </w:numPr>
        <w:spacing w:before="0" w:after="160" w:line="280" w:lineRule="auto"/>
      </w:pPr>
      <w:r>
        <w:rPr>
          <w:rFonts w:ascii="Calibri" w:hAnsi="Calibri"/>
          <w:b w:val="0"/>
          <w:i w:val="0"/>
          <w:color w:val="000000"/>
          <w:sz w:val="22"/>
        </w:rPr>
        <w:t>PowerPoint generation through a Node/npm rendering adapter.</w:t>
      </w:r>
    </w:p>
    <w:p>
      <w:pPr>
        <w:widowControl/>
        <w:numPr>
          <w:ilvl w:val="0"/>
          <w:numId w:val="10"/>
        </w:numPr>
        <w:spacing w:before="0" w:after="160" w:line="280" w:lineRule="auto"/>
      </w:pPr>
      <w:r>
        <w:rPr>
          <w:rFonts w:ascii="Calibri" w:hAnsi="Calibri"/>
          <w:b w:val="0"/>
          <w:i w:val="0"/>
          <w:color w:val="000000"/>
          <w:sz w:val="22"/>
        </w:rPr>
        <w:t>Preview, job progress, bounded targeted repair, and final download.</w:t>
      </w:r>
    </w:p>
    <w:p>
      <w:pPr>
        <w:widowControl/>
        <w:numPr>
          <w:ilvl w:val="0"/>
          <w:numId w:val="10"/>
        </w:numPr>
        <w:spacing w:before="0" w:after="160" w:line="280" w:lineRule="auto"/>
      </w:pPr>
      <w:r>
        <w:rPr>
          <w:rFonts w:ascii="Calibri" w:hAnsi="Calibri"/>
          <w:b w:val="0"/>
          <w:i w:val="0"/>
          <w:color w:val="000000"/>
          <w:sz w:val="22"/>
        </w:rPr>
        <w:t>Usage metering, model-cost telemetry, generation limits, and basic administration.</w:t>
      </w:r>
    </w:p>
    <w:p>
      <w:pPr>
        <w:widowControl/>
        <w:numPr>
          <w:ilvl w:val="0"/>
          <w:numId w:val="10"/>
        </w:numPr>
        <w:spacing w:before="0" w:after="160" w:line="280" w:lineRule="auto"/>
      </w:pPr>
      <w:r>
        <w:rPr>
          <w:rFonts w:ascii="Calibri" w:hAnsi="Calibri"/>
          <w:b w:val="0"/>
          <w:i w:val="0"/>
          <w:color w:val="000000"/>
          <w:sz w:val="22"/>
        </w:rPr>
        <w:t>Secure handling and configurable deletion of uploaded company information and generated artifacts.</w:t>
      </w:r>
    </w:p>
    <w:p>
      <w:pPr>
        <w:pStyle w:val="Heading2"/>
        <w:keepNext/>
      </w:pPr>
      <w:r>
        <w:rPr>
          <w:rFonts w:ascii="Calibri" w:hAnsi="Calibri"/>
          <w:b/>
          <w:i w:val="0"/>
          <w:color w:val="2E74B5"/>
          <w:sz w:val="26"/>
        </w:rPr>
        <w:t>3.2 Future Scope</w:t>
      </w:r>
    </w:p>
    <w:p>
      <w:pPr>
        <w:widowControl/>
        <w:numPr>
          <w:ilvl w:val="0"/>
          <w:numId w:val="10"/>
        </w:numPr>
        <w:spacing w:before="0" w:after="160" w:line="280" w:lineRule="auto"/>
      </w:pPr>
      <w:r>
        <w:rPr>
          <w:rFonts w:ascii="Calibri" w:hAnsi="Calibri"/>
          <w:b w:val="0"/>
          <w:i w:val="0"/>
          <w:color w:val="000000"/>
          <w:sz w:val="22"/>
        </w:rPr>
        <w:t>Excel workbook generation from the same validated analysis objects.</w:t>
      </w:r>
    </w:p>
    <w:p>
      <w:pPr>
        <w:widowControl/>
        <w:numPr>
          <w:ilvl w:val="0"/>
          <w:numId w:val="10"/>
        </w:numPr>
        <w:spacing w:before="0" w:after="160" w:line="280" w:lineRule="auto"/>
      </w:pPr>
      <w:r>
        <w:rPr>
          <w:rFonts w:ascii="Calibri" w:hAnsi="Calibri"/>
          <w:b w:val="0"/>
          <w:i w:val="0"/>
          <w:color w:val="000000"/>
          <w:sz w:val="22"/>
        </w:rPr>
        <w:t>Additional Office outputs such as Word reports and reusable business packs.</w:t>
      </w:r>
    </w:p>
    <w:p>
      <w:pPr>
        <w:widowControl/>
        <w:numPr>
          <w:ilvl w:val="0"/>
          <w:numId w:val="10"/>
        </w:numPr>
        <w:spacing w:before="0" w:after="160" w:line="280" w:lineRule="auto"/>
      </w:pPr>
      <w:r>
        <w:rPr>
          <w:rFonts w:ascii="Calibri" w:hAnsi="Calibri"/>
          <w:b w:val="0"/>
          <w:i w:val="0"/>
          <w:color w:val="000000"/>
          <w:sz w:val="22"/>
        </w:rPr>
        <w:t>Multiple deck types, brand themes, company templates, and organization-level knowledge.</w:t>
      </w:r>
    </w:p>
    <w:p>
      <w:pPr>
        <w:widowControl/>
        <w:numPr>
          <w:ilvl w:val="0"/>
          <w:numId w:val="10"/>
        </w:numPr>
        <w:spacing w:before="0" w:after="160" w:line="280" w:lineRule="auto"/>
      </w:pPr>
      <w:r>
        <w:rPr>
          <w:rFonts w:ascii="Calibri" w:hAnsi="Calibri"/>
          <w:b w:val="0"/>
          <w:i w:val="0"/>
          <w:color w:val="000000"/>
          <w:sz w:val="22"/>
        </w:rPr>
        <w:t>Cross-document comparisons and persistent company history with approved retention controls.</w:t>
      </w:r>
    </w:p>
    <w:p>
      <w:pPr>
        <w:widowControl/>
        <w:numPr>
          <w:ilvl w:val="0"/>
          <w:numId w:val="10"/>
        </w:numPr>
        <w:spacing w:before="0" w:after="160" w:line="280" w:lineRule="auto"/>
      </w:pPr>
      <w:r>
        <w:rPr>
          <w:rFonts w:ascii="Calibri" w:hAnsi="Calibri"/>
          <w:b w:val="0"/>
          <w:i w:val="0"/>
          <w:color w:val="000000"/>
          <w:sz w:val="22"/>
        </w:rPr>
        <w:t>Team workspaces, approval workflows, comments, and collaborative editing.</w:t>
      </w:r>
    </w:p>
    <w:p>
      <w:pPr>
        <w:widowControl/>
        <w:numPr>
          <w:ilvl w:val="0"/>
          <w:numId w:val="10"/>
        </w:numPr>
        <w:spacing w:before="0" w:after="160" w:line="280" w:lineRule="auto"/>
      </w:pPr>
      <w:r>
        <w:rPr>
          <w:rFonts w:ascii="Calibri" w:hAnsi="Calibri"/>
          <w:b w:val="0"/>
          <w:i w:val="0"/>
          <w:color w:val="000000"/>
          <w:sz w:val="22"/>
        </w:rPr>
        <w:t>Domain-specific packs for board reporting, management reporting, investment analysis, and operational reviews.</w:t>
      </w:r>
    </w:p>
    <w:p>
      <w:pPr>
        <w:pStyle w:val="Heading2"/>
        <w:keepNext/>
      </w:pPr>
      <w:r>
        <w:rPr>
          <w:rFonts w:ascii="Calibri" w:hAnsi="Calibri"/>
          <w:b/>
          <w:i w:val="0"/>
          <w:color w:val="2E74B5"/>
          <w:sz w:val="26"/>
        </w:rPr>
        <w:t>3.3 Explicitly Out of Scope for the First MVP</w:t>
      </w:r>
    </w:p>
    <w:p>
      <w:pPr>
        <w:widowControl/>
        <w:numPr>
          <w:ilvl w:val="0"/>
          <w:numId w:val="10"/>
        </w:numPr>
        <w:spacing w:before="0" w:after="160" w:line="280" w:lineRule="auto"/>
      </w:pPr>
      <w:r>
        <w:rPr>
          <w:rFonts w:ascii="Calibri" w:hAnsi="Calibri"/>
          <w:b w:val="0"/>
          <w:i w:val="0"/>
          <w:color w:val="000000"/>
          <w:sz w:val="22"/>
        </w:rPr>
        <w:t>A full browser-based PowerPoint editor.</w:t>
      </w:r>
    </w:p>
    <w:p>
      <w:pPr>
        <w:widowControl/>
        <w:numPr>
          <w:ilvl w:val="0"/>
          <w:numId w:val="10"/>
        </w:numPr>
        <w:spacing w:before="0" w:after="160" w:line="280" w:lineRule="auto"/>
      </w:pPr>
      <w:r>
        <w:rPr>
          <w:rFonts w:ascii="Calibri" w:hAnsi="Calibri"/>
          <w:b w:val="0"/>
          <w:i w:val="0"/>
          <w:color w:val="000000"/>
          <w:sz w:val="22"/>
        </w:rPr>
        <w:t>Unlimited generation or unlimited repair loops.</w:t>
      </w:r>
    </w:p>
    <w:p>
      <w:pPr>
        <w:widowControl/>
        <w:numPr>
          <w:ilvl w:val="0"/>
          <w:numId w:val="10"/>
        </w:numPr>
        <w:spacing w:before="0" w:after="160" w:line="280" w:lineRule="auto"/>
      </w:pPr>
      <w:r>
        <w:rPr>
          <w:rFonts w:ascii="Calibri" w:hAnsi="Calibri"/>
          <w:b w:val="0"/>
          <w:i w:val="0"/>
          <w:color w:val="000000"/>
          <w:sz w:val="22"/>
        </w:rPr>
        <w:t>Guaranteed support for arbitrary HTML and CSS.</w:t>
      </w:r>
    </w:p>
    <w:p>
      <w:pPr>
        <w:widowControl/>
        <w:numPr>
          <w:ilvl w:val="0"/>
          <w:numId w:val="10"/>
        </w:numPr>
        <w:spacing w:before="0" w:after="160" w:line="280" w:lineRule="auto"/>
      </w:pPr>
      <w:r>
        <w:rPr>
          <w:rFonts w:ascii="Calibri" w:hAnsi="Calibri"/>
          <w:b w:val="0"/>
          <w:i w:val="0"/>
          <w:color w:val="000000"/>
          <w:sz w:val="22"/>
        </w:rPr>
        <w:t>Autonomous investment, accounting, legal, or financial advice.</w:t>
      </w:r>
    </w:p>
    <w:p>
      <w:pPr>
        <w:widowControl/>
        <w:numPr>
          <w:ilvl w:val="0"/>
          <w:numId w:val="10"/>
        </w:numPr>
        <w:spacing w:before="0" w:after="160" w:line="280" w:lineRule="auto"/>
      </w:pPr>
      <w:r>
        <w:rPr>
          <w:rFonts w:ascii="Calibri" w:hAnsi="Calibri"/>
          <w:b w:val="0"/>
          <w:i w:val="0"/>
          <w:color w:val="000000"/>
          <w:sz w:val="22"/>
        </w:rPr>
        <w:t>Fine-tuning a proprietary model before benchmark evidence justifies it.</w:t>
      </w:r>
    </w:p>
    <w:p>
      <w:pPr>
        <w:widowControl/>
        <w:numPr>
          <w:ilvl w:val="0"/>
          <w:numId w:val="10"/>
        </w:numPr>
        <w:spacing w:before="0" w:after="160" w:line="280" w:lineRule="auto"/>
      </w:pPr>
      <w:r>
        <w:rPr>
          <w:rFonts w:ascii="Calibri" w:hAnsi="Calibri"/>
          <w:b w:val="0"/>
          <w:i w:val="0"/>
          <w:color w:val="000000"/>
          <w:sz w:val="22"/>
        </w:rPr>
        <w:t>A permanent vector database when per-document retrieval is sufficient.</w:t>
      </w:r>
    </w:p>
    <w:p>
      <w:pPr>
        <w:widowControl/>
        <w:numPr>
          <w:ilvl w:val="0"/>
          <w:numId w:val="10"/>
        </w:numPr>
        <w:spacing w:before="0" w:after="160" w:line="280" w:lineRule="auto"/>
      </w:pPr>
      <w:r>
        <w:rPr>
          <w:rFonts w:ascii="Calibri" w:hAnsi="Calibri"/>
          <w:b w:val="0"/>
          <w:i w:val="0"/>
          <w:color w:val="000000"/>
          <w:sz w:val="22"/>
        </w:rPr>
        <w:t>Excel and additional Office generation before the slides workflow is validated.</w:t>
      </w:r>
    </w:p>
    <w:p>
      <w:pPr>
        <w:pStyle w:val="Heading1"/>
        <w:keepNext/>
      </w:pPr>
      <w:r>
        <w:rPr>
          <w:rFonts w:ascii="Calibri" w:hAnsi="Calibri"/>
          <w:b/>
          <w:i w:val="0"/>
          <w:color w:val="2E74B5"/>
          <w:sz w:val="32"/>
        </w:rPr>
        <w:t>4. Users and Core Journey</w:t>
      </w:r>
    </w:p>
    <w:p>
      <w:pPr>
        <w:pStyle w:val="Heading2"/>
        <w:keepNext/>
      </w:pPr>
      <w:r>
        <w:rPr>
          <w:rFonts w:ascii="Calibri" w:hAnsi="Calibri"/>
          <w:b/>
          <w:i w:val="0"/>
          <w:color w:val="2E74B5"/>
          <w:sz w:val="26"/>
        </w:rPr>
        <w:t>4.1 Initial User Segments</w:t>
      </w:r>
    </w:p>
    <w:p>
      <w:pPr>
        <w:widowControl/>
        <w:spacing w:before="0" w:after="120" w:line="264" w:lineRule="auto"/>
      </w:pPr>
      <w:r>
        <w:rPr>
          <w:rFonts w:ascii="Calibri" w:hAnsi="Calibri"/>
          <w:b/>
          <w:i w:val="0"/>
          <w:color w:val="000000"/>
          <w:sz w:val="22"/>
        </w:rPr>
        <w:t>Primary user:</w:t>
      </w:r>
      <w:r>
        <w:rPr>
          <w:rFonts w:ascii="Calibri" w:hAnsi="Calibri"/>
          <w:b w:val="0"/>
          <w:i w:val="0"/>
          <w:color w:val="000000"/>
          <w:sz w:val="22"/>
        </w:rPr>
        <w:t xml:space="preserve"> A finance, operations, strategy, or business professional who has a report or company data but needs a presentation-ready summary without spending hours prompting and formatting.</w:t>
      </w:r>
    </w:p>
    <w:p>
      <w:pPr>
        <w:widowControl/>
        <w:spacing w:before="0" w:after="120" w:line="264" w:lineRule="auto"/>
      </w:pPr>
      <w:r>
        <w:rPr>
          <w:rFonts w:ascii="Calibri" w:hAnsi="Calibri"/>
          <w:b/>
          <w:i w:val="0"/>
          <w:color w:val="000000"/>
          <w:sz w:val="22"/>
        </w:rPr>
        <w:t>Secondary user:</w:t>
      </w:r>
      <w:r>
        <w:rPr>
          <w:rFonts w:ascii="Calibri" w:hAnsi="Calibri"/>
          <w:b w:val="0"/>
          <w:i w:val="0"/>
          <w:color w:val="000000"/>
          <w:sz w:val="22"/>
        </w:rPr>
        <w:t xml:space="preserve"> A small-business owner, analyst, or consultant who creates recurring decks but does not need a broad high-cost AI subscription.</w:t>
      </w:r>
    </w:p>
    <w:p>
      <w:pPr>
        <w:widowControl/>
        <w:spacing w:before="0" w:after="120" w:line="264" w:lineRule="auto"/>
      </w:pPr>
      <w:r>
        <w:rPr>
          <w:rFonts w:ascii="Calibri" w:hAnsi="Calibri"/>
          <w:b/>
          <w:i w:val="0"/>
          <w:color w:val="000000"/>
          <w:sz w:val="22"/>
        </w:rPr>
        <w:t>Administrative user:</w:t>
      </w:r>
      <w:r>
        <w:rPr>
          <w:rFonts w:ascii="Calibri" w:hAnsi="Calibri"/>
          <w:b w:val="0"/>
          <w:i w:val="0"/>
          <w:color w:val="000000"/>
          <w:sz w:val="22"/>
        </w:rPr>
        <w:t xml:space="preserve"> The product operator responsible for pricing, usage limits, templates, model routing, quality thresholds, and customer support.</w:t>
      </w:r>
    </w:p>
    <w:p>
      <w:pPr>
        <w:pStyle w:val="Heading2"/>
        <w:keepNext/>
      </w:pPr>
      <w:r>
        <w:rPr>
          <w:rFonts w:ascii="Calibri" w:hAnsi="Calibri"/>
          <w:b/>
          <w:i w:val="0"/>
          <w:color w:val="2E74B5"/>
          <w:sz w:val="26"/>
        </w:rPr>
        <w:t>4.2 Core User Journey</w:t>
      </w:r>
    </w:p>
    <w:p>
      <w:pPr>
        <w:widowControl/>
        <w:numPr>
          <w:ilvl w:val="0"/>
          <w:numId w:val="12"/>
        </w:numPr>
        <w:spacing w:before="0" w:after="160" w:line="280" w:lineRule="auto"/>
      </w:pPr>
      <w:r>
        <w:rPr>
          <w:rFonts w:ascii="Calibri" w:hAnsi="Calibri"/>
          <w:b w:val="0"/>
          <w:i w:val="0"/>
          <w:color w:val="000000"/>
          <w:sz w:val="22"/>
        </w:rPr>
        <w:t>The user signs in and confirms an active subscription or available generation allowance.</w:t>
      </w:r>
    </w:p>
    <w:p>
      <w:pPr>
        <w:widowControl/>
        <w:numPr>
          <w:ilvl w:val="0"/>
          <w:numId w:val="12"/>
        </w:numPr>
        <w:spacing w:before="0" w:after="160" w:line="280" w:lineRule="auto"/>
      </w:pPr>
      <w:r>
        <w:rPr>
          <w:rFonts w:ascii="Calibri" w:hAnsi="Calibri"/>
          <w:b w:val="0"/>
          <w:i w:val="0"/>
          <w:color w:val="000000"/>
          <w:sz w:val="22"/>
        </w:rPr>
        <w:t>The user uploads a supported company file or pastes source text.</w:t>
      </w:r>
    </w:p>
    <w:p>
      <w:pPr>
        <w:widowControl/>
        <w:numPr>
          <w:ilvl w:val="0"/>
          <w:numId w:val="12"/>
        </w:numPr>
        <w:spacing w:before="0" w:after="160" w:line="280" w:lineRule="auto"/>
      </w:pPr>
      <w:r>
        <w:rPr>
          <w:rFonts w:ascii="Calibri" w:hAnsi="Calibri"/>
          <w:b w:val="0"/>
          <w:i w:val="0"/>
          <w:color w:val="000000"/>
          <w:sz w:val="22"/>
        </w:rPr>
        <w:t>The product extracts content and communicates any unsupported or low-confidence sections.</w:t>
      </w:r>
    </w:p>
    <w:p>
      <w:pPr>
        <w:widowControl/>
        <w:numPr>
          <w:ilvl w:val="0"/>
          <w:numId w:val="12"/>
        </w:numPr>
        <w:spacing w:before="0" w:after="160" w:line="280" w:lineRule="auto"/>
      </w:pPr>
      <w:r>
        <w:rPr>
          <w:rFonts w:ascii="Calibri" w:hAnsi="Calibri"/>
          <w:b w:val="0"/>
          <w:i w:val="0"/>
          <w:color w:val="000000"/>
          <w:sz w:val="22"/>
        </w:rPr>
        <w:t>The user chooses a supported deck purpose, length, and theme where applicable.</w:t>
      </w:r>
    </w:p>
    <w:p>
      <w:pPr>
        <w:widowControl/>
        <w:numPr>
          <w:ilvl w:val="0"/>
          <w:numId w:val="12"/>
        </w:numPr>
        <w:spacing w:before="0" w:after="160" w:line="280" w:lineRule="auto"/>
      </w:pPr>
      <w:r>
        <w:rPr>
          <w:rFonts w:ascii="Calibri" w:hAnsi="Calibri"/>
          <w:b w:val="0"/>
          <w:i w:val="0"/>
          <w:color w:val="000000"/>
          <w:sz w:val="22"/>
        </w:rPr>
        <w:t>The product analyzes relevant source material and creates a structured, cited analysis result.</w:t>
      </w:r>
    </w:p>
    <w:p>
      <w:pPr>
        <w:widowControl/>
        <w:numPr>
          <w:ilvl w:val="0"/>
          <w:numId w:val="12"/>
        </w:numPr>
        <w:spacing w:before="0" w:after="160" w:line="280" w:lineRule="auto"/>
      </w:pPr>
      <w:r>
        <w:rPr>
          <w:rFonts w:ascii="Calibri" w:hAnsi="Calibri"/>
          <w:b w:val="0"/>
          <w:i w:val="0"/>
          <w:color w:val="000000"/>
          <w:sz w:val="22"/>
        </w:rPr>
        <w:t>The harness maps the analysis to approved layouts, renders HTML, and runs preflight checks.</w:t>
      </w:r>
    </w:p>
    <w:p>
      <w:pPr>
        <w:widowControl/>
        <w:numPr>
          <w:ilvl w:val="0"/>
          <w:numId w:val="12"/>
        </w:numPr>
        <w:spacing w:before="0" w:after="160" w:line="280" w:lineRule="auto"/>
      </w:pPr>
      <w:r>
        <w:rPr>
          <w:rFonts w:ascii="Calibri" w:hAnsi="Calibri"/>
          <w:b w:val="0"/>
          <w:i w:val="0"/>
          <w:color w:val="000000"/>
          <w:sz w:val="22"/>
        </w:rPr>
        <w:t>The renderer creates the PowerPoint artifact and validates that it opens correctly.</w:t>
      </w:r>
    </w:p>
    <w:p>
      <w:pPr>
        <w:widowControl/>
        <w:numPr>
          <w:ilvl w:val="0"/>
          <w:numId w:val="12"/>
        </w:numPr>
        <w:spacing w:before="0" w:after="160" w:line="280" w:lineRule="auto"/>
      </w:pPr>
      <w:r>
        <w:rPr>
          <w:rFonts w:ascii="Calibri" w:hAnsi="Calibri"/>
          <w:b w:val="0"/>
          <w:i w:val="0"/>
          <w:color w:val="000000"/>
          <w:sz w:val="22"/>
        </w:rPr>
        <w:t>The user previews the result, accepts it, or requests a bounded targeted correction.</w:t>
      </w:r>
    </w:p>
    <w:p>
      <w:pPr>
        <w:widowControl/>
        <w:numPr>
          <w:ilvl w:val="0"/>
          <w:numId w:val="12"/>
        </w:numPr>
        <w:spacing w:before="0" w:after="160" w:line="280" w:lineRule="auto"/>
      </w:pPr>
      <w:r>
        <w:rPr>
          <w:rFonts w:ascii="Calibri" w:hAnsi="Calibri"/>
          <w:b w:val="0"/>
          <w:i w:val="0"/>
          <w:color w:val="000000"/>
          <w:sz w:val="22"/>
        </w:rPr>
        <w:t>The user downloads the presentation and can verify source references for important findings.</w:t>
      </w:r>
    </w:p>
    <w:p>
      <w:r>
        <w:br w:type="page"/>
      </w:r>
    </w:p>
    <w:p>
      <w:pPr>
        <w:pStyle w:val="Heading1"/>
        <w:keepNext/>
      </w:pPr>
      <w:r>
        <w:rPr>
          <w:rFonts w:ascii="Calibri" w:hAnsi="Calibri"/>
          <w:b/>
          <w:i w:val="0"/>
          <w:color w:val="2E74B5"/>
          <w:sz w:val="32"/>
        </w:rPr>
        <w:t>5. Functional Requirements</w:t>
      </w:r>
    </w:p>
    <w:tbl>
      <w:tblPr>
        <w:tblW w:type="dxa" w:w="9360"/>
        <w:jc w:val="left"/>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950"/>
        <w:gridCol w:w="4650"/>
        <w:gridCol w:w="900"/>
        <w:gridCol w:w="2860"/>
      </w:tblGrid>
      <w:tr>
        <w:trPr>
          <w:cantSplit/>
          <w:tblHeader w:val="true"/>
        </w:trPr>
        <w:tc>
          <w:tcPr>
            <w:tcW w:type="dxa" w:w="950"/>
            <w:vAlign w:val="top"/>
            <w:tcMar>
              <w:top w:w="80" w:type="dxa"/>
              <w:start w:w="120" w:type="dxa"/>
              <w:bottom w:w="80" w:type="dxa"/>
              <w:end w:w="120" w:type="dxa"/>
            </w:tcMar>
            <w:shd w:fill="F2F4F7"/>
          </w:tcPr>
          <w:p>
            <w:pPr>
              <w:spacing w:before="0" w:after="0" w:line="240" w:lineRule="auto"/>
            </w:pPr>
            <w:r/>
            <w:r>
              <w:rPr>
                <w:rFonts w:ascii="Calibri" w:hAnsi="Calibri"/>
                <w:b/>
                <w:i w:val="0"/>
                <w:color w:val="0B2545"/>
                <w:sz w:val="18"/>
              </w:rPr>
              <w:t>ID</w:t>
            </w:r>
          </w:p>
        </w:tc>
        <w:tc>
          <w:tcPr>
            <w:tcW w:type="dxa" w:w="4650"/>
            <w:vAlign w:val="top"/>
            <w:tcMar>
              <w:top w:w="80" w:type="dxa"/>
              <w:start w:w="120" w:type="dxa"/>
              <w:bottom w:w="80" w:type="dxa"/>
              <w:end w:w="120" w:type="dxa"/>
            </w:tcMar>
            <w:shd w:fill="F2F4F7"/>
          </w:tcPr>
          <w:p>
            <w:pPr>
              <w:spacing w:before="0" w:after="0" w:line="240" w:lineRule="auto"/>
            </w:pPr>
            <w:r/>
            <w:r>
              <w:rPr>
                <w:rFonts w:ascii="Calibri" w:hAnsi="Calibri"/>
                <w:b/>
                <w:i w:val="0"/>
                <w:color w:val="0B2545"/>
                <w:sz w:val="18"/>
              </w:rPr>
              <w:t>Requirement</w:t>
            </w:r>
          </w:p>
        </w:tc>
        <w:tc>
          <w:tcPr>
            <w:tcW w:type="dxa" w:w="900"/>
            <w:vAlign w:val="top"/>
            <w:tcMar>
              <w:top w:w="80" w:type="dxa"/>
              <w:start w:w="120" w:type="dxa"/>
              <w:bottom w:w="80" w:type="dxa"/>
              <w:end w:w="120" w:type="dxa"/>
            </w:tcMar>
            <w:shd w:fill="F2F4F7"/>
          </w:tcPr>
          <w:p>
            <w:pPr>
              <w:spacing w:before="0" w:after="0" w:line="240" w:lineRule="auto"/>
            </w:pPr>
            <w:r/>
            <w:r>
              <w:rPr>
                <w:rFonts w:ascii="Calibri" w:hAnsi="Calibri"/>
                <w:b/>
                <w:i w:val="0"/>
                <w:color w:val="0B2545"/>
                <w:sz w:val="18"/>
              </w:rPr>
              <w:t>Priority</w:t>
            </w:r>
          </w:p>
        </w:tc>
        <w:tc>
          <w:tcPr>
            <w:tcW w:type="dxa" w:w="2860"/>
            <w:vAlign w:val="top"/>
            <w:tcMar>
              <w:top w:w="80" w:type="dxa"/>
              <w:start w:w="120" w:type="dxa"/>
              <w:bottom w:w="80" w:type="dxa"/>
              <w:end w:w="120" w:type="dxa"/>
            </w:tcMar>
            <w:shd w:fill="F2F4F7"/>
          </w:tcPr>
          <w:p>
            <w:pPr>
              <w:spacing w:before="0" w:after="0" w:line="240" w:lineRule="auto"/>
            </w:pPr>
            <w:r/>
            <w:r>
              <w:rPr>
                <w:rFonts w:ascii="Calibri" w:hAnsi="Calibri"/>
                <w:b/>
                <w:i w:val="0"/>
                <w:color w:val="0B2545"/>
                <w:sz w:val="18"/>
              </w:rPr>
              <w:t>MVP acceptance</w:t>
            </w:r>
          </w:p>
        </w:tc>
      </w:tr>
      <w:tr>
        <w:tc>
          <w:tcPr>
            <w:tcW w:type="dxa" w:w="950"/>
          </w:tcPr>
          <w:p>
            <w:pPr>
              <w:spacing w:before="0" w:after="0" w:line="240" w:lineRule="auto"/>
            </w:pPr>
            <w:r/>
            <w:r>
              <w:rPr>
                <w:rFonts w:ascii="Calibri" w:hAnsi="Calibri"/>
                <w:b/>
                <w:i w:val="0"/>
                <w:color w:val="1F4D78"/>
                <w:sz w:val="17"/>
              </w:rPr>
              <w:t>FR-001</w:t>
            </w:r>
          </w:p>
        </w:tc>
        <w:tc>
          <w:tcPr>
            <w:tcW w:type="dxa" w:w="4650"/>
          </w:tcPr>
          <w:p>
            <w:pPr>
              <w:spacing w:before="0" w:after="0" w:line="240" w:lineRule="auto"/>
            </w:pPr>
            <w:r/>
            <w:r>
              <w:rPr>
                <w:rFonts w:ascii="Calibri" w:hAnsi="Calibri"/>
                <w:b w:val="0"/>
                <w:i w:val="0"/>
                <w:color w:val="000000"/>
                <w:sz w:val="17"/>
              </w:rPr>
              <w:t>The system shall authenticate users and associate each user with a subscription and usage allowance.</w:t>
            </w:r>
          </w:p>
        </w:tc>
        <w:tc>
          <w:tcPr>
            <w:tcW w:type="dxa" w:w="900"/>
          </w:tcPr>
          <w:p>
            <w:pPr>
              <w:spacing w:before="0" w:after="0" w:line="240" w:lineRule="auto"/>
              <w:jc w:val="center"/>
            </w:pPr>
            <w:r/>
            <w:r>
              <w:rPr>
                <w:rFonts w:ascii="Calibri" w:hAnsi="Calibri"/>
                <w:b/>
                <w:i w:val="0"/>
                <w:color w:val="000000"/>
                <w:sz w:val="17"/>
              </w:rPr>
              <w:t>Must</w:t>
            </w:r>
          </w:p>
        </w:tc>
        <w:tc>
          <w:tcPr>
            <w:tcW w:type="dxa" w:w="2860"/>
          </w:tcPr>
          <w:p>
            <w:pPr>
              <w:spacing w:before="0" w:after="0" w:line="240" w:lineRule="auto"/>
            </w:pPr>
            <w:r/>
            <w:r>
              <w:rPr>
                <w:rFonts w:ascii="Calibri" w:hAnsi="Calibri"/>
                <w:b w:val="0"/>
                <w:i w:val="0"/>
                <w:color w:val="000000"/>
                <w:sz w:val="17"/>
              </w:rPr>
              <w:t>Unauthorized generation is blocked.</w:t>
            </w:r>
          </w:p>
        </w:tc>
      </w:tr>
      <w:tr>
        <w:tc>
          <w:tcPr>
            <w:tcW w:type="dxa" w:w="950"/>
          </w:tcPr>
          <w:p>
            <w:pPr>
              <w:spacing w:before="0" w:after="0" w:line="240" w:lineRule="auto"/>
            </w:pPr>
            <w:r/>
            <w:r>
              <w:rPr>
                <w:rFonts w:ascii="Calibri" w:hAnsi="Calibri"/>
                <w:b/>
                <w:i w:val="0"/>
                <w:color w:val="1F4D78"/>
                <w:sz w:val="17"/>
              </w:rPr>
              <w:t>FR-002</w:t>
            </w:r>
          </w:p>
        </w:tc>
        <w:tc>
          <w:tcPr>
            <w:tcW w:type="dxa" w:w="4650"/>
          </w:tcPr>
          <w:p>
            <w:pPr>
              <w:spacing w:before="0" w:after="0" w:line="240" w:lineRule="auto"/>
            </w:pPr>
            <w:r/>
            <w:r>
              <w:rPr>
                <w:rFonts w:ascii="Calibri" w:hAnsi="Calibri"/>
                <w:b w:val="0"/>
                <w:i w:val="0"/>
                <w:color w:val="000000"/>
                <w:sz w:val="17"/>
              </w:rPr>
              <w:t>The system shall accept pasted text and supported file uploads with explicit size and page limits.</w:t>
            </w:r>
          </w:p>
        </w:tc>
        <w:tc>
          <w:tcPr>
            <w:tcW w:type="dxa" w:w="900"/>
          </w:tcPr>
          <w:p>
            <w:pPr>
              <w:spacing w:before="0" w:after="0" w:line="240" w:lineRule="auto"/>
              <w:jc w:val="center"/>
            </w:pPr>
            <w:r/>
            <w:r>
              <w:rPr>
                <w:rFonts w:ascii="Calibri" w:hAnsi="Calibri"/>
                <w:b/>
                <w:i w:val="0"/>
                <w:color w:val="000000"/>
                <w:sz w:val="17"/>
              </w:rPr>
              <w:t>Must</w:t>
            </w:r>
          </w:p>
        </w:tc>
        <w:tc>
          <w:tcPr>
            <w:tcW w:type="dxa" w:w="2860"/>
          </w:tcPr>
          <w:p>
            <w:pPr>
              <w:spacing w:before="0" w:after="0" w:line="240" w:lineRule="auto"/>
            </w:pPr>
            <w:r/>
            <w:r>
              <w:rPr>
                <w:rFonts w:ascii="Calibri" w:hAnsi="Calibri"/>
                <w:b w:val="0"/>
                <w:i w:val="0"/>
                <w:color w:val="000000"/>
                <w:sz w:val="17"/>
              </w:rPr>
              <w:t>Valid input creates a job; invalid input receives a clear reason.</w:t>
            </w:r>
          </w:p>
        </w:tc>
      </w:tr>
      <w:tr>
        <w:tc>
          <w:tcPr>
            <w:tcW w:type="dxa" w:w="950"/>
          </w:tcPr>
          <w:p>
            <w:pPr>
              <w:spacing w:before="0" w:after="0" w:line="240" w:lineRule="auto"/>
            </w:pPr>
            <w:r/>
            <w:r>
              <w:rPr>
                <w:rFonts w:ascii="Calibri" w:hAnsi="Calibri"/>
                <w:b/>
                <w:i w:val="0"/>
                <w:color w:val="1F4D78"/>
                <w:sz w:val="17"/>
              </w:rPr>
              <w:t>FR-003</w:t>
            </w:r>
          </w:p>
        </w:tc>
        <w:tc>
          <w:tcPr>
            <w:tcW w:type="dxa" w:w="4650"/>
          </w:tcPr>
          <w:p>
            <w:pPr>
              <w:spacing w:before="0" w:after="0" w:line="240" w:lineRule="auto"/>
            </w:pPr>
            <w:r/>
            <w:r>
              <w:rPr>
                <w:rFonts w:ascii="Calibri" w:hAnsi="Calibri"/>
                <w:b w:val="0"/>
                <w:i w:val="0"/>
                <w:color w:val="000000"/>
                <w:sz w:val="17"/>
              </w:rPr>
              <w:t>The system shall extract text, tables, units, periods, and source references without using an LLM where deterministic extraction is sufficient.</w:t>
            </w:r>
          </w:p>
        </w:tc>
        <w:tc>
          <w:tcPr>
            <w:tcW w:type="dxa" w:w="900"/>
          </w:tcPr>
          <w:p>
            <w:pPr>
              <w:spacing w:before="0" w:after="0" w:line="240" w:lineRule="auto"/>
              <w:jc w:val="center"/>
            </w:pPr>
            <w:r/>
            <w:r>
              <w:rPr>
                <w:rFonts w:ascii="Calibri" w:hAnsi="Calibri"/>
                <w:b/>
                <w:i w:val="0"/>
                <w:color w:val="000000"/>
                <w:sz w:val="17"/>
              </w:rPr>
              <w:t>Must</w:t>
            </w:r>
          </w:p>
        </w:tc>
        <w:tc>
          <w:tcPr>
            <w:tcW w:type="dxa" w:w="2860"/>
          </w:tcPr>
          <w:p>
            <w:pPr>
              <w:spacing w:before="0" w:after="0" w:line="240" w:lineRule="auto"/>
            </w:pPr>
            <w:r/>
            <w:r>
              <w:rPr>
                <w:rFonts w:ascii="Calibri" w:hAnsi="Calibri"/>
                <w:b w:val="0"/>
                <w:i w:val="0"/>
                <w:color w:val="000000"/>
                <w:sz w:val="17"/>
              </w:rPr>
              <w:t>Extracted content retains traceable source locations.</w:t>
            </w:r>
          </w:p>
        </w:tc>
      </w:tr>
      <w:tr>
        <w:tc>
          <w:tcPr>
            <w:tcW w:type="dxa" w:w="950"/>
          </w:tcPr>
          <w:p>
            <w:pPr>
              <w:spacing w:before="0" w:after="0" w:line="240" w:lineRule="auto"/>
            </w:pPr>
            <w:r/>
            <w:r>
              <w:rPr>
                <w:rFonts w:ascii="Calibri" w:hAnsi="Calibri"/>
                <w:b/>
                <w:i w:val="0"/>
                <w:color w:val="1F4D78"/>
                <w:sz w:val="17"/>
              </w:rPr>
              <w:t>FR-004</w:t>
            </w:r>
          </w:p>
        </w:tc>
        <w:tc>
          <w:tcPr>
            <w:tcW w:type="dxa" w:w="4650"/>
          </w:tcPr>
          <w:p>
            <w:pPr>
              <w:spacing w:before="0" w:after="0" w:line="240" w:lineRule="auto"/>
            </w:pPr>
            <w:r/>
            <w:r>
              <w:rPr>
                <w:rFonts w:ascii="Calibri" w:hAnsi="Calibri"/>
                <w:b w:val="0"/>
                <w:i w:val="0"/>
                <w:color w:val="000000"/>
                <w:sz w:val="17"/>
              </w:rPr>
              <w:t>The system shall retrieve only the report sections needed for analysis when full-document context is unnecessary.</w:t>
            </w:r>
          </w:p>
        </w:tc>
        <w:tc>
          <w:tcPr>
            <w:tcW w:type="dxa" w:w="900"/>
          </w:tcPr>
          <w:p>
            <w:pPr>
              <w:spacing w:before="0" w:after="0" w:line="240" w:lineRule="auto"/>
              <w:jc w:val="center"/>
            </w:pPr>
            <w:r/>
            <w:r>
              <w:rPr>
                <w:rFonts w:ascii="Calibri" w:hAnsi="Calibri"/>
                <w:b/>
                <w:i w:val="0"/>
                <w:color w:val="000000"/>
                <w:sz w:val="17"/>
              </w:rPr>
              <w:t>Must</w:t>
            </w:r>
          </w:p>
        </w:tc>
        <w:tc>
          <w:tcPr>
            <w:tcW w:type="dxa" w:w="2860"/>
          </w:tcPr>
          <w:p>
            <w:pPr>
              <w:spacing w:before="0" w:after="0" w:line="240" w:lineRule="auto"/>
            </w:pPr>
            <w:r/>
            <w:r>
              <w:rPr>
                <w:rFonts w:ascii="Calibri" w:hAnsi="Calibri"/>
                <w:b w:val="0"/>
                <w:i w:val="0"/>
                <w:color w:val="000000"/>
                <w:sz w:val="17"/>
              </w:rPr>
              <w:t>Retrieved chunks identify their document and location.</w:t>
            </w:r>
          </w:p>
        </w:tc>
      </w:tr>
      <w:tr>
        <w:tc>
          <w:tcPr>
            <w:tcW w:type="dxa" w:w="950"/>
          </w:tcPr>
          <w:p>
            <w:pPr>
              <w:spacing w:before="0" w:after="0" w:line="240" w:lineRule="auto"/>
            </w:pPr>
            <w:r/>
            <w:r>
              <w:rPr>
                <w:rFonts w:ascii="Calibri" w:hAnsi="Calibri"/>
                <w:b/>
                <w:i w:val="0"/>
                <w:color w:val="1F4D78"/>
                <w:sz w:val="17"/>
              </w:rPr>
              <w:t>FR-005</w:t>
            </w:r>
          </w:p>
        </w:tc>
        <w:tc>
          <w:tcPr>
            <w:tcW w:type="dxa" w:w="4650"/>
          </w:tcPr>
          <w:p>
            <w:pPr>
              <w:spacing w:before="0" w:after="0" w:line="240" w:lineRule="auto"/>
            </w:pPr>
            <w:r/>
            <w:r>
              <w:rPr>
                <w:rFonts w:ascii="Calibri" w:hAnsi="Calibri"/>
                <w:b w:val="0"/>
                <w:i w:val="0"/>
                <w:color w:val="000000"/>
                <w:sz w:val="17"/>
              </w:rPr>
              <w:t>The analysis model shall return a versioned structured schema containing facts, trends, risks, opportunities, summaries, chart recommendations, confidence, and citations.</w:t>
            </w:r>
          </w:p>
        </w:tc>
        <w:tc>
          <w:tcPr>
            <w:tcW w:type="dxa" w:w="900"/>
          </w:tcPr>
          <w:p>
            <w:pPr>
              <w:spacing w:before="0" w:after="0" w:line="240" w:lineRule="auto"/>
              <w:jc w:val="center"/>
            </w:pPr>
            <w:r/>
            <w:r>
              <w:rPr>
                <w:rFonts w:ascii="Calibri" w:hAnsi="Calibri"/>
                <w:b/>
                <w:i w:val="0"/>
                <w:color w:val="000000"/>
                <w:sz w:val="17"/>
              </w:rPr>
              <w:t>Must</w:t>
            </w:r>
          </w:p>
        </w:tc>
        <w:tc>
          <w:tcPr>
            <w:tcW w:type="dxa" w:w="2860"/>
          </w:tcPr>
          <w:p>
            <w:pPr>
              <w:spacing w:before="0" w:after="0" w:line="240" w:lineRule="auto"/>
            </w:pPr>
            <w:r/>
            <w:r>
              <w:rPr>
                <w:rFonts w:ascii="Calibri" w:hAnsi="Calibri"/>
                <w:b w:val="0"/>
                <w:i w:val="0"/>
                <w:color w:val="000000"/>
                <w:sz w:val="17"/>
              </w:rPr>
              <w:t>Output passes schema validation or enters bounded repair.</w:t>
            </w:r>
          </w:p>
        </w:tc>
      </w:tr>
      <w:tr>
        <w:tc>
          <w:tcPr>
            <w:tcW w:type="dxa" w:w="950"/>
          </w:tcPr>
          <w:p>
            <w:pPr>
              <w:spacing w:before="0" w:after="0" w:line="240" w:lineRule="auto"/>
            </w:pPr>
            <w:r/>
            <w:r>
              <w:rPr>
                <w:rFonts w:ascii="Calibri" w:hAnsi="Calibri"/>
                <w:b/>
                <w:i w:val="0"/>
                <w:color w:val="1F4D78"/>
                <w:sz w:val="17"/>
              </w:rPr>
              <w:t>FR-006</w:t>
            </w:r>
          </w:p>
        </w:tc>
        <w:tc>
          <w:tcPr>
            <w:tcW w:type="dxa" w:w="4650"/>
          </w:tcPr>
          <w:p>
            <w:pPr>
              <w:spacing w:before="0" w:after="0" w:line="240" w:lineRule="auto"/>
            </w:pPr>
            <w:r/>
            <w:r>
              <w:rPr>
                <w:rFonts w:ascii="Calibri" w:hAnsi="Calibri"/>
                <w:b w:val="0"/>
                <w:i w:val="0"/>
                <w:color w:val="000000"/>
                <w:sz w:val="17"/>
              </w:rPr>
              <w:t>The system shall calculate derived financial values in deterministic code whenever practical.</w:t>
            </w:r>
          </w:p>
        </w:tc>
        <w:tc>
          <w:tcPr>
            <w:tcW w:type="dxa" w:w="900"/>
          </w:tcPr>
          <w:p>
            <w:pPr>
              <w:spacing w:before="0" w:after="0" w:line="240" w:lineRule="auto"/>
              <w:jc w:val="center"/>
            </w:pPr>
            <w:r/>
            <w:r>
              <w:rPr>
                <w:rFonts w:ascii="Calibri" w:hAnsi="Calibri"/>
                <w:b/>
                <w:i w:val="0"/>
                <w:color w:val="000000"/>
                <w:sz w:val="17"/>
              </w:rPr>
              <w:t>Must</w:t>
            </w:r>
          </w:p>
        </w:tc>
        <w:tc>
          <w:tcPr>
            <w:tcW w:type="dxa" w:w="2860"/>
          </w:tcPr>
          <w:p>
            <w:pPr>
              <w:spacing w:before="0" w:after="0" w:line="240" w:lineRule="auto"/>
            </w:pPr>
            <w:r/>
            <w:r>
              <w:rPr>
                <w:rFonts w:ascii="Calibri" w:hAnsi="Calibri"/>
                <w:b w:val="0"/>
                <w:i w:val="0"/>
                <w:color w:val="000000"/>
                <w:sz w:val="17"/>
              </w:rPr>
              <w:t>Derived values include formula provenance.</w:t>
            </w:r>
          </w:p>
        </w:tc>
      </w:tr>
      <w:tr>
        <w:tc>
          <w:tcPr>
            <w:tcW w:type="dxa" w:w="950"/>
          </w:tcPr>
          <w:p>
            <w:pPr>
              <w:spacing w:before="0" w:after="0" w:line="240" w:lineRule="auto"/>
            </w:pPr>
            <w:r/>
            <w:r>
              <w:rPr>
                <w:rFonts w:ascii="Calibri" w:hAnsi="Calibri"/>
                <w:b/>
                <w:i w:val="0"/>
                <w:color w:val="1F4D78"/>
                <w:sz w:val="17"/>
              </w:rPr>
              <w:t>FR-007</w:t>
            </w:r>
          </w:p>
        </w:tc>
        <w:tc>
          <w:tcPr>
            <w:tcW w:type="dxa" w:w="4650"/>
          </w:tcPr>
          <w:p>
            <w:pPr>
              <w:spacing w:before="0" w:after="0" w:line="240" w:lineRule="auto"/>
            </w:pPr>
            <w:r/>
            <w:r>
              <w:rPr>
                <w:rFonts w:ascii="Calibri" w:hAnsi="Calibri"/>
                <w:b w:val="0"/>
                <w:i w:val="0"/>
                <w:color w:val="000000"/>
                <w:sz w:val="17"/>
              </w:rPr>
              <w:t>The system shall prevent unsupported numeric claims from entering the slide specification.</w:t>
            </w:r>
          </w:p>
        </w:tc>
        <w:tc>
          <w:tcPr>
            <w:tcW w:type="dxa" w:w="900"/>
          </w:tcPr>
          <w:p>
            <w:pPr>
              <w:spacing w:before="0" w:after="0" w:line="240" w:lineRule="auto"/>
              <w:jc w:val="center"/>
            </w:pPr>
            <w:r/>
            <w:r>
              <w:rPr>
                <w:rFonts w:ascii="Calibri" w:hAnsi="Calibri"/>
                <w:b/>
                <w:i w:val="0"/>
                <w:color w:val="000000"/>
                <w:sz w:val="17"/>
              </w:rPr>
              <w:t>Must</w:t>
            </w:r>
          </w:p>
        </w:tc>
        <w:tc>
          <w:tcPr>
            <w:tcW w:type="dxa" w:w="2860"/>
          </w:tcPr>
          <w:p>
            <w:pPr>
              <w:spacing w:before="0" w:after="0" w:line="240" w:lineRule="auto"/>
            </w:pPr>
            <w:r/>
            <w:r>
              <w:rPr>
                <w:rFonts w:ascii="Calibri" w:hAnsi="Calibri"/>
                <w:b w:val="0"/>
                <w:i w:val="0"/>
                <w:color w:val="000000"/>
                <w:sz w:val="17"/>
              </w:rPr>
              <w:t>Every numeric value is sourced or deterministically derived.</w:t>
            </w:r>
          </w:p>
        </w:tc>
      </w:tr>
      <w:tr>
        <w:tc>
          <w:tcPr>
            <w:tcW w:type="dxa" w:w="950"/>
          </w:tcPr>
          <w:p>
            <w:pPr>
              <w:spacing w:before="0" w:after="0" w:line="240" w:lineRule="auto"/>
            </w:pPr>
            <w:r/>
            <w:r>
              <w:rPr>
                <w:rFonts w:ascii="Calibri" w:hAnsi="Calibri"/>
                <w:b/>
                <w:i w:val="0"/>
                <w:color w:val="1F4D78"/>
                <w:sz w:val="17"/>
              </w:rPr>
              <w:t>FR-008</w:t>
            </w:r>
          </w:p>
        </w:tc>
        <w:tc>
          <w:tcPr>
            <w:tcW w:type="dxa" w:w="4650"/>
          </w:tcPr>
          <w:p>
            <w:pPr>
              <w:spacing w:before="0" w:after="0" w:line="240" w:lineRule="auto"/>
            </w:pPr>
            <w:r/>
            <w:r>
              <w:rPr>
                <w:rFonts w:ascii="Calibri" w:hAnsi="Calibri"/>
                <w:b w:val="0"/>
                <w:i w:val="0"/>
                <w:color w:val="000000"/>
                <w:sz w:val="17"/>
              </w:rPr>
              <w:t>The system shall map structured analysis into a limited registry of approved slide layouts.</w:t>
            </w:r>
          </w:p>
        </w:tc>
        <w:tc>
          <w:tcPr>
            <w:tcW w:type="dxa" w:w="900"/>
          </w:tcPr>
          <w:p>
            <w:pPr>
              <w:spacing w:before="0" w:after="0" w:line="240" w:lineRule="auto"/>
              <w:jc w:val="center"/>
            </w:pPr>
            <w:r/>
            <w:r>
              <w:rPr>
                <w:rFonts w:ascii="Calibri" w:hAnsi="Calibri"/>
                <w:b/>
                <w:i w:val="0"/>
                <w:color w:val="000000"/>
                <w:sz w:val="17"/>
              </w:rPr>
              <w:t>Must</w:t>
            </w:r>
          </w:p>
        </w:tc>
        <w:tc>
          <w:tcPr>
            <w:tcW w:type="dxa" w:w="2860"/>
          </w:tcPr>
          <w:p>
            <w:pPr>
              <w:spacing w:before="0" w:after="0" w:line="240" w:lineRule="auto"/>
            </w:pPr>
            <w:r/>
            <w:r>
              <w:rPr>
                <w:rFonts w:ascii="Calibri" w:hAnsi="Calibri"/>
                <w:b w:val="0"/>
                <w:i w:val="0"/>
                <w:color w:val="000000"/>
                <w:sz w:val="17"/>
              </w:rPr>
              <w:t>Only registered layouts and slot types are accepted.</w:t>
            </w:r>
          </w:p>
        </w:tc>
      </w:tr>
      <w:tr>
        <w:tc>
          <w:tcPr>
            <w:tcW w:type="dxa" w:w="950"/>
          </w:tcPr>
          <w:p>
            <w:pPr>
              <w:spacing w:before="0" w:after="0" w:line="240" w:lineRule="auto"/>
            </w:pPr>
            <w:r/>
            <w:r>
              <w:rPr>
                <w:rFonts w:ascii="Calibri" w:hAnsi="Calibri"/>
                <w:b/>
                <w:i w:val="0"/>
                <w:color w:val="1F4D78"/>
                <w:sz w:val="17"/>
              </w:rPr>
              <w:t>FR-009</w:t>
            </w:r>
          </w:p>
        </w:tc>
        <w:tc>
          <w:tcPr>
            <w:tcW w:type="dxa" w:w="4650"/>
          </w:tcPr>
          <w:p>
            <w:pPr>
              <w:spacing w:before="0" w:after="0" w:line="240" w:lineRule="auto"/>
            </w:pPr>
            <w:r/>
            <w:r>
              <w:rPr>
                <w:rFonts w:ascii="Calibri" w:hAnsi="Calibri"/>
                <w:b w:val="0"/>
                <w:i w:val="0"/>
                <w:color w:val="000000"/>
                <w:sz w:val="17"/>
              </w:rPr>
              <w:t>The HTML compiler shall emit only the tags, styles, fonts, dimensions, and assets supported by the selected renderer.</w:t>
            </w:r>
          </w:p>
        </w:tc>
        <w:tc>
          <w:tcPr>
            <w:tcW w:type="dxa" w:w="900"/>
          </w:tcPr>
          <w:p>
            <w:pPr>
              <w:spacing w:before="0" w:after="0" w:line="240" w:lineRule="auto"/>
              <w:jc w:val="center"/>
            </w:pPr>
            <w:r/>
            <w:r>
              <w:rPr>
                <w:rFonts w:ascii="Calibri" w:hAnsi="Calibri"/>
                <w:b/>
                <w:i w:val="0"/>
                <w:color w:val="000000"/>
                <w:sz w:val="17"/>
              </w:rPr>
              <w:t>Must</w:t>
            </w:r>
          </w:p>
        </w:tc>
        <w:tc>
          <w:tcPr>
            <w:tcW w:type="dxa" w:w="2860"/>
          </w:tcPr>
          <w:p>
            <w:pPr>
              <w:spacing w:before="0" w:after="0" w:line="240" w:lineRule="auto"/>
            </w:pPr>
            <w:r/>
            <w:r>
              <w:rPr>
                <w:rFonts w:ascii="Calibri" w:hAnsi="Calibri"/>
                <w:b w:val="0"/>
                <w:i w:val="0"/>
                <w:color w:val="000000"/>
                <w:sz w:val="17"/>
              </w:rPr>
              <w:t>Unsupported markup is rejected before conversion.</w:t>
            </w:r>
          </w:p>
        </w:tc>
      </w:tr>
      <w:tr>
        <w:tc>
          <w:tcPr>
            <w:tcW w:type="dxa" w:w="950"/>
          </w:tcPr>
          <w:p>
            <w:pPr>
              <w:spacing w:before="0" w:after="0" w:line="240" w:lineRule="auto"/>
            </w:pPr>
            <w:r/>
            <w:r>
              <w:rPr>
                <w:rFonts w:ascii="Calibri" w:hAnsi="Calibri"/>
                <w:b/>
                <w:i w:val="0"/>
                <w:color w:val="1F4D78"/>
                <w:sz w:val="17"/>
              </w:rPr>
              <w:t>FR-010</w:t>
            </w:r>
          </w:p>
        </w:tc>
        <w:tc>
          <w:tcPr>
            <w:tcW w:type="dxa" w:w="4650"/>
          </w:tcPr>
          <w:p>
            <w:pPr>
              <w:spacing w:before="0" w:after="0" w:line="240" w:lineRule="auto"/>
            </w:pPr>
            <w:r/>
            <w:r>
              <w:rPr>
                <w:rFonts w:ascii="Calibri" w:hAnsi="Calibri"/>
                <w:b w:val="0"/>
                <w:i w:val="0"/>
                <w:color w:val="000000"/>
                <w:sz w:val="17"/>
              </w:rPr>
              <w:t>The preflight harness shall detect overflow, clipping, overlap, missing fonts or assets, empty required slots, and out-of-bounds elements.</w:t>
            </w:r>
          </w:p>
        </w:tc>
        <w:tc>
          <w:tcPr>
            <w:tcW w:type="dxa" w:w="900"/>
          </w:tcPr>
          <w:p>
            <w:pPr>
              <w:spacing w:before="0" w:after="0" w:line="240" w:lineRule="auto"/>
              <w:jc w:val="center"/>
            </w:pPr>
            <w:r/>
            <w:r>
              <w:rPr>
                <w:rFonts w:ascii="Calibri" w:hAnsi="Calibri"/>
                <w:b/>
                <w:i w:val="0"/>
                <w:color w:val="000000"/>
                <w:sz w:val="17"/>
              </w:rPr>
              <w:t>Must</w:t>
            </w:r>
          </w:p>
        </w:tc>
        <w:tc>
          <w:tcPr>
            <w:tcW w:type="dxa" w:w="2860"/>
          </w:tcPr>
          <w:p>
            <w:pPr>
              <w:spacing w:before="0" w:after="0" w:line="240" w:lineRule="auto"/>
            </w:pPr>
            <w:r/>
            <w:r>
              <w:rPr>
                <w:rFonts w:ascii="Calibri" w:hAnsi="Calibri"/>
                <w:b w:val="0"/>
                <w:i w:val="0"/>
                <w:color w:val="000000"/>
                <w:sz w:val="17"/>
              </w:rPr>
              <w:t>Each slide receives a pass/fail report.</w:t>
            </w:r>
          </w:p>
        </w:tc>
      </w:tr>
      <w:tr>
        <w:tc>
          <w:tcPr>
            <w:tcW w:type="dxa" w:w="950"/>
          </w:tcPr>
          <w:p>
            <w:pPr>
              <w:spacing w:before="0" w:after="0" w:line="240" w:lineRule="auto"/>
            </w:pPr>
            <w:r/>
            <w:r>
              <w:rPr>
                <w:rFonts w:ascii="Calibri" w:hAnsi="Calibri"/>
                <w:b/>
                <w:i w:val="0"/>
                <w:color w:val="1F4D78"/>
                <w:sz w:val="17"/>
              </w:rPr>
              <w:t>FR-011</w:t>
            </w:r>
          </w:p>
        </w:tc>
        <w:tc>
          <w:tcPr>
            <w:tcW w:type="dxa" w:w="4650"/>
          </w:tcPr>
          <w:p>
            <w:pPr>
              <w:spacing w:before="0" w:after="0" w:line="240" w:lineRule="auto"/>
            </w:pPr>
            <w:r/>
            <w:r>
              <w:rPr>
                <w:rFonts w:ascii="Calibri" w:hAnsi="Calibri"/>
                <w:b w:val="0"/>
                <w:i w:val="0"/>
                <w:color w:val="000000"/>
                <w:sz w:val="17"/>
              </w:rPr>
              <w:t>The repair process shall use deterministic fitting first and targeted model repair only when necessary.</w:t>
            </w:r>
          </w:p>
        </w:tc>
        <w:tc>
          <w:tcPr>
            <w:tcW w:type="dxa" w:w="900"/>
          </w:tcPr>
          <w:p>
            <w:pPr>
              <w:spacing w:before="0" w:after="0" w:line="240" w:lineRule="auto"/>
              <w:jc w:val="center"/>
            </w:pPr>
            <w:r/>
            <w:r>
              <w:rPr>
                <w:rFonts w:ascii="Calibri" w:hAnsi="Calibri"/>
                <w:b/>
                <w:i w:val="0"/>
                <w:color w:val="000000"/>
                <w:sz w:val="17"/>
              </w:rPr>
              <w:t>Must</w:t>
            </w:r>
          </w:p>
        </w:tc>
        <w:tc>
          <w:tcPr>
            <w:tcW w:type="dxa" w:w="2860"/>
          </w:tcPr>
          <w:p>
            <w:pPr>
              <w:spacing w:before="0" w:after="0" w:line="240" w:lineRule="auto"/>
            </w:pPr>
            <w:r/>
            <w:r>
              <w:rPr>
                <w:rFonts w:ascii="Calibri" w:hAnsi="Calibri"/>
                <w:b w:val="0"/>
                <w:i w:val="0"/>
                <w:color w:val="000000"/>
                <w:sz w:val="17"/>
              </w:rPr>
              <w:t>No more than the configured repair limit is used.</w:t>
            </w:r>
          </w:p>
        </w:tc>
      </w:tr>
      <w:tr>
        <w:tc>
          <w:tcPr>
            <w:tcW w:type="dxa" w:w="950"/>
          </w:tcPr>
          <w:p>
            <w:pPr>
              <w:spacing w:before="0" w:after="0" w:line="240" w:lineRule="auto"/>
            </w:pPr>
            <w:r/>
            <w:r>
              <w:rPr>
                <w:rFonts w:ascii="Calibri" w:hAnsi="Calibri"/>
                <w:b/>
                <w:i w:val="0"/>
                <w:color w:val="1F4D78"/>
                <w:sz w:val="17"/>
              </w:rPr>
              <w:t>FR-012</w:t>
            </w:r>
          </w:p>
        </w:tc>
        <w:tc>
          <w:tcPr>
            <w:tcW w:type="dxa" w:w="4650"/>
          </w:tcPr>
          <w:p>
            <w:pPr>
              <w:spacing w:before="0" w:after="0" w:line="240" w:lineRule="auto"/>
            </w:pPr>
            <w:r/>
            <w:r>
              <w:rPr>
                <w:rFonts w:ascii="Calibri" w:hAnsi="Calibri"/>
                <w:b w:val="0"/>
                <w:i w:val="0"/>
                <w:color w:val="000000"/>
                <w:sz w:val="17"/>
              </w:rPr>
              <w:t>The renderer adapter shall generate a PowerPoint file and isolate the product from a specific npm package.</w:t>
            </w:r>
          </w:p>
        </w:tc>
        <w:tc>
          <w:tcPr>
            <w:tcW w:type="dxa" w:w="900"/>
          </w:tcPr>
          <w:p>
            <w:pPr>
              <w:spacing w:before="0" w:after="0" w:line="240" w:lineRule="auto"/>
              <w:jc w:val="center"/>
            </w:pPr>
            <w:r/>
            <w:r>
              <w:rPr>
                <w:rFonts w:ascii="Calibri" w:hAnsi="Calibri"/>
                <w:b/>
                <w:i w:val="0"/>
                <w:color w:val="000000"/>
                <w:sz w:val="17"/>
              </w:rPr>
              <w:t>Must</w:t>
            </w:r>
          </w:p>
        </w:tc>
        <w:tc>
          <w:tcPr>
            <w:tcW w:type="dxa" w:w="2860"/>
          </w:tcPr>
          <w:p>
            <w:pPr>
              <w:spacing w:before="0" w:after="0" w:line="240" w:lineRule="auto"/>
            </w:pPr>
            <w:r/>
            <w:r>
              <w:rPr>
                <w:rFonts w:ascii="Calibri" w:hAnsi="Calibri"/>
                <w:b w:val="0"/>
                <w:i w:val="0"/>
                <w:color w:val="000000"/>
                <w:sz w:val="17"/>
              </w:rPr>
              <w:t>The renderer can be replaced behind a stable interface.</w:t>
            </w:r>
          </w:p>
        </w:tc>
      </w:tr>
      <w:tr>
        <w:tc>
          <w:tcPr>
            <w:tcW w:type="dxa" w:w="950"/>
          </w:tcPr>
          <w:p>
            <w:pPr>
              <w:spacing w:before="0" w:after="0" w:line="240" w:lineRule="auto"/>
            </w:pPr>
            <w:r/>
            <w:r>
              <w:rPr>
                <w:rFonts w:ascii="Calibri" w:hAnsi="Calibri"/>
                <w:b/>
                <w:i w:val="0"/>
                <w:color w:val="1F4D78"/>
                <w:sz w:val="17"/>
              </w:rPr>
              <w:t>FR-013</w:t>
            </w:r>
          </w:p>
        </w:tc>
        <w:tc>
          <w:tcPr>
            <w:tcW w:type="dxa" w:w="4650"/>
          </w:tcPr>
          <w:p>
            <w:pPr>
              <w:spacing w:before="0" w:after="0" w:line="240" w:lineRule="auto"/>
            </w:pPr>
            <w:r/>
            <w:r>
              <w:rPr>
                <w:rFonts w:ascii="Calibri" w:hAnsi="Calibri"/>
                <w:b w:val="0"/>
                <w:i w:val="0"/>
                <w:color w:val="000000"/>
                <w:sz w:val="17"/>
              </w:rPr>
              <w:t>The system shall provide job progress, failure reasons, preview, and presentation download.</w:t>
            </w:r>
          </w:p>
        </w:tc>
        <w:tc>
          <w:tcPr>
            <w:tcW w:type="dxa" w:w="900"/>
          </w:tcPr>
          <w:p>
            <w:pPr>
              <w:spacing w:before="0" w:after="0" w:line="240" w:lineRule="auto"/>
              <w:jc w:val="center"/>
            </w:pPr>
            <w:r/>
            <w:r>
              <w:rPr>
                <w:rFonts w:ascii="Calibri" w:hAnsi="Calibri"/>
                <w:b/>
                <w:i w:val="0"/>
                <w:color w:val="000000"/>
                <w:sz w:val="17"/>
              </w:rPr>
              <w:t>Must</w:t>
            </w:r>
          </w:p>
        </w:tc>
        <w:tc>
          <w:tcPr>
            <w:tcW w:type="dxa" w:w="2860"/>
          </w:tcPr>
          <w:p>
            <w:pPr>
              <w:spacing w:before="0" w:after="0" w:line="240" w:lineRule="auto"/>
            </w:pPr>
            <w:r/>
            <w:r>
              <w:rPr>
                <w:rFonts w:ascii="Calibri" w:hAnsi="Calibri"/>
                <w:b w:val="0"/>
                <w:i w:val="0"/>
                <w:color w:val="000000"/>
                <w:sz w:val="17"/>
              </w:rPr>
              <w:t>Users can understand job state without support.</w:t>
            </w:r>
          </w:p>
        </w:tc>
      </w:tr>
      <w:tr>
        <w:tc>
          <w:tcPr>
            <w:tcW w:type="dxa" w:w="950"/>
          </w:tcPr>
          <w:p>
            <w:pPr>
              <w:spacing w:before="0" w:after="0" w:line="240" w:lineRule="auto"/>
            </w:pPr>
            <w:r/>
            <w:r>
              <w:rPr>
                <w:rFonts w:ascii="Calibri" w:hAnsi="Calibri"/>
                <w:b/>
                <w:i w:val="0"/>
                <w:color w:val="1F4D78"/>
                <w:sz w:val="17"/>
              </w:rPr>
              <w:t>FR-014</w:t>
            </w:r>
          </w:p>
        </w:tc>
        <w:tc>
          <w:tcPr>
            <w:tcW w:type="dxa" w:w="4650"/>
          </w:tcPr>
          <w:p>
            <w:pPr>
              <w:spacing w:before="0" w:after="0" w:line="240" w:lineRule="auto"/>
            </w:pPr>
            <w:r/>
            <w:r>
              <w:rPr>
                <w:rFonts w:ascii="Calibri" w:hAnsi="Calibri"/>
                <w:b w:val="0"/>
                <w:i w:val="0"/>
                <w:color w:val="000000"/>
                <w:sz w:val="17"/>
              </w:rPr>
              <w:t>The system shall record per-job model, token, retry, extraction, render, and total cost metrics.</w:t>
            </w:r>
          </w:p>
        </w:tc>
        <w:tc>
          <w:tcPr>
            <w:tcW w:type="dxa" w:w="900"/>
          </w:tcPr>
          <w:p>
            <w:pPr>
              <w:spacing w:before="0" w:after="0" w:line="240" w:lineRule="auto"/>
              <w:jc w:val="center"/>
            </w:pPr>
            <w:r/>
            <w:r>
              <w:rPr>
                <w:rFonts w:ascii="Calibri" w:hAnsi="Calibri"/>
                <w:b/>
                <w:i w:val="0"/>
                <w:color w:val="000000"/>
                <w:sz w:val="17"/>
              </w:rPr>
              <w:t>Must</w:t>
            </w:r>
          </w:p>
        </w:tc>
        <w:tc>
          <w:tcPr>
            <w:tcW w:type="dxa" w:w="2860"/>
          </w:tcPr>
          <w:p>
            <w:pPr>
              <w:spacing w:before="0" w:after="0" w:line="240" w:lineRule="auto"/>
            </w:pPr>
            <w:r/>
            <w:r>
              <w:rPr>
                <w:rFonts w:ascii="Calibri" w:hAnsi="Calibri"/>
                <w:b w:val="0"/>
                <w:i w:val="0"/>
                <w:color w:val="000000"/>
                <w:sz w:val="17"/>
              </w:rPr>
              <w:t>Operators can calculate actual unit economics.</w:t>
            </w:r>
          </w:p>
        </w:tc>
      </w:tr>
      <w:tr>
        <w:tc>
          <w:tcPr>
            <w:tcW w:type="dxa" w:w="950"/>
          </w:tcPr>
          <w:p>
            <w:pPr>
              <w:spacing w:before="0" w:after="0" w:line="240" w:lineRule="auto"/>
            </w:pPr>
            <w:r/>
            <w:r>
              <w:rPr>
                <w:rFonts w:ascii="Calibri" w:hAnsi="Calibri"/>
                <w:b/>
                <w:i w:val="0"/>
                <w:color w:val="1F4D78"/>
                <w:sz w:val="17"/>
              </w:rPr>
              <w:t>FR-015</w:t>
            </w:r>
          </w:p>
        </w:tc>
        <w:tc>
          <w:tcPr>
            <w:tcW w:type="dxa" w:w="4650"/>
          </w:tcPr>
          <w:p>
            <w:pPr>
              <w:spacing w:before="0" w:after="0" w:line="240" w:lineRule="auto"/>
            </w:pPr>
            <w:r/>
            <w:r>
              <w:rPr>
                <w:rFonts w:ascii="Calibri" w:hAnsi="Calibri"/>
                <w:b w:val="0"/>
                <w:i w:val="0"/>
                <w:color w:val="000000"/>
                <w:sz w:val="17"/>
              </w:rPr>
              <w:t>The system shall enforce subscription limits for pages, slides, regenerations, and monthly usage.</w:t>
            </w:r>
          </w:p>
        </w:tc>
        <w:tc>
          <w:tcPr>
            <w:tcW w:type="dxa" w:w="900"/>
          </w:tcPr>
          <w:p>
            <w:pPr>
              <w:spacing w:before="0" w:after="0" w:line="240" w:lineRule="auto"/>
              <w:jc w:val="center"/>
            </w:pPr>
            <w:r/>
            <w:r>
              <w:rPr>
                <w:rFonts w:ascii="Calibri" w:hAnsi="Calibri"/>
                <w:b/>
                <w:i w:val="0"/>
                <w:color w:val="000000"/>
                <w:sz w:val="17"/>
              </w:rPr>
              <w:t>Must</w:t>
            </w:r>
          </w:p>
        </w:tc>
        <w:tc>
          <w:tcPr>
            <w:tcW w:type="dxa" w:w="2860"/>
          </w:tcPr>
          <w:p>
            <w:pPr>
              <w:spacing w:before="0" w:after="0" w:line="240" w:lineRule="auto"/>
            </w:pPr>
            <w:r/>
            <w:r>
              <w:rPr>
                <w:rFonts w:ascii="Calibri" w:hAnsi="Calibri"/>
                <w:b w:val="0"/>
                <w:i w:val="0"/>
                <w:color w:val="000000"/>
                <w:sz w:val="17"/>
              </w:rPr>
              <w:t>Generation cannot exceed the active entitlement.</w:t>
            </w:r>
          </w:p>
        </w:tc>
      </w:tr>
      <w:tr>
        <w:tc>
          <w:tcPr>
            <w:tcW w:type="dxa" w:w="950"/>
          </w:tcPr>
          <w:p>
            <w:pPr>
              <w:spacing w:before="0" w:after="0" w:line="240" w:lineRule="auto"/>
            </w:pPr>
            <w:r/>
            <w:r>
              <w:rPr>
                <w:rFonts w:ascii="Calibri" w:hAnsi="Calibri"/>
                <w:b/>
                <w:i w:val="0"/>
                <w:color w:val="1F4D78"/>
                <w:sz w:val="17"/>
              </w:rPr>
              <w:t>FR-016</w:t>
            </w:r>
          </w:p>
        </w:tc>
        <w:tc>
          <w:tcPr>
            <w:tcW w:type="dxa" w:w="4650"/>
          </w:tcPr>
          <w:p>
            <w:pPr>
              <w:spacing w:before="0" w:after="0" w:line="240" w:lineRule="auto"/>
            </w:pPr>
            <w:r/>
            <w:r>
              <w:rPr>
                <w:rFonts w:ascii="Calibri" w:hAnsi="Calibri"/>
                <w:b w:val="0"/>
                <w:i w:val="0"/>
                <w:color w:val="000000"/>
                <w:sz w:val="17"/>
              </w:rPr>
              <w:t>The system shall support configured retention and deletion of source and generated files.</w:t>
            </w:r>
          </w:p>
        </w:tc>
        <w:tc>
          <w:tcPr>
            <w:tcW w:type="dxa" w:w="900"/>
          </w:tcPr>
          <w:p>
            <w:pPr>
              <w:spacing w:before="0" w:after="0" w:line="240" w:lineRule="auto"/>
              <w:jc w:val="center"/>
            </w:pPr>
            <w:r/>
            <w:r>
              <w:rPr>
                <w:rFonts w:ascii="Calibri" w:hAnsi="Calibri"/>
                <w:b/>
                <w:i w:val="0"/>
                <w:color w:val="000000"/>
                <w:sz w:val="17"/>
              </w:rPr>
              <w:t>Must</w:t>
            </w:r>
          </w:p>
        </w:tc>
        <w:tc>
          <w:tcPr>
            <w:tcW w:type="dxa" w:w="2860"/>
          </w:tcPr>
          <w:p>
            <w:pPr>
              <w:spacing w:before="0" w:after="0" w:line="240" w:lineRule="auto"/>
            </w:pPr>
            <w:r/>
            <w:r>
              <w:rPr>
                <w:rFonts w:ascii="Calibri" w:hAnsi="Calibri"/>
                <w:b w:val="0"/>
                <w:i w:val="0"/>
                <w:color w:val="000000"/>
                <w:sz w:val="17"/>
              </w:rPr>
              <w:t>Deletion behavior is applied and auditable.</w:t>
            </w:r>
          </w:p>
        </w:tc>
      </w:tr>
      <w:tr>
        <w:tc>
          <w:tcPr>
            <w:tcW w:type="dxa" w:w="950"/>
          </w:tcPr>
          <w:p>
            <w:pPr>
              <w:spacing w:before="0" w:after="0" w:line="240" w:lineRule="auto"/>
            </w:pPr>
            <w:r/>
            <w:r>
              <w:rPr>
                <w:rFonts w:ascii="Calibri" w:hAnsi="Calibri"/>
                <w:b/>
                <w:i w:val="0"/>
                <w:color w:val="1F4D78"/>
                <w:sz w:val="17"/>
              </w:rPr>
              <w:t>FR-017</w:t>
            </w:r>
          </w:p>
        </w:tc>
        <w:tc>
          <w:tcPr>
            <w:tcW w:type="dxa" w:w="4650"/>
          </w:tcPr>
          <w:p>
            <w:pPr>
              <w:spacing w:before="0" w:after="0" w:line="240" w:lineRule="auto"/>
            </w:pPr>
            <w:r/>
            <w:r>
              <w:rPr>
                <w:rFonts w:ascii="Calibri" w:hAnsi="Calibri"/>
                <w:b w:val="0"/>
                <w:i w:val="0"/>
                <w:color w:val="000000"/>
                <w:sz w:val="17"/>
              </w:rPr>
              <w:t>The system should support a stronger-model fallback when the primary model fails measurable quality gates.</w:t>
            </w:r>
          </w:p>
        </w:tc>
        <w:tc>
          <w:tcPr>
            <w:tcW w:type="dxa" w:w="900"/>
          </w:tcPr>
          <w:p>
            <w:pPr>
              <w:spacing w:before="0" w:after="0" w:line="240" w:lineRule="auto"/>
              <w:jc w:val="center"/>
            </w:pPr>
            <w:r/>
            <w:r>
              <w:rPr>
                <w:rFonts w:ascii="Calibri" w:hAnsi="Calibri"/>
                <w:b/>
                <w:i w:val="0"/>
                <w:color w:val="000000"/>
                <w:sz w:val="17"/>
              </w:rPr>
              <w:t>Should</w:t>
            </w:r>
          </w:p>
        </w:tc>
        <w:tc>
          <w:tcPr>
            <w:tcW w:type="dxa" w:w="2860"/>
          </w:tcPr>
          <w:p>
            <w:pPr>
              <w:spacing w:before="0" w:after="0" w:line="240" w:lineRule="auto"/>
            </w:pPr>
            <w:r/>
            <w:r>
              <w:rPr>
                <w:rFonts w:ascii="Calibri" w:hAnsi="Calibri"/>
                <w:b w:val="0"/>
                <w:i w:val="0"/>
                <w:color w:val="000000"/>
                <w:sz w:val="17"/>
              </w:rPr>
              <w:t>Fallback receives only the necessary content.</w:t>
            </w:r>
          </w:p>
        </w:tc>
      </w:tr>
      <w:tr>
        <w:tc>
          <w:tcPr>
            <w:tcW w:type="dxa" w:w="950"/>
          </w:tcPr>
          <w:p>
            <w:pPr>
              <w:spacing w:before="0" w:after="0" w:line="240" w:lineRule="auto"/>
            </w:pPr>
            <w:r/>
            <w:r>
              <w:rPr>
                <w:rFonts w:ascii="Calibri" w:hAnsi="Calibri"/>
                <w:b/>
                <w:i w:val="0"/>
                <w:color w:val="1F4D78"/>
                <w:sz w:val="17"/>
              </w:rPr>
              <w:t>FR-018</w:t>
            </w:r>
          </w:p>
        </w:tc>
        <w:tc>
          <w:tcPr>
            <w:tcW w:type="dxa" w:w="4650"/>
          </w:tcPr>
          <w:p>
            <w:pPr>
              <w:spacing w:before="0" w:after="0" w:line="240" w:lineRule="auto"/>
            </w:pPr>
            <w:r/>
            <w:r>
              <w:rPr>
                <w:rFonts w:ascii="Calibri" w:hAnsi="Calibri"/>
                <w:b w:val="0"/>
                <w:i w:val="0"/>
                <w:color w:val="000000"/>
                <w:sz w:val="17"/>
              </w:rPr>
              <w:t>The system should retain reusable analysis independently from presentation rendering so future Excel and Office generators can consume it.</w:t>
            </w:r>
          </w:p>
        </w:tc>
        <w:tc>
          <w:tcPr>
            <w:tcW w:type="dxa" w:w="900"/>
          </w:tcPr>
          <w:p>
            <w:pPr>
              <w:spacing w:before="0" w:after="0" w:line="240" w:lineRule="auto"/>
              <w:jc w:val="center"/>
            </w:pPr>
            <w:r/>
            <w:r>
              <w:rPr>
                <w:rFonts w:ascii="Calibri" w:hAnsi="Calibri"/>
                <w:b/>
                <w:i w:val="0"/>
                <w:color w:val="000000"/>
                <w:sz w:val="17"/>
              </w:rPr>
              <w:t>Should</w:t>
            </w:r>
          </w:p>
        </w:tc>
        <w:tc>
          <w:tcPr>
            <w:tcW w:type="dxa" w:w="2860"/>
          </w:tcPr>
          <w:p>
            <w:pPr>
              <w:spacing w:before="0" w:after="0" w:line="240" w:lineRule="auto"/>
            </w:pPr>
            <w:r/>
            <w:r>
              <w:rPr>
                <w:rFonts w:ascii="Calibri" w:hAnsi="Calibri"/>
                <w:b w:val="0"/>
                <w:i w:val="0"/>
                <w:color w:val="000000"/>
                <w:sz w:val="17"/>
              </w:rPr>
              <w:t>Analysis contracts contain no renderer-specific HTML.</w:t>
            </w:r>
          </w:p>
        </w:tc>
      </w:tr>
    </w:tbl>
    <w:p>
      <w:pPr>
        <w:spacing w:after="0"/>
      </w:pPr>
    </w:p>
    <w:p>
      <w:pPr>
        <w:pStyle w:val="Heading2"/>
        <w:keepNext/>
      </w:pPr>
      <w:r>
        <w:rPr>
          <w:rFonts w:ascii="Calibri" w:hAnsi="Calibri"/>
          <w:b/>
          <w:i w:val="0"/>
          <w:color w:val="2E74B5"/>
          <w:sz w:val="26"/>
        </w:rPr>
        <w:t>5.1 Structured Analysis Contract</w:t>
      </w:r>
    </w:p>
    <w:p>
      <w:pPr>
        <w:widowControl/>
        <w:spacing w:before="0" w:after="120" w:line="264" w:lineRule="auto"/>
      </w:pPr>
      <w:r>
        <w:rPr>
          <w:rFonts w:ascii="Calibri" w:hAnsi="Calibri"/>
          <w:b w:val="0"/>
          <w:i w:val="0"/>
          <w:color w:val="000000"/>
          <w:sz w:val="22"/>
        </w:rPr>
        <w:t>The model output is a business-analysis contract, not a finished document. At minimum it must include source facts, derived values, reporting periods, units, confidence, executive findings, trends, risks, opportunities, recommended visual forms, and source references. Layout, typography, HTML compatibility, and PowerPoint fitting remain the responsibility of deterministic software.</w:t>
      </w:r>
    </w:p>
    <w:p>
      <w:pPr>
        <w:spacing w:before="160" w:after="200" w:line="264" w:lineRule="auto"/>
        <w:ind w:left="259" w:right="259"/>
        <w:shd w:fill="F4F6F9"/>
        <w:pBdr>
          <w:left w:val="single" w:sz="18" w:space="8" w:color="2E74B5"/>
        </w:pBdr>
      </w:pPr>
      <w:r>
        <w:rPr>
          <w:rFonts w:ascii="Calibri" w:hAnsi="Calibri"/>
          <w:b/>
          <w:i w:val="0"/>
          <w:color w:val="0B2545"/>
          <w:sz w:val="22"/>
        </w:rPr>
        <w:t xml:space="preserve">Core principle: </w:t>
      </w:r>
      <w:r>
        <w:rPr>
          <w:rFonts w:ascii="Calibri" w:hAnsi="Calibri"/>
          <w:b w:val="0"/>
          <w:i w:val="0"/>
          <w:color w:val="0B2545"/>
          <w:sz w:val="22"/>
        </w:rPr>
        <w:t>The harness performs fitting and rendering. The model provides analysis and concise content slots.</w:t>
      </w:r>
    </w:p>
    <w:p>
      <w:pPr>
        <w:pStyle w:val="Heading1"/>
        <w:keepNext/>
      </w:pPr>
      <w:r>
        <w:rPr>
          <w:rFonts w:ascii="Calibri" w:hAnsi="Calibri"/>
          <w:b/>
          <w:i w:val="0"/>
          <w:color w:val="2E74B5"/>
          <w:sz w:val="32"/>
        </w:rPr>
        <w:t>6. Non-Functional Requirements</w:t>
      </w:r>
    </w:p>
    <w:tbl>
      <w:tblPr>
        <w:tblW w:type="dxa" w:w="9360"/>
        <w:jc w:val="left"/>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1000"/>
        <w:gridCol w:w="1600"/>
        <w:gridCol w:w="6760"/>
      </w:tblGrid>
      <w:tr>
        <w:trPr>
          <w:cantSplit/>
          <w:tblHeader w:val="true"/>
        </w:trPr>
        <w:tc>
          <w:tcPr>
            <w:tcW w:type="dxa" w:w="1000"/>
            <w:vAlign w:val="top"/>
            <w:tcMar>
              <w:top w:w="80" w:type="dxa"/>
              <w:start w:w="120" w:type="dxa"/>
              <w:bottom w:w="80" w:type="dxa"/>
              <w:end w:w="120" w:type="dxa"/>
            </w:tcMar>
            <w:shd w:fill="F2F4F7"/>
          </w:tcPr>
          <w:p>
            <w:pPr>
              <w:spacing w:before="0" w:after="0" w:line="240" w:lineRule="auto"/>
            </w:pPr>
            <w:r/>
            <w:r>
              <w:rPr>
                <w:rFonts w:ascii="Calibri" w:hAnsi="Calibri"/>
                <w:b/>
                <w:i w:val="0"/>
                <w:color w:val="0B2545"/>
                <w:sz w:val="18"/>
              </w:rPr>
              <w:t>ID</w:t>
            </w:r>
          </w:p>
        </w:tc>
        <w:tc>
          <w:tcPr>
            <w:tcW w:type="dxa" w:w="1600"/>
            <w:vAlign w:val="top"/>
            <w:tcMar>
              <w:top w:w="80" w:type="dxa"/>
              <w:start w:w="120" w:type="dxa"/>
              <w:bottom w:w="80" w:type="dxa"/>
              <w:end w:w="120" w:type="dxa"/>
            </w:tcMar>
            <w:shd w:fill="F2F4F7"/>
          </w:tcPr>
          <w:p>
            <w:pPr>
              <w:spacing w:before="0" w:after="0" w:line="240" w:lineRule="auto"/>
            </w:pPr>
            <w:r/>
            <w:r>
              <w:rPr>
                <w:rFonts w:ascii="Calibri" w:hAnsi="Calibri"/>
                <w:b/>
                <w:i w:val="0"/>
                <w:color w:val="0B2545"/>
                <w:sz w:val="18"/>
              </w:rPr>
              <w:t>Quality</w:t>
            </w:r>
          </w:p>
        </w:tc>
        <w:tc>
          <w:tcPr>
            <w:tcW w:type="dxa" w:w="6760"/>
            <w:vAlign w:val="top"/>
            <w:tcMar>
              <w:top w:w="80" w:type="dxa"/>
              <w:start w:w="120" w:type="dxa"/>
              <w:bottom w:w="80" w:type="dxa"/>
              <w:end w:w="120" w:type="dxa"/>
            </w:tcMar>
            <w:shd w:fill="F2F4F7"/>
          </w:tcPr>
          <w:p>
            <w:pPr>
              <w:spacing w:before="0" w:after="0" w:line="240" w:lineRule="auto"/>
            </w:pPr>
            <w:r/>
            <w:r>
              <w:rPr>
                <w:rFonts w:ascii="Calibri" w:hAnsi="Calibri"/>
                <w:b/>
                <w:i w:val="0"/>
                <w:color w:val="0B2545"/>
                <w:sz w:val="18"/>
              </w:rPr>
              <w:t>Requirement</w:t>
            </w:r>
          </w:p>
        </w:tc>
      </w:tr>
      <w:tr>
        <w:tc>
          <w:tcPr>
            <w:tcW w:type="dxa" w:w="1000"/>
          </w:tcPr>
          <w:p>
            <w:pPr>
              <w:spacing w:before="0" w:after="0" w:line="240" w:lineRule="auto"/>
            </w:pPr>
            <w:r/>
            <w:r>
              <w:rPr>
                <w:rFonts w:ascii="Calibri" w:hAnsi="Calibri"/>
                <w:b/>
                <w:i w:val="0"/>
                <w:color w:val="000000"/>
                <w:sz w:val="17"/>
              </w:rPr>
              <w:t>NFR-001</w:t>
            </w:r>
          </w:p>
        </w:tc>
        <w:tc>
          <w:tcPr>
            <w:tcW w:type="dxa" w:w="1600"/>
          </w:tcPr>
          <w:p>
            <w:pPr>
              <w:spacing w:before="0" w:after="0" w:line="240" w:lineRule="auto"/>
            </w:pPr>
            <w:r/>
            <w:r>
              <w:rPr>
                <w:rFonts w:ascii="Calibri" w:hAnsi="Calibri"/>
                <w:b w:val="0"/>
                <w:i w:val="0"/>
                <w:color w:val="000000"/>
                <w:sz w:val="17"/>
              </w:rPr>
              <w:t>Accuracy</w:t>
            </w:r>
          </w:p>
        </w:tc>
        <w:tc>
          <w:tcPr>
            <w:tcW w:type="dxa" w:w="6760"/>
          </w:tcPr>
          <w:p>
            <w:pPr>
              <w:spacing w:before="0" w:after="0" w:line="240" w:lineRule="auto"/>
            </w:pPr>
            <w:r/>
            <w:r>
              <w:rPr>
                <w:rFonts w:ascii="Calibri" w:hAnsi="Calibri"/>
                <w:b w:val="0"/>
                <w:i w:val="0"/>
                <w:color w:val="000000"/>
                <w:sz w:val="17"/>
              </w:rPr>
              <w:t>Unsupported numeric claims shall be blocked. Material slide claims shall retain source references.</w:t>
            </w:r>
          </w:p>
        </w:tc>
      </w:tr>
      <w:tr>
        <w:tc>
          <w:tcPr>
            <w:tcW w:type="dxa" w:w="1000"/>
          </w:tcPr>
          <w:p>
            <w:pPr>
              <w:spacing w:before="0" w:after="0" w:line="240" w:lineRule="auto"/>
            </w:pPr>
            <w:r/>
            <w:r>
              <w:rPr>
                <w:rFonts w:ascii="Calibri" w:hAnsi="Calibri"/>
                <w:b/>
                <w:i w:val="0"/>
                <w:color w:val="000000"/>
                <w:sz w:val="17"/>
              </w:rPr>
              <w:t>NFR-002</w:t>
            </w:r>
          </w:p>
        </w:tc>
        <w:tc>
          <w:tcPr>
            <w:tcW w:type="dxa" w:w="1600"/>
          </w:tcPr>
          <w:p>
            <w:pPr>
              <w:spacing w:before="0" w:after="0" w:line="240" w:lineRule="auto"/>
            </w:pPr>
            <w:r/>
            <w:r>
              <w:rPr>
                <w:rFonts w:ascii="Calibri" w:hAnsi="Calibri"/>
                <w:b w:val="0"/>
                <w:i w:val="0"/>
                <w:color w:val="000000"/>
                <w:sz w:val="17"/>
              </w:rPr>
              <w:t>Reliability</w:t>
            </w:r>
          </w:p>
        </w:tc>
        <w:tc>
          <w:tcPr>
            <w:tcW w:type="dxa" w:w="6760"/>
          </w:tcPr>
          <w:p>
            <w:pPr>
              <w:spacing w:before="0" w:after="0" w:line="240" w:lineRule="auto"/>
            </w:pPr>
            <w:r/>
            <w:r>
              <w:rPr>
                <w:rFonts w:ascii="Calibri" w:hAnsi="Calibri"/>
                <w:b w:val="0"/>
                <w:i w:val="0"/>
                <w:color w:val="000000"/>
                <w:sz w:val="17"/>
              </w:rPr>
              <w:t>A failed model or render attempt shall produce a recoverable job state and useful error information.</w:t>
            </w:r>
          </w:p>
        </w:tc>
      </w:tr>
      <w:tr>
        <w:tc>
          <w:tcPr>
            <w:tcW w:type="dxa" w:w="1000"/>
          </w:tcPr>
          <w:p>
            <w:pPr>
              <w:spacing w:before="0" w:after="0" w:line="240" w:lineRule="auto"/>
            </w:pPr>
            <w:r/>
            <w:r>
              <w:rPr>
                <w:rFonts w:ascii="Calibri" w:hAnsi="Calibri"/>
                <w:b/>
                <w:i w:val="0"/>
                <w:color w:val="000000"/>
                <w:sz w:val="17"/>
              </w:rPr>
              <w:t>NFR-003</w:t>
            </w:r>
          </w:p>
        </w:tc>
        <w:tc>
          <w:tcPr>
            <w:tcW w:type="dxa" w:w="1600"/>
          </w:tcPr>
          <w:p>
            <w:pPr>
              <w:spacing w:before="0" w:after="0" w:line="240" w:lineRule="auto"/>
            </w:pPr>
            <w:r/>
            <w:r>
              <w:rPr>
                <w:rFonts w:ascii="Calibri" w:hAnsi="Calibri"/>
                <w:b w:val="0"/>
                <w:i w:val="0"/>
                <w:color w:val="000000"/>
                <w:sz w:val="17"/>
              </w:rPr>
              <w:t>Performance</w:t>
            </w:r>
          </w:p>
        </w:tc>
        <w:tc>
          <w:tcPr>
            <w:tcW w:type="dxa" w:w="6760"/>
          </w:tcPr>
          <w:p>
            <w:pPr>
              <w:spacing w:before="0" w:after="0" w:line="240" w:lineRule="auto"/>
            </w:pPr>
            <w:r/>
            <w:r>
              <w:rPr>
                <w:rFonts w:ascii="Calibri" w:hAnsi="Calibri"/>
                <w:b w:val="0"/>
                <w:i w:val="0"/>
                <w:color w:val="000000"/>
                <w:sz w:val="17"/>
              </w:rPr>
              <w:t>A standard generation should complete within a product target established during load and model testing; progress must remain visible.</w:t>
            </w:r>
          </w:p>
        </w:tc>
      </w:tr>
      <w:tr>
        <w:tc>
          <w:tcPr>
            <w:tcW w:type="dxa" w:w="1000"/>
          </w:tcPr>
          <w:p>
            <w:pPr>
              <w:spacing w:before="0" w:after="0" w:line="240" w:lineRule="auto"/>
            </w:pPr>
            <w:r/>
            <w:r>
              <w:rPr>
                <w:rFonts w:ascii="Calibri" w:hAnsi="Calibri"/>
                <w:b/>
                <w:i w:val="0"/>
                <w:color w:val="000000"/>
                <w:sz w:val="17"/>
              </w:rPr>
              <w:t>NFR-004</w:t>
            </w:r>
          </w:p>
        </w:tc>
        <w:tc>
          <w:tcPr>
            <w:tcW w:type="dxa" w:w="1600"/>
          </w:tcPr>
          <w:p>
            <w:pPr>
              <w:spacing w:before="0" w:after="0" w:line="240" w:lineRule="auto"/>
            </w:pPr>
            <w:r/>
            <w:r>
              <w:rPr>
                <w:rFonts w:ascii="Calibri" w:hAnsi="Calibri"/>
                <w:b w:val="0"/>
                <w:i w:val="0"/>
                <w:color w:val="000000"/>
                <w:sz w:val="17"/>
              </w:rPr>
              <w:t>Security</w:t>
            </w:r>
          </w:p>
        </w:tc>
        <w:tc>
          <w:tcPr>
            <w:tcW w:type="dxa" w:w="6760"/>
          </w:tcPr>
          <w:p>
            <w:pPr>
              <w:spacing w:before="0" w:after="0" w:line="240" w:lineRule="auto"/>
            </w:pPr>
            <w:r/>
            <w:r>
              <w:rPr>
                <w:rFonts w:ascii="Calibri" w:hAnsi="Calibri"/>
                <w:b w:val="0"/>
                <w:i w:val="0"/>
                <w:color w:val="000000"/>
                <w:sz w:val="17"/>
              </w:rPr>
              <w:t>Files shall be treated as confidential, isolated by user, protected in transit and at rest, and excluded from logs where possible.</w:t>
            </w:r>
          </w:p>
        </w:tc>
      </w:tr>
      <w:tr>
        <w:tc>
          <w:tcPr>
            <w:tcW w:type="dxa" w:w="1000"/>
          </w:tcPr>
          <w:p>
            <w:pPr>
              <w:spacing w:before="0" w:after="0" w:line="240" w:lineRule="auto"/>
            </w:pPr>
            <w:r/>
            <w:r>
              <w:rPr>
                <w:rFonts w:ascii="Calibri" w:hAnsi="Calibri"/>
                <w:b/>
                <w:i w:val="0"/>
                <w:color w:val="000000"/>
                <w:sz w:val="17"/>
              </w:rPr>
              <w:t>NFR-005</w:t>
            </w:r>
          </w:p>
        </w:tc>
        <w:tc>
          <w:tcPr>
            <w:tcW w:type="dxa" w:w="1600"/>
          </w:tcPr>
          <w:p>
            <w:pPr>
              <w:spacing w:before="0" w:after="0" w:line="240" w:lineRule="auto"/>
            </w:pPr>
            <w:r/>
            <w:r>
              <w:rPr>
                <w:rFonts w:ascii="Calibri" w:hAnsi="Calibri"/>
                <w:b w:val="0"/>
                <w:i w:val="0"/>
                <w:color w:val="000000"/>
                <w:sz w:val="17"/>
              </w:rPr>
              <w:t>Privacy</w:t>
            </w:r>
          </w:p>
        </w:tc>
        <w:tc>
          <w:tcPr>
            <w:tcW w:type="dxa" w:w="6760"/>
          </w:tcPr>
          <w:p>
            <w:pPr>
              <w:spacing w:before="0" w:after="0" w:line="240" w:lineRule="auto"/>
            </w:pPr>
            <w:r/>
            <w:r>
              <w:rPr>
                <w:rFonts w:ascii="Calibri" w:hAnsi="Calibri"/>
                <w:b w:val="0"/>
                <w:i w:val="0"/>
                <w:color w:val="000000"/>
                <w:sz w:val="17"/>
              </w:rPr>
              <w:t>Retention shall be explicit. Customer content shall not be reused for model improvement without informed opt-in.</w:t>
            </w:r>
          </w:p>
        </w:tc>
      </w:tr>
      <w:tr>
        <w:tc>
          <w:tcPr>
            <w:tcW w:type="dxa" w:w="1000"/>
          </w:tcPr>
          <w:p>
            <w:pPr>
              <w:spacing w:before="0" w:after="0" w:line="240" w:lineRule="auto"/>
            </w:pPr>
            <w:r/>
            <w:r>
              <w:rPr>
                <w:rFonts w:ascii="Calibri" w:hAnsi="Calibri"/>
                <w:b/>
                <w:i w:val="0"/>
                <w:color w:val="000000"/>
                <w:sz w:val="17"/>
              </w:rPr>
              <w:t>NFR-006</w:t>
            </w:r>
          </w:p>
        </w:tc>
        <w:tc>
          <w:tcPr>
            <w:tcW w:type="dxa" w:w="1600"/>
          </w:tcPr>
          <w:p>
            <w:pPr>
              <w:spacing w:before="0" w:after="0" w:line="240" w:lineRule="auto"/>
            </w:pPr>
            <w:r/>
            <w:r>
              <w:rPr>
                <w:rFonts w:ascii="Calibri" w:hAnsi="Calibri"/>
                <w:b w:val="0"/>
                <w:i w:val="0"/>
                <w:color w:val="000000"/>
                <w:sz w:val="17"/>
              </w:rPr>
              <w:t>Cost</w:t>
            </w:r>
          </w:p>
        </w:tc>
        <w:tc>
          <w:tcPr>
            <w:tcW w:type="dxa" w:w="6760"/>
          </w:tcPr>
          <w:p>
            <w:pPr>
              <w:spacing w:before="0" w:after="0" w:line="240" w:lineRule="auto"/>
            </w:pPr>
            <w:r/>
            <w:r>
              <w:rPr>
                <w:rFonts w:ascii="Calibri" w:hAnsi="Calibri"/>
                <w:b w:val="0"/>
                <w:i w:val="0"/>
                <w:color w:val="000000"/>
                <w:sz w:val="17"/>
              </w:rPr>
              <w:t>The primary model path shall target cents per normal analysis, with bounded retries and per-job spend caps.</w:t>
            </w:r>
          </w:p>
        </w:tc>
      </w:tr>
      <w:tr>
        <w:tc>
          <w:tcPr>
            <w:tcW w:type="dxa" w:w="1000"/>
          </w:tcPr>
          <w:p>
            <w:pPr>
              <w:spacing w:before="0" w:after="0" w:line="240" w:lineRule="auto"/>
            </w:pPr>
            <w:r/>
            <w:r>
              <w:rPr>
                <w:rFonts w:ascii="Calibri" w:hAnsi="Calibri"/>
                <w:b/>
                <w:i w:val="0"/>
                <w:color w:val="000000"/>
                <w:sz w:val="17"/>
              </w:rPr>
              <w:t>NFR-007</w:t>
            </w:r>
          </w:p>
        </w:tc>
        <w:tc>
          <w:tcPr>
            <w:tcW w:type="dxa" w:w="1600"/>
          </w:tcPr>
          <w:p>
            <w:pPr>
              <w:spacing w:before="0" w:after="0" w:line="240" w:lineRule="auto"/>
            </w:pPr>
            <w:r/>
            <w:r>
              <w:rPr>
                <w:rFonts w:ascii="Calibri" w:hAnsi="Calibri"/>
                <w:b w:val="0"/>
                <w:i w:val="0"/>
                <w:color w:val="000000"/>
                <w:sz w:val="17"/>
              </w:rPr>
              <w:t>Maintainability</w:t>
            </w:r>
          </w:p>
        </w:tc>
        <w:tc>
          <w:tcPr>
            <w:tcW w:type="dxa" w:w="6760"/>
          </w:tcPr>
          <w:p>
            <w:pPr>
              <w:spacing w:before="0" w:after="0" w:line="240" w:lineRule="auto"/>
            </w:pPr>
            <w:r/>
            <w:r>
              <w:rPr>
                <w:rFonts w:ascii="Calibri" w:hAnsi="Calibri"/>
                <w:b w:val="0"/>
                <w:i w:val="0"/>
                <w:color w:val="000000"/>
                <w:sz w:val="17"/>
              </w:rPr>
              <w:t>Extraction, analysis, layout compilation, rendering, billing, and storage shall use replaceable interfaces.</w:t>
            </w:r>
          </w:p>
        </w:tc>
      </w:tr>
      <w:tr>
        <w:tc>
          <w:tcPr>
            <w:tcW w:type="dxa" w:w="1000"/>
          </w:tcPr>
          <w:p>
            <w:pPr>
              <w:spacing w:before="0" w:after="0" w:line="240" w:lineRule="auto"/>
            </w:pPr>
            <w:r/>
            <w:r>
              <w:rPr>
                <w:rFonts w:ascii="Calibri" w:hAnsi="Calibri"/>
                <w:b/>
                <w:i w:val="0"/>
                <w:color w:val="000000"/>
                <w:sz w:val="17"/>
              </w:rPr>
              <w:t>NFR-008</w:t>
            </w:r>
          </w:p>
        </w:tc>
        <w:tc>
          <w:tcPr>
            <w:tcW w:type="dxa" w:w="1600"/>
          </w:tcPr>
          <w:p>
            <w:pPr>
              <w:spacing w:before="0" w:after="0" w:line="240" w:lineRule="auto"/>
            </w:pPr>
            <w:r/>
            <w:r>
              <w:rPr>
                <w:rFonts w:ascii="Calibri" w:hAnsi="Calibri"/>
                <w:b w:val="0"/>
                <w:i w:val="0"/>
                <w:color w:val="000000"/>
                <w:sz w:val="17"/>
              </w:rPr>
              <w:t>Observability</w:t>
            </w:r>
          </w:p>
        </w:tc>
        <w:tc>
          <w:tcPr>
            <w:tcW w:type="dxa" w:w="6760"/>
          </w:tcPr>
          <w:p>
            <w:pPr>
              <w:spacing w:before="0" w:after="0" w:line="240" w:lineRule="auto"/>
            </w:pPr>
            <w:r/>
            <w:r>
              <w:rPr>
                <w:rFonts w:ascii="Calibri" w:hAnsi="Calibri"/>
                <w:b w:val="0"/>
                <w:i w:val="0"/>
                <w:color w:val="000000"/>
                <w:sz w:val="17"/>
              </w:rPr>
              <w:t>Every job shall record duration, stage status, model usage, validation results, fallback use, and artifact outcome.</w:t>
            </w:r>
          </w:p>
        </w:tc>
      </w:tr>
      <w:tr>
        <w:tc>
          <w:tcPr>
            <w:tcW w:type="dxa" w:w="1000"/>
          </w:tcPr>
          <w:p>
            <w:pPr>
              <w:spacing w:before="0" w:after="0" w:line="240" w:lineRule="auto"/>
            </w:pPr>
            <w:r/>
            <w:r>
              <w:rPr>
                <w:rFonts w:ascii="Calibri" w:hAnsi="Calibri"/>
                <w:b/>
                <w:i w:val="0"/>
                <w:color w:val="000000"/>
                <w:sz w:val="17"/>
              </w:rPr>
              <w:t>NFR-009</w:t>
            </w:r>
          </w:p>
        </w:tc>
        <w:tc>
          <w:tcPr>
            <w:tcW w:type="dxa" w:w="1600"/>
          </w:tcPr>
          <w:p>
            <w:pPr>
              <w:spacing w:before="0" w:after="0" w:line="240" w:lineRule="auto"/>
            </w:pPr>
            <w:r/>
            <w:r>
              <w:rPr>
                <w:rFonts w:ascii="Calibri" w:hAnsi="Calibri"/>
                <w:b w:val="0"/>
                <w:i w:val="0"/>
                <w:color w:val="000000"/>
                <w:sz w:val="17"/>
              </w:rPr>
              <w:t>Compatibility</w:t>
            </w:r>
          </w:p>
        </w:tc>
        <w:tc>
          <w:tcPr>
            <w:tcW w:type="dxa" w:w="6760"/>
          </w:tcPr>
          <w:p>
            <w:pPr>
              <w:spacing w:before="0" w:after="0" w:line="240" w:lineRule="auto"/>
            </w:pPr>
            <w:r/>
            <w:r>
              <w:rPr>
                <w:rFonts w:ascii="Calibri" w:hAnsi="Calibri"/>
                <w:b w:val="0"/>
                <w:i w:val="0"/>
                <w:color w:val="000000"/>
                <w:sz w:val="17"/>
              </w:rPr>
              <w:t>Generated PowerPoint files shall be tested against the agreed target applications and shall not be corrupted.</w:t>
            </w:r>
          </w:p>
        </w:tc>
      </w:tr>
      <w:tr>
        <w:tc>
          <w:tcPr>
            <w:tcW w:type="dxa" w:w="1000"/>
          </w:tcPr>
          <w:p>
            <w:pPr>
              <w:spacing w:before="0" w:after="0" w:line="240" w:lineRule="auto"/>
            </w:pPr>
            <w:r/>
            <w:r>
              <w:rPr>
                <w:rFonts w:ascii="Calibri" w:hAnsi="Calibri"/>
                <w:b/>
                <w:i w:val="0"/>
                <w:color w:val="000000"/>
                <w:sz w:val="17"/>
              </w:rPr>
              <w:t>NFR-010</w:t>
            </w:r>
          </w:p>
        </w:tc>
        <w:tc>
          <w:tcPr>
            <w:tcW w:type="dxa" w:w="1600"/>
          </w:tcPr>
          <w:p>
            <w:pPr>
              <w:spacing w:before="0" w:after="0" w:line="240" w:lineRule="auto"/>
            </w:pPr>
            <w:r/>
            <w:r>
              <w:rPr>
                <w:rFonts w:ascii="Calibri" w:hAnsi="Calibri"/>
                <w:b w:val="0"/>
                <w:i w:val="0"/>
                <w:color w:val="000000"/>
                <w:sz w:val="17"/>
              </w:rPr>
              <w:t>Editability</w:t>
            </w:r>
          </w:p>
        </w:tc>
        <w:tc>
          <w:tcPr>
            <w:tcW w:type="dxa" w:w="6760"/>
          </w:tcPr>
          <w:p>
            <w:pPr>
              <w:spacing w:before="0" w:after="0" w:line="240" w:lineRule="auto"/>
            </w:pPr>
            <w:r/>
            <w:r>
              <w:rPr>
                <w:rFonts w:ascii="Calibri" w:hAnsi="Calibri"/>
                <w:b w:val="0"/>
                <w:i w:val="0"/>
                <w:color w:val="000000"/>
                <w:sz w:val="17"/>
              </w:rPr>
              <w:t>The MVP shall define which text, tables, charts, and shapes must remain editable rather than rasterized.</w:t>
            </w:r>
          </w:p>
        </w:tc>
      </w:tr>
      <w:tr>
        <w:tc>
          <w:tcPr>
            <w:tcW w:type="dxa" w:w="1000"/>
          </w:tcPr>
          <w:p>
            <w:pPr>
              <w:spacing w:before="0" w:after="0" w:line="240" w:lineRule="auto"/>
            </w:pPr>
            <w:r/>
            <w:r>
              <w:rPr>
                <w:rFonts w:ascii="Calibri" w:hAnsi="Calibri"/>
                <w:b/>
                <w:i w:val="0"/>
                <w:color w:val="000000"/>
                <w:sz w:val="17"/>
              </w:rPr>
              <w:t>NFR-011</w:t>
            </w:r>
          </w:p>
        </w:tc>
        <w:tc>
          <w:tcPr>
            <w:tcW w:type="dxa" w:w="1600"/>
          </w:tcPr>
          <w:p>
            <w:pPr>
              <w:spacing w:before="0" w:after="0" w:line="240" w:lineRule="auto"/>
            </w:pPr>
            <w:r/>
            <w:r>
              <w:rPr>
                <w:rFonts w:ascii="Calibri" w:hAnsi="Calibri"/>
                <w:b w:val="0"/>
                <w:i w:val="0"/>
                <w:color w:val="000000"/>
                <w:sz w:val="17"/>
              </w:rPr>
              <w:t>Accessibility</w:t>
            </w:r>
          </w:p>
        </w:tc>
        <w:tc>
          <w:tcPr>
            <w:tcW w:type="dxa" w:w="6760"/>
          </w:tcPr>
          <w:p>
            <w:pPr>
              <w:spacing w:before="0" w:after="0" w:line="240" w:lineRule="auto"/>
            </w:pPr>
            <w:r/>
            <w:r>
              <w:rPr>
                <w:rFonts w:ascii="Calibri" w:hAnsi="Calibri"/>
                <w:b w:val="0"/>
                <w:i w:val="0"/>
                <w:color w:val="000000"/>
                <w:sz w:val="17"/>
              </w:rPr>
              <w:t>The basic interface shall support clear labels, keyboard navigation, readable contrast, and actionable errors.</w:t>
            </w:r>
          </w:p>
        </w:tc>
      </w:tr>
      <w:tr>
        <w:tc>
          <w:tcPr>
            <w:tcW w:type="dxa" w:w="1000"/>
          </w:tcPr>
          <w:p>
            <w:pPr>
              <w:spacing w:before="0" w:after="0" w:line="240" w:lineRule="auto"/>
            </w:pPr>
            <w:r/>
            <w:r>
              <w:rPr>
                <w:rFonts w:ascii="Calibri" w:hAnsi="Calibri"/>
                <w:b/>
                <w:i w:val="0"/>
                <w:color w:val="000000"/>
                <w:sz w:val="17"/>
              </w:rPr>
              <w:t>NFR-012</w:t>
            </w:r>
          </w:p>
        </w:tc>
        <w:tc>
          <w:tcPr>
            <w:tcW w:type="dxa" w:w="1600"/>
          </w:tcPr>
          <w:p>
            <w:pPr>
              <w:spacing w:before="0" w:after="0" w:line="240" w:lineRule="auto"/>
            </w:pPr>
            <w:r/>
            <w:r>
              <w:rPr>
                <w:rFonts w:ascii="Calibri" w:hAnsi="Calibri"/>
                <w:b w:val="0"/>
                <w:i w:val="0"/>
                <w:color w:val="000000"/>
                <w:sz w:val="17"/>
              </w:rPr>
              <w:t>Scalability</w:t>
            </w:r>
          </w:p>
        </w:tc>
        <w:tc>
          <w:tcPr>
            <w:tcW w:type="dxa" w:w="6760"/>
          </w:tcPr>
          <w:p>
            <w:pPr>
              <w:spacing w:before="0" w:after="0" w:line="240" w:lineRule="auto"/>
            </w:pPr>
            <w:r/>
            <w:r>
              <w:rPr>
                <w:rFonts w:ascii="Calibri" w:hAnsi="Calibri"/>
                <w:b w:val="0"/>
                <w:i w:val="0"/>
                <w:color w:val="000000"/>
                <w:sz w:val="17"/>
              </w:rPr>
              <w:t>Long-running generation shall be isolated from synchronous request handling and capable of moving to workers as demand grows.</w:t>
            </w:r>
          </w:p>
        </w:tc>
      </w:tr>
    </w:tbl>
    <w:p>
      <w:pPr>
        <w:spacing w:after="0"/>
      </w:pPr>
    </w:p>
    <w:p>
      <w:pPr>
        <w:pStyle w:val="Heading1"/>
        <w:keepNext/>
      </w:pPr>
      <w:r>
        <w:rPr>
          <w:rFonts w:ascii="Calibri" w:hAnsi="Calibri"/>
          <w:b/>
          <w:i w:val="0"/>
          <w:color w:val="2E74B5"/>
          <w:sz w:val="32"/>
        </w:rPr>
        <w:t>7. Logical Solution Concept</w:t>
      </w:r>
    </w:p>
    <w:p>
      <w:pPr>
        <w:pStyle w:val="Heading2"/>
        <w:keepNext/>
      </w:pPr>
      <w:r>
        <w:rPr>
          <w:rFonts w:ascii="Calibri" w:hAnsi="Calibri"/>
          <w:b/>
          <w:i w:val="0"/>
          <w:color w:val="2E74B5"/>
          <w:sz w:val="26"/>
        </w:rPr>
        <w:t>7.1 Provisional Components</w:t>
      </w:r>
    </w:p>
    <w:p>
      <w:pPr>
        <w:widowControl/>
        <w:numPr>
          <w:ilvl w:val="0"/>
          <w:numId w:val="10"/>
        </w:numPr>
        <w:spacing w:before="0" w:after="160" w:line="280" w:lineRule="auto"/>
      </w:pPr>
      <w:r>
        <w:rPr>
          <w:rFonts w:ascii="Calibri" w:hAnsi="Calibri"/>
          <w:b/>
          <w:i w:val="0"/>
          <w:color w:val="000000"/>
          <w:sz w:val="22"/>
        </w:rPr>
        <w:t>Experience layer:</w:t>
      </w:r>
      <w:r>
        <w:rPr>
          <w:rFonts w:ascii="Calibri" w:hAnsi="Calibri"/>
          <w:b w:val="0"/>
          <w:i w:val="0"/>
          <w:color w:val="000000"/>
          <w:sz w:val="22"/>
        </w:rPr>
        <w:t xml:space="preserve"> A basic web interface for authentication, input, job progress, preview, and download.</w:t>
      </w:r>
    </w:p>
    <w:p>
      <w:pPr>
        <w:widowControl/>
        <w:numPr>
          <w:ilvl w:val="0"/>
          <w:numId w:val="10"/>
        </w:numPr>
        <w:spacing w:before="0" w:after="160" w:line="280" w:lineRule="auto"/>
      </w:pPr>
      <w:r>
        <w:rPr>
          <w:rFonts w:ascii="Calibri" w:hAnsi="Calibri"/>
          <w:b/>
          <w:i w:val="0"/>
          <w:color w:val="000000"/>
          <w:sz w:val="22"/>
        </w:rPr>
        <w:t>Application and orchestration layer:</w:t>
      </w:r>
      <w:r>
        <w:rPr>
          <w:rFonts w:ascii="Calibri" w:hAnsi="Calibri"/>
          <w:b w:val="0"/>
          <w:i w:val="0"/>
          <w:color w:val="000000"/>
          <w:sz w:val="22"/>
        </w:rPr>
        <w:t xml:space="preserve"> A provisional FastAPI-based service for jobs, extraction coordination, analysis, validation, subscriptions, and artifact management.</w:t>
      </w:r>
    </w:p>
    <w:p>
      <w:pPr>
        <w:widowControl/>
        <w:numPr>
          <w:ilvl w:val="0"/>
          <w:numId w:val="10"/>
        </w:numPr>
        <w:spacing w:before="0" w:after="160" w:line="280" w:lineRule="auto"/>
      </w:pPr>
      <w:r>
        <w:rPr>
          <w:rFonts w:ascii="Calibri" w:hAnsi="Calibri"/>
          <w:b/>
          <w:i w:val="0"/>
          <w:color w:val="000000"/>
          <w:sz w:val="22"/>
        </w:rPr>
        <w:t>Extraction layer:</w:t>
      </w:r>
      <w:r>
        <w:rPr>
          <w:rFonts w:ascii="Calibri" w:hAnsi="Calibri"/>
          <w:b w:val="0"/>
          <w:i w:val="0"/>
          <w:color w:val="000000"/>
          <w:sz w:val="22"/>
        </w:rPr>
        <w:t xml:space="preserve"> Deterministic parsers and optional OCR for supported files, tables, and source references.</w:t>
      </w:r>
    </w:p>
    <w:p>
      <w:pPr>
        <w:widowControl/>
        <w:numPr>
          <w:ilvl w:val="0"/>
          <w:numId w:val="10"/>
        </w:numPr>
        <w:spacing w:before="0" w:after="160" w:line="280" w:lineRule="auto"/>
      </w:pPr>
      <w:r>
        <w:rPr>
          <w:rFonts w:ascii="Calibri" w:hAnsi="Calibri"/>
          <w:b/>
          <w:i w:val="0"/>
          <w:color w:val="000000"/>
          <w:sz w:val="22"/>
        </w:rPr>
        <w:t>Retrieval layer:</w:t>
      </w:r>
      <w:r>
        <w:rPr>
          <w:rFonts w:ascii="Calibri" w:hAnsi="Calibri"/>
          <w:b w:val="0"/>
          <w:i w:val="0"/>
          <w:color w:val="000000"/>
          <w:sz w:val="22"/>
        </w:rPr>
        <w:t xml:space="preserve"> Per-document chunking and retrieval; persistent vector storage only when cross-document value is demonstrated.</w:t>
      </w:r>
    </w:p>
    <w:p>
      <w:pPr>
        <w:widowControl/>
        <w:numPr>
          <w:ilvl w:val="0"/>
          <w:numId w:val="10"/>
        </w:numPr>
        <w:spacing w:before="0" w:after="160" w:line="280" w:lineRule="auto"/>
      </w:pPr>
      <w:r>
        <w:rPr>
          <w:rFonts w:ascii="Calibri" w:hAnsi="Calibri"/>
          <w:b/>
          <w:i w:val="0"/>
          <w:color w:val="000000"/>
          <w:sz w:val="22"/>
        </w:rPr>
        <w:t>Analysis layer:</w:t>
      </w:r>
      <w:r>
        <w:rPr>
          <w:rFonts w:ascii="Calibri" w:hAnsi="Calibri"/>
          <w:b w:val="0"/>
          <w:i w:val="0"/>
          <w:color w:val="000000"/>
          <w:sz w:val="22"/>
        </w:rPr>
        <w:t xml:space="preserve"> A cost-efficient API or local model producing a strict business-analysis schema, with selective fallback.</w:t>
      </w:r>
    </w:p>
    <w:p>
      <w:pPr>
        <w:widowControl/>
        <w:numPr>
          <w:ilvl w:val="0"/>
          <w:numId w:val="10"/>
        </w:numPr>
        <w:spacing w:before="0" w:after="160" w:line="280" w:lineRule="auto"/>
      </w:pPr>
      <w:r>
        <w:rPr>
          <w:rFonts w:ascii="Calibri" w:hAnsi="Calibri"/>
          <w:b/>
          <w:i w:val="0"/>
          <w:color w:val="000000"/>
          <w:sz w:val="22"/>
        </w:rPr>
        <w:t>Validation layer:</w:t>
      </w:r>
      <w:r>
        <w:rPr>
          <w:rFonts w:ascii="Calibri" w:hAnsi="Calibri"/>
          <w:b w:val="0"/>
          <w:i w:val="0"/>
          <w:color w:val="000000"/>
          <w:sz w:val="22"/>
        </w:rPr>
        <w:t xml:space="preserve"> Financial rules, schema validation, citation checks, confidence gates, and unsupported-claim detection.</w:t>
      </w:r>
    </w:p>
    <w:p>
      <w:pPr>
        <w:widowControl/>
        <w:numPr>
          <w:ilvl w:val="0"/>
          <w:numId w:val="10"/>
        </w:numPr>
        <w:spacing w:before="0" w:after="160" w:line="280" w:lineRule="auto"/>
      </w:pPr>
      <w:r>
        <w:rPr>
          <w:rFonts w:ascii="Calibri" w:hAnsi="Calibri"/>
          <w:b/>
          <w:i w:val="0"/>
          <w:color w:val="000000"/>
          <w:sz w:val="22"/>
        </w:rPr>
        <w:t>Presentation harness:</w:t>
      </w:r>
      <w:r>
        <w:rPr>
          <w:rFonts w:ascii="Calibri" w:hAnsi="Calibri"/>
          <w:b w:val="0"/>
          <w:i w:val="0"/>
          <w:color w:val="000000"/>
          <w:sz w:val="22"/>
        </w:rPr>
        <w:t xml:space="preserve"> Layout registry, slot limits, HTML compiler, sanitizer, browser preflight, deterministic fitting, and targeted repair.</w:t>
      </w:r>
    </w:p>
    <w:p>
      <w:pPr>
        <w:widowControl/>
        <w:numPr>
          <w:ilvl w:val="0"/>
          <w:numId w:val="10"/>
        </w:numPr>
        <w:spacing w:before="0" w:after="160" w:line="280" w:lineRule="auto"/>
      </w:pPr>
      <w:r>
        <w:rPr>
          <w:rFonts w:ascii="Calibri" w:hAnsi="Calibri"/>
          <w:b/>
          <w:i w:val="0"/>
          <w:color w:val="000000"/>
          <w:sz w:val="22"/>
        </w:rPr>
        <w:t>Renderer adapter:</w:t>
      </w:r>
      <w:r>
        <w:rPr>
          <w:rFonts w:ascii="Calibri" w:hAnsi="Calibri"/>
          <w:b w:val="0"/>
          <w:i w:val="0"/>
          <w:color w:val="000000"/>
          <w:sz w:val="22"/>
        </w:rPr>
        <w:t xml:space="preserve"> A Node/npm component that converts compatible HTML or controlled presentation elements into PowerPoint.</w:t>
      </w:r>
    </w:p>
    <w:p>
      <w:pPr>
        <w:widowControl/>
        <w:numPr>
          <w:ilvl w:val="0"/>
          <w:numId w:val="10"/>
        </w:numPr>
        <w:spacing w:before="0" w:after="160" w:line="280" w:lineRule="auto"/>
      </w:pPr>
      <w:r>
        <w:rPr>
          <w:rFonts w:ascii="Calibri" w:hAnsi="Calibri"/>
          <w:b/>
          <w:i w:val="0"/>
          <w:color w:val="000000"/>
          <w:sz w:val="22"/>
        </w:rPr>
        <w:t>Platform services:</w:t>
      </w:r>
      <w:r>
        <w:rPr>
          <w:rFonts w:ascii="Calibri" w:hAnsi="Calibri"/>
          <w:b w:val="0"/>
          <w:i w:val="0"/>
          <w:color w:val="000000"/>
          <w:sz w:val="22"/>
        </w:rPr>
        <w:t xml:space="preserve"> Relational data, object storage, usage metering, billing integration, telemetry, and configurable retention.</w:t>
      </w:r>
    </w:p>
    <w:p>
      <w:pPr>
        <w:pStyle w:val="Heading2"/>
        <w:keepNext/>
      </w:pPr>
      <w:r>
        <w:rPr>
          <w:rFonts w:ascii="Calibri" w:hAnsi="Calibri"/>
          <w:b/>
          <w:i w:val="0"/>
          <w:color w:val="2E74B5"/>
          <w:sz w:val="26"/>
        </w:rPr>
        <w:t>7.2 Model Strategy</w:t>
      </w:r>
    </w:p>
    <w:p>
      <w:pPr>
        <w:widowControl/>
        <w:spacing w:before="0" w:after="120" w:line="264" w:lineRule="auto"/>
      </w:pPr>
      <w:r>
        <w:rPr>
          <w:rFonts w:ascii="Calibri" w:hAnsi="Calibri"/>
          <w:b w:val="0"/>
          <w:i w:val="0"/>
          <w:color w:val="000000"/>
          <w:sz w:val="22"/>
        </w:rPr>
        <w:t>The default strategy is not to select the most capable model. It is to select the cheapest model that passes the product's domain evaluation. Candidate API and local models will be tested on anonymized representative reports. Quality gates will cover numeric accuracy, units and periods, citation correctness, important finding recall, unsupported claims, structured-output validity, latency, and cost.</w:t>
      </w:r>
    </w:p>
    <w:p>
      <w:pPr>
        <w:widowControl/>
        <w:spacing w:before="0" w:after="120" w:line="264" w:lineRule="auto"/>
      </w:pPr>
      <w:r>
        <w:rPr>
          <w:rFonts w:ascii="Calibri" w:hAnsi="Calibri"/>
          <w:b w:val="0"/>
          <w:i w:val="0"/>
          <w:color w:val="000000"/>
          <w:sz w:val="22"/>
        </w:rPr>
        <w:t>A local model is attractive for privacy and high-volume economics, but is not assumed to be cheaper at low volume once hardware, idle capacity, operations, and latency are included. The product shall remain model-agnostic and support a low-cost primary route plus selective escalation.</w:t>
      </w:r>
    </w:p>
    <w:p>
      <w:pPr>
        <w:pStyle w:val="Heading2"/>
        <w:keepNext/>
      </w:pPr>
      <w:r>
        <w:rPr>
          <w:rFonts w:ascii="Calibri" w:hAnsi="Calibri"/>
          <w:b/>
          <w:i w:val="0"/>
          <w:color w:val="2E74B5"/>
          <w:sz w:val="26"/>
        </w:rPr>
        <w:t>7.3 Harness Strategy</w:t>
      </w:r>
    </w:p>
    <w:p>
      <w:pPr>
        <w:widowControl/>
        <w:numPr>
          <w:ilvl w:val="0"/>
          <w:numId w:val="10"/>
        </w:numPr>
        <w:spacing w:before="0" w:after="160" w:line="280" w:lineRule="auto"/>
      </w:pPr>
      <w:r>
        <w:rPr>
          <w:rFonts w:ascii="Calibri" w:hAnsi="Calibri"/>
          <w:b w:val="0"/>
          <w:i w:val="0"/>
          <w:color w:val="000000"/>
          <w:sz w:val="22"/>
        </w:rPr>
        <w:t>Compile model JSON into HTML; do not trust unrestricted model-generated HTML.</w:t>
      </w:r>
    </w:p>
    <w:p>
      <w:pPr>
        <w:widowControl/>
        <w:numPr>
          <w:ilvl w:val="0"/>
          <w:numId w:val="10"/>
        </w:numPr>
        <w:spacing w:before="0" w:after="160" w:line="280" w:lineRule="auto"/>
      </w:pPr>
      <w:r>
        <w:rPr>
          <w:rFonts w:ascii="Calibri" w:hAnsi="Calibri"/>
          <w:b w:val="0"/>
          <w:i w:val="0"/>
          <w:color w:val="000000"/>
          <w:sz w:val="22"/>
        </w:rPr>
        <w:t>Whitelist layouts, tags, CSS properties, fonts, assets, chart types, and component counts.</w:t>
      </w:r>
    </w:p>
    <w:p>
      <w:pPr>
        <w:widowControl/>
        <w:numPr>
          <w:ilvl w:val="0"/>
          <w:numId w:val="10"/>
        </w:numPr>
        <w:spacing w:before="0" w:after="160" w:line="280" w:lineRule="auto"/>
      </w:pPr>
      <w:r>
        <w:rPr>
          <w:rFonts w:ascii="Calibri" w:hAnsi="Calibri"/>
          <w:b w:val="0"/>
          <w:i w:val="0"/>
          <w:color w:val="000000"/>
          <w:sz w:val="22"/>
        </w:rPr>
        <w:t>Apply slot-specific character and data limits before browser rendering.</w:t>
      </w:r>
    </w:p>
    <w:p>
      <w:pPr>
        <w:widowControl/>
        <w:numPr>
          <w:ilvl w:val="0"/>
          <w:numId w:val="10"/>
        </w:numPr>
        <w:spacing w:before="0" w:after="160" w:line="280" w:lineRule="auto"/>
      </w:pPr>
      <w:r>
        <w:rPr>
          <w:rFonts w:ascii="Calibri" w:hAnsi="Calibri"/>
          <w:b w:val="0"/>
          <w:i w:val="0"/>
          <w:color w:val="000000"/>
          <w:sz w:val="22"/>
        </w:rPr>
        <w:t>Detect browser layout defects through computed geometry, not visual guesswork alone.</w:t>
      </w:r>
    </w:p>
    <w:p>
      <w:pPr>
        <w:widowControl/>
        <w:numPr>
          <w:ilvl w:val="0"/>
          <w:numId w:val="10"/>
        </w:numPr>
        <w:spacing w:before="0" w:after="160" w:line="280" w:lineRule="auto"/>
      </w:pPr>
      <w:r>
        <w:rPr>
          <w:rFonts w:ascii="Calibri" w:hAnsi="Calibri"/>
          <w:b w:val="0"/>
          <w:i w:val="0"/>
          <w:color w:val="000000"/>
          <w:sz w:val="22"/>
        </w:rPr>
        <w:t>Repair in order: spacing, approved font reduction, alternate layout, slide split, then targeted model shortening.</w:t>
      </w:r>
    </w:p>
    <w:p>
      <w:pPr>
        <w:widowControl/>
        <w:numPr>
          <w:ilvl w:val="0"/>
          <w:numId w:val="10"/>
        </w:numPr>
        <w:spacing w:before="0" w:after="160" w:line="280" w:lineRule="auto"/>
      </w:pPr>
      <w:r>
        <w:rPr>
          <w:rFonts w:ascii="Calibri" w:hAnsi="Calibri"/>
          <w:b w:val="0"/>
          <w:i w:val="0"/>
          <w:color w:val="000000"/>
          <w:sz w:val="22"/>
        </w:rPr>
        <w:t>Run golden fixtures, image snapshots, structural presentation checks, and open-file validation in continuous integration.</w:t>
      </w:r>
    </w:p>
    <w:p>
      <w:r>
        <w:br w:type="page"/>
      </w:r>
    </w:p>
    <w:p>
      <w:pPr>
        <w:pStyle w:val="Heading1"/>
        <w:keepNext/>
      </w:pPr>
      <w:r>
        <w:rPr>
          <w:rFonts w:ascii="Calibri" w:hAnsi="Calibri"/>
          <w:b/>
          <w:i w:val="0"/>
          <w:color w:val="2E74B5"/>
          <w:sz w:val="32"/>
        </w:rPr>
        <w:t>8. Subscription and Commercial Requirements</w:t>
      </w:r>
    </w:p>
    <w:p>
      <w:pPr>
        <w:pStyle w:val="Heading2"/>
        <w:keepNext/>
      </w:pPr>
      <w:r>
        <w:rPr>
          <w:rFonts w:ascii="Calibri" w:hAnsi="Calibri"/>
          <w:b/>
          <w:i w:val="0"/>
          <w:color w:val="2E74B5"/>
          <w:sz w:val="26"/>
        </w:rPr>
        <w:t>8.1 Business Model</w:t>
      </w:r>
    </w:p>
    <w:p>
      <w:pPr>
        <w:widowControl/>
        <w:spacing w:before="0" w:after="120" w:line="264" w:lineRule="auto"/>
      </w:pPr>
      <w:r>
        <w:rPr>
          <w:rFonts w:ascii="Calibri" w:hAnsi="Calibri"/>
          <w:b w:val="0"/>
          <w:i w:val="0"/>
          <w:color w:val="000000"/>
          <w:sz w:val="22"/>
        </w:rPr>
        <w:t>The intended model is a recurring subscription with explicit generation allowances. The offer should be materially cheaper than heavy general-purpose AI plans for the target use case, yet not priced so low that business customers question quality, privacy, or sustainability. The product should be positioned as specialized and reliable rather than merely the cheapest option.</w:t>
      </w:r>
    </w:p>
    <w:p>
      <w:pPr>
        <w:widowControl/>
        <w:numPr>
          <w:ilvl w:val="0"/>
          <w:numId w:val="10"/>
        </w:numPr>
        <w:spacing w:before="0" w:after="160" w:line="280" w:lineRule="auto"/>
      </w:pPr>
      <w:r>
        <w:rPr>
          <w:rFonts w:ascii="Calibri" w:hAnsi="Calibri"/>
          <w:b w:val="0"/>
          <w:i w:val="0"/>
          <w:color w:val="000000"/>
          <w:sz w:val="22"/>
        </w:rPr>
        <w:t>Offer a clear monthly allowance based on standard reports and standard deck lengths.</w:t>
      </w:r>
    </w:p>
    <w:p>
      <w:pPr>
        <w:widowControl/>
        <w:numPr>
          <w:ilvl w:val="0"/>
          <w:numId w:val="10"/>
        </w:numPr>
        <w:spacing w:before="0" w:after="160" w:line="280" w:lineRule="auto"/>
      </w:pPr>
      <w:r>
        <w:rPr>
          <w:rFonts w:ascii="Calibri" w:hAnsi="Calibri"/>
          <w:b w:val="0"/>
          <w:i w:val="0"/>
          <w:color w:val="000000"/>
          <w:sz w:val="22"/>
        </w:rPr>
        <w:t>Define page, slide, file-size, repair, and regeneration limits for predictable costs.</w:t>
      </w:r>
    </w:p>
    <w:p>
      <w:pPr>
        <w:widowControl/>
        <w:numPr>
          <w:ilvl w:val="0"/>
          <w:numId w:val="10"/>
        </w:numPr>
        <w:spacing w:before="0" w:after="160" w:line="280" w:lineRule="auto"/>
      </w:pPr>
      <w:r>
        <w:rPr>
          <w:rFonts w:ascii="Calibri" w:hAnsi="Calibri"/>
          <w:b w:val="0"/>
          <w:i w:val="0"/>
          <w:color w:val="000000"/>
          <w:sz w:val="22"/>
        </w:rPr>
        <w:t>Avoid unlimited generation during early stages.</w:t>
      </w:r>
    </w:p>
    <w:p>
      <w:pPr>
        <w:widowControl/>
        <w:numPr>
          <w:ilvl w:val="0"/>
          <w:numId w:val="10"/>
        </w:numPr>
        <w:spacing w:before="0" w:after="160" w:line="280" w:lineRule="auto"/>
      </w:pPr>
      <w:r>
        <w:rPr>
          <w:rFonts w:ascii="Calibri" w:hAnsi="Calibri"/>
          <w:b w:val="0"/>
          <w:i w:val="0"/>
          <w:color w:val="000000"/>
          <w:sz w:val="22"/>
        </w:rPr>
        <w:t>Price larger reports, additional decks, custom templates, and team capabilities separately or at higher tiers.</w:t>
      </w:r>
    </w:p>
    <w:p>
      <w:pPr>
        <w:widowControl/>
        <w:numPr>
          <w:ilvl w:val="0"/>
          <w:numId w:val="10"/>
        </w:numPr>
        <w:spacing w:before="0" w:after="160" w:line="280" w:lineRule="auto"/>
      </w:pPr>
      <w:r>
        <w:rPr>
          <w:rFonts w:ascii="Calibri" w:hAnsi="Calibri"/>
          <w:b w:val="0"/>
          <w:i w:val="0"/>
          <w:color w:val="000000"/>
          <w:sz w:val="22"/>
        </w:rPr>
        <w:t>Show customers what counts as a generation and when an additional allowance will be used.</w:t>
      </w:r>
    </w:p>
    <w:p>
      <w:pPr>
        <w:widowControl/>
        <w:numPr>
          <w:ilvl w:val="0"/>
          <w:numId w:val="10"/>
        </w:numPr>
        <w:spacing w:before="0" w:after="160" w:line="280" w:lineRule="auto"/>
      </w:pPr>
      <w:r>
        <w:rPr>
          <w:rFonts w:ascii="Calibri" w:hAnsi="Calibri"/>
          <w:b w:val="0"/>
          <w:i w:val="0"/>
          <w:color w:val="000000"/>
          <w:sz w:val="22"/>
        </w:rPr>
        <w:t>Use actual job-cost telemetry before finalizing plan allowances and margins.</w:t>
      </w:r>
    </w:p>
    <w:p>
      <w:pPr>
        <w:widowControl/>
        <w:numPr>
          <w:ilvl w:val="0"/>
          <w:numId w:val="10"/>
        </w:numPr>
        <w:spacing w:before="0" w:after="160" w:line="280" w:lineRule="auto"/>
      </w:pPr>
      <w:r>
        <w:rPr>
          <w:rFonts w:ascii="Calibri" w:hAnsi="Calibri"/>
          <w:b w:val="0"/>
          <w:i w:val="0"/>
          <w:color w:val="000000"/>
          <w:sz w:val="22"/>
        </w:rPr>
        <w:t>Keep targeted text or layout corrections cheaper than full re-analysis and regeneration.</w:t>
      </w:r>
    </w:p>
    <w:p>
      <w:pPr>
        <w:pStyle w:val="Heading2"/>
        <w:keepNext/>
      </w:pPr>
      <w:r>
        <w:rPr>
          <w:rFonts w:ascii="Calibri" w:hAnsi="Calibri"/>
          <w:b/>
          <w:i w:val="0"/>
          <w:color w:val="2E74B5"/>
          <w:sz w:val="26"/>
        </w:rPr>
        <w:t>8.2 Working Unit-Economics Guardrails</w:t>
      </w:r>
    </w:p>
    <w:tbl>
      <w:tblPr>
        <w:tblW w:type="dxa" w:w="9360"/>
        <w:jc w:val="left"/>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1900"/>
        <w:gridCol w:w="2600"/>
        <w:gridCol w:w="4860"/>
      </w:tblGrid>
      <w:tr>
        <w:trPr>
          <w:cantSplit/>
          <w:tblHeader w:val="true"/>
        </w:trPr>
        <w:tc>
          <w:tcPr>
            <w:tcW w:type="dxa" w:w="1900"/>
            <w:vAlign w:val="top"/>
            <w:tcMar>
              <w:top w:w="80" w:type="dxa"/>
              <w:start w:w="120" w:type="dxa"/>
              <w:bottom w:w="80" w:type="dxa"/>
              <w:end w:w="120" w:type="dxa"/>
            </w:tcMar>
            <w:shd w:fill="F2F4F7"/>
          </w:tcPr>
          <w:p>
            <w:pPr>
              <w:spacing w:before="0" w:after="0" w:line="240" w:lineRule="auto"/>
            </w:pPr>
            <w:r/>
            <w:r>
              <w:rPr>
                <w:rFonts w:ascii="Calibri" w:hAnsi="Calibri"/>
                <w:b/>
                <w:i w:val="0"/>
                <w:color w:val="0B2545"/>
                <w:sz w:val="18"/>
              </w:rPr>
              <w:t>Area</w:t>
            </w:r>
          </w:p>
        </w:tc>
        <w:tc>
          <w:tcPr>
            <w:tcW w:type="dxa" w:w="2600"/>
            <w:vAlign w:val="top"/>
            <w:tcMar>
              <w:top w:w="80" w:type="dxa"/>
              <w:start w:w="120" w:type="dxa"/>
              <w:bottom w:w="80" w:type="dxa"/>
              <w:end w:w="120" w:type="dxa"/>
            </w:tcMar>
            <w:shd w:fill="F2F4F7"/>
          </w:tcPr>
          <w:p>
            <w:pPr>
              <w:spacing w:before="0" w:after="0" w:line="240" w:lineRule="auto"/>
            </w:pPr>
            <w:r/>
            <w:r>
              <w:rPr>
                <w:rFonts w:ascii="Calibri" w:hAnsi="Calibri"/>
                <w:b/>
                <w:i w:val="0"/>
                <w:color w:val="0B2545"/>
                <w:sz w:val="18"/>
              </w:rPr>
              <w:t>Working guardrail</w:t>
            </w:r>
          </w:p>
        </w:tc>
        <w:tc>
          <w:tcPr>
            <w:tcW w:type="dxa" w:w="4860"/>
            <w:vAlign w:val="top"/>
            <w:tcMar>
              <w:top w:w="80" w:type="dxa"/>
              <w:start w:w="120" w:type="dxa"/>
              <w:bottom w:w="80" w:type="dxa"/>
              <w:end w:w="120" w:type="dxa"/>
            </w:tcMar>
            <w:shd w:fill="F2F4F7"/>
          </w:tcPr>
          <w:p>
            <w:pPr>
              <w:spacing w:before="0" w:after="0" w:line="240" w:lineRule="auto"/>
            </w:pPr>
            <w:r/>
            <w:r>
              <w:rPr>
                <w:rFonts w:ascii="Calibri" w:hAnsi="Calibri"/>
                <w:b/>
                <w:i w:val="0"/>
                <w:color w:val="0B2545"/>
                <w:sz w:val="18"/>
              </w:rPr>
              <w:t>Reason</w:t>
            </w:r>
          </w:p>
        </w:tc>
      </w:tr>
      <w:tr>
        <w:tc>
          <w:tcPr>
            <w:tcW w:type="dxa" w:w="1900"/>
          </w:tcPr>
          <w:p>
            <w:pPr>
              <w:spacing w:before="0" w:after="0" w:line="240" w:lineRule="auto"/>
            </w:pPr>
            <w:r/>
            <w:r>
              <w:rPr>
                <w:rFonts w:ascii="Calibri" w:hAnsi="Calibri"/>
                <w:b/>
                <w:i w:val="0"/>
                <w:color w:val="000000"/>
                <w:sz w:val="18"/>
              </w:rPr>
              <w:t>Primary model</w:t>
            </w:r>
          </w:p>
        </w:tc>
        <w:tc>
          <w:tcPr>
            <w:tcW w:type="dxa" w:w="2600"/>
          </w:tcPr>
          <w:p>
            <w:pPr>
              <w:spacing w:before="0" w:after="0" w:line="240" w:lineRule="auto"/>
            </w:pPr>
            <w:r/>
            <w:r>
              <w:rPr>
                <w:rFonts w:ascii="Calibri" w:hAnsi="Calibri"/>
                <w:b w:val="0"/>
                <w:i w:val="0"/>
                <w:color w:val="000000"/>
                <w:sz w:val="18"/>
              </w:rPr>
              <w:t>Target below $0.10 for a normal analysis</w:t>
            </w:r>
          </w:p>
        </w:tc>
        <w:tc>
          <w:tcPr>
            <w:tcW w:type="dxa" w:w="4860"/>
          </w:tcPr>
          <w:p>
            <w:pPr>
              <w:spacing w:before="0" w:after="0" w:line="240" w:lineRule="auto"/>
            </w:pPr>
            <w:r/>
            <w:r>
              <w:rPr>
                <w:rFonts w:ascii="Calibri" w:hAnsi="Calibri"/>
                <w:b w:val="0"/>
                <w:i w:val="0"/>
                <w:color w:val="000000"/>
                <w:sz w:val="18"/>
              </w:rPr>
              <w:t>Encourages strict retrieval, concise output, and cheap-model benchmarking.</w:t>
            </w:r>
          </w:p>
        </w:tc>
      </w:tr>
      <w:tr>
        <w:tc>
          <w:tcPr>
            <w:tcW w:type="dxa" w:w="1900"/>
          </w:tcPr>
          <w:p>
            <w:pPr>
              <w:spacing w:before="0" w:after="0" w:line="240" w:lineRule="auto"/>
            </w:pPr>
            <w:r/>
            <w:r>
              <w:rPr>
                <w:rFonts w:ascii="Calibri" w:hAnsi="Calibri"/>
                <w:b/>
                <w:i w:val="0"/>
                <w:color w:val="000000"/>
                <w:sz w:val="18"/>
              </w:rPr>
              <w:t>All-in variable cost</w:t>
            </w:r>
          </w:p>
        </w:tc>
        <w:tc>
          <w:tcPr>
            <w:tcW w:type="dxa" w:w="2600"/>
          </w:tcPr>
          <w:p>
            <w:pPr>
              <w:spacing w:before="0" w:after="0" w:line="240" w:lineRule="auto"/>
            </w:pPr>
            <w:r/>
            <w:r>
              <w:rPr>
                <w:rFonts w:ascii="Calibri" w:hAnsi="Calibri"/>
                <w:b w:val="0"/>
                <w:i w:val="0"/>
                <w:color w:val="000000"/>
                <w:sz w:val="18"/>
              </w:rPr>
              <w:t>Budget conservatively below $2.50 per standard deck until measured</w:t>
            </w:r>
          </w:p>
        </w:tc>
        <w:tc>
          <w:tcPr>
            <w:tcW w:type="dxa" w:w="4860"/>
          </w:tcPr>
          <w:p>
            <w:pPr>
              <w:spacing w:before="0" w:after="0" w:line="240" w:lineRule="auto"/>
            </w:pPr>
            <w:r/>
            <w:r>
              <w:rPr>
                <w:rFonts w:ascii="Calibri" w:hAnsi="Calibri"/>
                <w:b w:val="0"/>
                <w:i w:val="0"/>
                <w:color w:val="000000"/>
                <w:sz w:val="18"/>
              </w:rPr>
              <w:t>Allows for extraction, storage, render, retries, and operational uncertainty.</w:t>
            </w:r>
          </w:p>
        </w:tc>
      </w:tr>
      <w:tr>
        <w:tc>
          <w:tcPr>
            <w:tcW w:type="dxa" w:w="1900"/>
          </w:tcPr>
          <w:p>
            <w:pPr>
              <w:spacing w:before="0" w:after="0" w:line="240" w:lineRule="auto"/>
            </w:pPr>
            <w:r/>
            <w:r>
              <w:rPr>
                <w:rFonts w:ascii="Calibri" w:hAnsi="Calibri"/>
                <w:b/>
                <w:i w:val="0"/>
                <w:color w:val="000000"/>
                <w:sz w:val="18"/>
              </w:rPr>
              <w:t>Repair policy</w:t>
            </w:r>
          </w:p>
        </w:tc>
        <w:tc>
          <w:tcPr>
            <w:tcW w:type="dxa" w:w="2600"/>
          </w:tcPr>
          <w:p>
            <w:pPr>
              <w:spacing w:before="0" w:after="0" w:line="240" w:lineRule="auto"/>
            </w:pPr>
            <w:r/>
            <w:r>
              <w:rPr>
                <w:rFonts w:ascii="Calibri" w:hAnsi="Calibri"/>
                <w:b w:val="0"/>
                <w:i w:val="0"/>
                <w:color w:val="000000"/>
                <w:sz w:val="18"/>
              </w:rPr>
              <w:t>Bounded and targeted</w:t>
            </w:r>
          </w:p>
        </w:tc>
        <w:tc>
          <w:tcPr>
            <w:tcW w:type="dxa" w:w="4860"/>
          </w:tcPr>
          <w:p>
            <w:pPr>
              <w:spacing w:before="0" w:after="0" w:line="240" w:lineRule="auto"/>
            </w:pPr>
            <w:r/>
            <w:r>
              <w:rPr>
                <w:rFonts w:ascii="Calibri" w:hAnsi="Calibri"/>
                <w:b w:val="0"/>
                <w:i w:val="0"/>
                <w:color w:val="000000"/>
                <w:sz w:val="18"/>
              </w:rPr>
              <w:t>Prevents repeated full-document model calls and uncontrolled cost.</w:t>
            </w:r>
          </w:p>
        </w:tc>
      </w:tr>
      <w:tr>
        <w:tc>
          <w:tcPr>
            <w:tcW w:type="dxa" w:w="1900"/>
          </w:tcPr>
          <w:p>
            <w:pPr>
              <w:spacing w:before="0" w:after="0" w:line="240" w:lineRule="auto"/>
            </w:pPr>
            <w:r/>
            <w:r>
              <w:rPr>
                <w:rFonts w:ascii="Calibri" w:hAnsi="Calibri"/>
                <w:b/>
                <w:i w:val="0"/>
                <w:color w:val="000000"/>
                <w:sz w:val="18"/>
              </w:rPr>
              <w:t>Subscription allowance</w:t>
            </w:r>
          </w:p>
        </w:tc>
        <w:tc>
          <w:tcPr>
            <w:tcW w:type="dxa" w:w="2600"/>
          </w:tcPr>
          <w:p>
            <w:pPr>
              <w:spacing w:before="0" w:after="0" w:line="240" w:lineRule="auto"/>
            </w:pPr>
            <w:r/>
            <w:r>
              <w:rPr>
                <w:rFonts w:ascii="Calibri" w:hAnsi="Calibri"/>
                <w:b w:val="0"/>
                <w:i w:val="0"/>
                <w:color w:val="000000"/>
                <w:sz w:val="18"/>
              </w:rPr>
              <w:t>Metered; no early unlimited plan</w:t>
            </w:r>
          </w:p>
        </w:tc>
        <w:tc>
          <w:tcPr>
            <w:tcW w:type="dxa" w:w="4860"/>
          </w:tcPr>
          <w:p>
            <w:pPr>
              <w:spacing w:before="0" w:after="0" w:line="240" w:lineRule="auto"/>
            </w:pPr>
            <w:r/>
            <w:r>
              <w:rPr>
                <w:rFonts w:ascii="Calibri" w:hAnsi="Calibri"/>
                <w:b w:val="0"/>
                <w:i w:val="0"/>
                <w:color w:val="000000"/>
                <w:sz w:val="18"/>
              </w:rPr>
              <w:t>Protects margin and creates useful demand data.</w:t>
            </w:r>
          </w:p>
        </w:tc>
      </w:tr>
      <w:tr>
        <w:tc>
          <w:tcPr>
            <w:tcW w:type="dxa" w:w="1900"/>
          </w:tcPr>
          <w:p>
            <w:pPr>
              <w:spacing w:before="0" w:after="0" w:line="240" w:lineRule="auto"/>
            </w:pPr>
            <w:r/>
            <w:r>
              <w:rPr>
                <w:rFonts w:ascii="Calibri" w:hAnsi="Calibri"/>
                <w:b/>
                <w:i w:val="0"/>
                <w:color w:val="000000"/>
                <w:sz w:val="18"/>
              </w:rPr>
              <w:t>Pricing</w:t>
            </w:r>
          </w:p>
        </w:tc>
        <w:tc>
          <w:tcPr>
            <w:tcW w:type="dxa" w:w="2600"/>
          </w:tcPr>
          <w:p>
            <w:pPr>
              <w:spacing w:before="0" w:after="0" w:line="240" w:lineRule="auto"/>
            </w:pPr>
            <w:r/>
            <w:r>
              <w:rPr>
                <w:rFonts w:ascii="Calibri" w:hAnsi="Calibri"/>
                <w:b w:val="0"/>
                <w:i w:val="0"/>
                <w:color w:val="000000"/>
                <w:sz w:val="18"/>
              </w:rPr>
              <w:t>To be validated after real usage tests</w:t>
            </w:r>
          </w:p>
        </w:tc>
        <w:tc>
          <w:tcPr>
            <w:tcW w:type="dxa" w:w="4860"/>
          </w:tcPr>
          <w:p>
            <w:pPr>
              <w:spacing w:before="0" w:after="0" w:line="240" w:lineRule="auto"/>
            </w:pPr>
            <w:r/>
            <w:r>
              <w:rPr>
                <w:rFonts w:ascii="Calibri" w:hAnsi="Calibri"/>
                <w:b w:val="0"/>
                <w:i w:val="0"/>
                <w:color w:val="000000"/>
                <w:sz w:val="18"/>
              </w:rPr>
              <w:t>Final price must balance attractiveness, credibility, and margin.</w:t>
            </w:r>
          </w:p>
        </w:tc>
      </w:tr>
    </w:tbl>
    <w:p>
      <w:pPr>
        <w:spacing w:after="0"/>
      </w:pPr>
    </w:p>
    <w:p>
      <w:pPr>
        <w:pStyle w:val="Heading1"/>
        <w:keepNext/>
      </w:pPr>
      <w:r>
        <w:rPr>
          <w:rFonts w:ascii="Calibri" w:hAnsi="Calibri"/>
          <w:b/>
          <w:i w:val="0"/>
          <w:color w:val="2E74B5"/>
          <w:sz w:val="32"/>
        </w:rPr>
        <w:t>9. Data, Security, and Trust Requirements</w:t>
      </w:r>
    </w:p>
    <w:p>
      <w:pPr>
        <w:widowControl/>
        <w:numPr>
          <w:ilvl w:val="0"/>
          <w:numId w:val="10"/>
        </w:numPr>
        <w:spacing w:before="0" w:after="160" w:line="280" w:lineRule="auto"/>
      </w:pPr>
      <w:r>
        <w:rPr>
          <w:rFonts w:ascii="Calibri" w:hAnsi="Calibri"/>
          <w:b w:val="0"/>
          <w:i w:val="0"/>
          <w:color w:val="000000"/>
          <w:sz w:val="22"/>
        </w:rPr>
        <w:t>Uploaded reports are untrusted input and shall not be allowed to override system instructions or invoke tools.</w:t>
      </w:r>
    </w:p>
    <w:p>
      <w:pPr>
        <w:widowControl/>
        <w:numPr>
          <w:ilvl w:val="0"/>
          <w:numId w:val="10"/>
        </w:numPr>
        <w:spacing w:before="0" w:after="160" w:line="280" w:lineRule="auto"/>
      </w:pPr>
      <w:r>
        <w:rPr>
          <w:rFonts w:ascii="Calibri" w:hAnsi="Calibri"/>
          <w:b w:val="0"/>
          <w:i w:val="0"/>
          <w:color w:val="000000"/>
          <w:sz w:val="22"/>
        </w:rPr>
        <w:t>Customer source files, extracted content, embeddings, analysis, and artifacts shall be isolated by account and job.</w:t>
      </w:r>
    </w:p>
    <w:p>
      <w:pPr>
        <w:widowControl/>
        <w:numPr>
          <w:ilvl w:val="0"/>
          <w:numId w:val="10"/>
        </w:numPr>
        <w:spacing w:before="0" w:after="160" w:line="280" w:lineRule="auto"/>
      </w:pPr>
      <w:r>
        <w:rPr>
          <w:rFonts w:ascii="Calibri" w:hAnsi="Calibri"/>
          <w:b w:val="0"/>
          <w:i w:val="0"/>
          <w:color w:val="000000"/>
          <w:sz w:val="22"/>
        </w:rPr>
        <w:t>Sensitive source content shall not be placed in normal application logs.</w:t>
      </w:r>
    </w:p>
    <w:p>
      <w:pPr>
        <w:widowControl/>
        <w:numPr>
          <w:ilvl w:val="0"/>
          <w:numId w:val="10"/>
        </w:numPr>
        <w:spacing w:before="0" w:after="160" w:line="280" w:lineRule="auto"/>
      </w:pPr>
      <w:r>
        <w:rPr>
          <w:rFonts w:ascii="Calibri" w:hAnsi="Calibri"/>
          <w:b w:val="0"/>
          <w:i w:val="0"/>
          <w:color w:val="000000"/>
          <w:sz w:val="22"/>
        </w:rPr>
        <w:t>Model-provider data-handling terms shall be reviewed before company data is sent to any API.</w:t>
      </w:r>
    </w:p>
    <w:p>
      <w:pPr>
        <w:widowControl/>
        <w:numPr>
          <w:ilvl w:val="0"/>
          <w:numId w:val="10"/>
        </w:numPr>
        <w:spacing w:before="0" w:after="160" w:line="280" w:lineRule="auto"/>
      </w:pPr>
      <w:r>
        <w:rPr>
          <w:rFonts w:ascii="Calibri" w:hAnsi="Calibri"/>
          <w:b w:val="0"/>
          <w:i w:val="0"/>
          <w:color w:val="000000"/>
          <w:sz w:val="22"/>
        </w:rPr>
        <w:t>Free consumer tiers shall not be assumed appropriate for private company data.</w:t>
      </w:r>
    </w:p>
    <w:p>
      <w:pPr>
        <w:widowControl/>
        <w:numPr>
          <w:ilvl w:val="0"/>
          <w:numId w:val="10"/>
        </w:numPr>
        <w:spacing w:before="0" w:after="160" w:line="280" w:lineRule="auto"/>
      </w:pPr>
      <w:r>
        <w:rPr>
          <w:rFonts w:ascii="Calibri" w:hAnsi="Calibri"/>
          <w:b w:val="0"/>
          <w:i w:val="0"/>
          <w:color w:val="000000"/>
          <w:sz w:val="22"/>
        </w:rPr>
        <w:t>Retention periods and user-initiated deletion shall be defined before external launch.</w:t>
      </w:r>
    </w:p>
    <w:p>
      <w:pPr>
        <w:widowControl/>
        <w:numPr>
          <w:ilvl w:val="0"/>
          <w:numId w:val="10"/>
        </w:numPr>
        <w:spacing w:before="0" w:after="160" w:line="280" w:lineRule="auto"/>
      </w:pPr>
      <w:r>
        <w:rPr>
          <w:rFonts w:ascii="Calibri" w:hAnsi="Calibri"/>
          <w:b w:val="0"/>
          <w:i w:val="0"/>
          <w:color w:val="000000"/>
          <w:sz w:val="22"/>
        </w:rPr>
        <w:t>Evaluation and continuous improvement shall use synthetic, licensed, anonymized, or explicitly opted-in data.</w:t>
      </w:r>
    </w:p>
    <w:p>
      <w:pPr>
        <w:widowControl/>
        <w:numPr>
          <w:ilvl w:val="0"/>
          <w:numId w:val="10"/>
        </w:numPr>
        <w:spacing w:before="0" w:after="160" w:line="280" w:lineRule="auto"/>
      </w:pPr>
      <w:r>
        <w:rPr>
          <w:rFonts w:ascii="Calibri" w:hAnsi="Calibri"/>
          <w:b w:val="0"/>
          <w:i w:val="0"/>
          <w:color w:val="000000"/>
          <w:sz w:val="22"/>
        </w:rPr>
        <w:t>Source references and calculation provenance shall be available for important analytical statements.</w:t>
      </w:r>
    </w:p>
    <w:p>
      <w:pPr>
        <w:widowControl/>
        <w:numPr>
          <w:ilvl w:val="0"/>
          <w:numId w:val="10"/>
        </w:numPr>
        <w:spacing w:before="0" w:after="160" w:line="280" w:lineRule="auto"/>
      </w:pPr>
      <w:r>
        <w:rPr>
          <w:rFonts w:ascii="Calibri" w:hAnsi="Calibri"/>
          <w:b w:val="0"/>
          <w:i w:val="0"/>
          <w:color w:val="000000"/>
          <w:sz w:val="22"/>
        </w:rPr>
        <w:t>The product shall state that generated analysis requires user review and is not professional financial advice.</w:t>
      </w:r>
    </w:p>
    <w:p>
      <w:pPr>
        <w:pStyle w:val="Heading1"/>
        <w:keepNext/>
      </w:pPr>
      <w:r>
        <w:rPr>
          <w:rFonts w:ascii="Calibri" w:hAnsi="Calibri"/>
          <w:b/>
          <w:i w:val="0"/>
          <w:color w:val="2E74B5"/>
          <w:sz w:val="32"/>
        </w:rPr>
        <w:t>10. Quality Metrics and MVP Acceptance</w:t>
      </w:r>
    </w:p>
    <w:tbl>
      <w:tblPr>
        <w:tblW w:type="dxa" w:w="9360"/>
        <w:jc w:val="left"/>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2600"/>
        <w:gridCol w:w="3200"/>
        <w:gridCol w:w="3560"/>
      </w:tblGrid>
      <w:tr>
        <w:trPr>
          <w:cantSplit/>
          <w:tblHeader w:val="true"/>
        </w:trPr>
        <w:tc>
          <w:tcPr>
            <w:tcW w:type="dxa" w:w="2600"/>
            <w:vAlign w:val="top"/>
            <w:tcMar>
              <w:top w:w="80" w:type="dxa"/>
              <w:start w:w="120" w:type="dxa"/>
              <w:bottom w:w="80" w:type="dxa"/>
              <w:end w:w="120" w:type="dxa"/>
            </w:tcMar>
            <w:shd w:fill="F2F4F7"/>
          </w:tcPr>
          <w:p>
            <w:pPr>
              <w:spacing w:before="0" w:after="0" w:line="240" w:lineRule="auto"/>
            </w:pPr>
            <w:r/>
            <w:r>
              <w:rPr>
                <w:rFonts w:ascii="Calibri" w:hAnsi="Calibri"/>
                <w:b/>
                <w:i w:val="0"/>
                <w:color w:val="0B2545"/>
                <w:sz w:val="18"/>
              </w:rPr>
              <w:t>Metric</w:t>
            </w:r>
          </w:p>
        </w:tc>
        <w:tc>
          <w:tcPr>
            <w:tcW w:type="dxa" w:w="3200"/>
            <w:vAlign w:val="top"/>
            <w:tcMar>
              <w:top w:w="80" w:type="dxa"/>
              <w:start w:w="120" w:type="dxa"/>
              <w:bottom w:w="80" w:type="dxa"/>
              <w:end w:w="120" w:type="dxa"/>
            </w:tcMar>
            <w:shd w:fill="F2F4F7"/>
          </w:tcPr>
          <w:p>
            <w:pPr>
              <w:spacing w:before="0" w:after="0" w:line="240" w:lineRule="auto"/>
            </w:pPr>
            <w:r/>
            <w:r>
              <w:rPr>
                <w:rFonts w:ascii="Calibri" w:hAnsi="Calibri"/>
                <w:b/>
                <w:i w:val="0"/>
                <w:color w:val="0B2545"/>
                <w:sz w:val="18"/>
              </w:rPr>
              <w:t>MVP target</w:t>
            </w:r>
          </w:p>
        </w:tc>
        <w:tc>
          <w:tcPr>
            <w:tcW w:type="dxa" w:w="3560"/>
            <w:vAlign w:val="top"/>
            <w:tcMar>
              <w:top w:w="80" w:type="dxa"/>
              <w:start w:w="120" w:type="dxa"/>
              <w:bottom w:w="80" w:type="dxa"/>
              <w:end w:w="120" w:type="dxa"/>
            </w:tcMar>
            <w:shd w:fill="F2F4F7"/>
          </w:tcPr>
          <w:p>
            <w:pPr>
              <w:spacing w:before="0" w:after="0" w:line="240" w:lineRule="auto"/>
            </w:pPr>
            <w:r/>
            <w:r>
              <w:rPr>
                <w:rFonts w:ascii="Calibri" w:hAnsi="Calibri"/>
                <w:b/>
                <w:i w:val="0"/>
                <w:color w:val="0B2545"/>
                <w:sz w:val="18"/>
              </w:rPr>
              <w:t>Measurement</w:t>
            </w:r>
          </w:p>
        </w:tc>
      </w:tr>
      <w:tr>
        <w:tc>
          <w:tcPr>
            <w:tcW w:type="dxa" w:w="2600"/>
          </w:tcPr>
          <w:p>
            <w:pPr>
              <w:spacing w:before="0" w:after="0" w:line="240" w:lineRule="auto"/>
            </w:pPr>
            <w:r/>
            <w:r>
              <w:rPr>
                <w:rFonts w:ascii="Calibri" w:hAnsi="Calibri"/>
                <w:b/>
                <w:i w:val="0"/>
                <w:color w:val="000000"/>
                <w:sz w:val="17"/>
              </w:rPr>
              <w:t>Structured output</w:t>
            </w:r>
          </w:p>
        </w:tc>
        <w:tc>
          <w:tcPr>
            <w:tcW w:type="dxa" w:w="3200"/>
          </w:tcPr>
          <w:p>
            <w:pPr>
              <w:spacing w:before="0" w:after="0" w:line="240" w:lineRule="auto"/>
            </w:pPr>
            <w:r/>
            <w:r>
              <w:rPr>
                <w:rFonts w:ascii="Calibri" w:hAnsi="Calibri"/>
                <w:b w:val="0"/>
                <w:i w:val="0"/>
                <w:color w:val="000000"/>
                <w:sz w:val="17"/>
              </w:rPr>
              <w:t>100% valid after allowed repair</w:t>
            </w:r>
          </w:p>
        </w:tc>
        <w:tc>
          <w:tcPr>
            <w:tcW w:type="dxa" w:w="3560"/>
          </w:tcPr>
          <w:p>
            <w:pPr>
              <w:spacing w:before="0" w:after="0" w:line="240" w:lineRule="auto"/>
            </w:pPr>
            <w:r/>
            <w:r>
              <w:rPr>
                <w:rFonts w:ascii="Calibri" w:hAnsi="Calibri"/>
                <w:b w:val="0"/>
                <w:i w:val="0"/>
                <w:color w:val="000000"/>
                <w:sz w:val="17"/>
              </w:rPr>
              <w:t>Schema validator and fixture suite</w:t>
            </w:r>
          </w:p>
        </w:tc>
      </w:tr>
      <w:tr>
        <w:tc>
          <w:tcPr>
            <w:tcW w:type="dxa" w:w="2600"/>
          </w:tcPr>
          <w:p>
            <w:pPr>
              <w:spacing w:before="0" w:after="0" w:line="240" w:lineRule="auto"/>
            </w:pPr>
            <w:r/>
            <w:r>
              <w:rPr>
                <w:rFonts w:ascii="Calibri" w:hAnsi="Calibri"/>
                <w:b/>
                <w:i w:val="0"/>
                <w:color w:val="000000"/>
                <w:sz w:val="17"/>
              </w:rPr>
              <w:t>Unsupported numbers</w:t>
            </w:r>
          </w:p>
        </w:tc>
        <w:tc>
          <w:tcPr>
            <w:tcW w:type="dxa" w:w="3200"/>
          </w:tcPr>
          <w:p>
            <w:pPr>
              <w:spacing w:before="0" w:after="0" w:line="240" w:lineRule="auto"/>
            </w:pPr>
            <w:r/>
            <w:r>
              <w:rPr>
                <w:rFonts w:ascii="Calibri" w:hAnsi="Calibri"/>
                <w:b w:val="0"/>
                <w:i w:val="0"/>
                <w:color w:val="000000"/>
                <w:sz w:val="17"/>
              </w:rPr>
              <w:t>Zero permitted in final DeckSpec</w:t>
            </w:r>
          </w:p>
        </w:tc>
        <w:tc>
          <w:tcPr>
            <w:tcW w:type="dxa" w:w="3560"/>
          </w:tcPr>
          <w:p>
            <w:pPr>
              <w:spacing w:before="0" w:after="0" w:line="240" w:lineRule="auto"/>
            </w:pPr>
            <w:r/>
            <w:r>
              <w:rPr>
                <w:rFonts w:ascii="Calibri" w:hAnsi="Calibri"/>
                <w:b w:val="0"/>
                <w:i w:val="0"/>
                <w:color w:val="000000"/>
                <w:sz w:val="17"/>
              </w:rPr>
              <w:t>Fact/provenance validator</w:t>
            </w:r>
          </w:p>
        </w:tc>
      </w:tr>
      <w:tr>
        <w:tc>
          <w:tcPr>
            <w:tcW w:type="dxa" w:w="2600"/>
          </w:tcPr>
          <w:p>
            <w:pPr>
              <w:spacing w:before="0" w:after="0" w:line="240" w:lineRule="auto"/>
            </w:pPr>
            <w:r/>
            <w:r>
              <w:rPr>
                <w:rFonts w:ascii="Calibri" w:hAnsi="Calibri"/>
                <w:b/>
                <w:i w:val="0"/>
                <w:color w:val="000000"/>
                <w:sz w:val="17"/>
              </w:rPr>
              <w:t>Period and unit accuracy</w:t>
            </w:r>
          </w:p>
        </w:tc>
        <w:tc>
          <w:tcPr>
            <w:tcW w:type="dxa" w:w="3200"/>
          </w:tcPr>
          <w:p>
            <w:pPr>
              <w:spacing w:before="0" w:after="0" w:line="240" w:lineRule="auto"/>
            </w:pPr>
            <w:r/>
            <w:r>
              <w:rPr>
                <w:rFonts w:ascii="Calibri" w:hAnsi="Calibri"/>
                <w:b w:val="0"/>
                <w:i w:val="0"/>
                <w:color w:val="000000"/>
                <w:sz w:val="17"/>
              </w:rPr>
              <w:t>No known material mismatch</w:t>
            </w:r>
          </w:p>
        </w:tc>
        <w:tc>
          <w:tcPr>
            <w:tcW w:type="dxa" w:w="3560"/>
          </w:tcPr>
          <w:p>
            <w:pPr>
              <w:spacing w:before="0" w:after="0" w:line="240" w:lineRule="auto"/>
            </w:pPr>
            <w:r/>
            <w:r>
              <w:rPr>
                <w:rFonts w:ascii="Calibri" w:hAnsi="Calibri"/>
                <w:b w:val="0"/>
                <w:i w:val="0"/>
                <w:color w:val="000000"/>
                <w:sz w:val="17"/>
              </w:rPr>
              <w:t>Golden-report comparison</w:t>
            </w:r>
          </w:p>
        </w:tc>
      </w:tr>
      <w:tr>
        <w:tc>
          <w:tcPr>
            <w:tcW w:type="dxa" w:w="2600"/>
          </w:tcPr>
          <w:p>
            <w:pPr>
              <w:spacing w:before="0" w:after="0" w:line="240" w:lineRule="auto"/>
            </w:pPr>
            <w:r/>
            <w:r>
              <w:rPr>
                <w:rFonts w:ascii="Calibri" w:hAnsi="Calibri"/>
                <w:b/>
                <w:i w:val="0"/>
                <w:color w:val="000000"/>
                <w:sz w:val="17"/>
              </w:rPr>
              <w:t>Source grounding</w:t>
            </w:r>
          </w:p>
        </w:tc>
        <w:tc>
          <w:tcPr>
            <w:tcW w:type="dxa" w:w="3200"/>
          </w:tcPr>
          <w:p>
            <w:pPr>
              <w:spacing w:before="0" w:after="0" w:line="240" w:lineRule="auto"/>
            </w:pPr>
            <w:r/>
            <w:r>
              <w:rPr>
                <w:rFonts w:ascii="Calibri" w:hAnsi="Calibri"/>
                <w:b w:val="0"/>
                <w:i w:val="0"/>
                <w:color w:val="000000"/>
                <w:sz w:val="17"/>
              </w:rPr>
              <w:t>Material slide claims retain a valid source reference</w:t>
            </w:r>
          </w:p>
        </w:tc>
        <w:tc>
          <w:tcPr>
            <w:tcW w:type="dxa" w:w="3560"/>
          </w:tcPr>
          <w:p>
            <w:pPr>
              <w:spacing w:before="0" w:after="0" w:line="240" w:lineRule="auto"/>
            </w:pPr>
            <w:r/>
            <w:r>
              <w:rPr>
                <w:rFonts w:ascii="Calibri" w:hAnsi="Calibri"/>
                <w:b w:val="0"/>
                <w:i w:val="0"/>
                <w:color w:val="000000"/>
                <w:sz w:val="17"/>
              </w:rPr>
              <w:t>Citation checker and manual sample audit</w:t>
            </w:r>
          </w:p>
        </w:tc>
      </w:tr>
      <w:tr>
        <w:tc>
          <w:tcPr>
            <w:tcW w:type="dxa" w:w="2600"/>
          </w:tcPr>
          <w:p>
            <w:pPr>
              <w:spacing w:before="0" w:after="0" w:line="240" w:lineRule="auto"/>
            </w:pPr>
            <w:r/>
            <w:r>
              <w:rPr>
                <w:rFonts w:ascii="Calibri" w:hAnsi="Calibri"/>
                <w:b/>
                <w:i w:val="0"/>
                <w:color w:val="000000"/>
                <w:sz w:val="17"/>
              </w:rPr>
              <w:t>Layout integrity</w:t>
            </w:r>
          </w:p>
        </w:tc>
        <w:tc>
          <w:tcPr>
            <w:tcW w:type="dxa" w:w="3200"/>
          </w:tcPr>
          <w:p>
            <w:pPr>
              <w:spacing w:before="0" w:after="0" w:line="240" w:lineRule="auto"/>
            </w:pPr>
            <w:r/>
            <w:r>
              <w:rPr>
                <w:rFonts w:ascii="Calibri" w:hAnsi="Calibri"/>
                <w:b w:val="0"/>
                <w:i w:val="0"/>
                <w:color w:val="000000"/>
                <w:sz w:val="17"/>
              </w:rPr>
              <w:t>No unresolved clipping, overlap, or out-of-bounds elements</w:t>
            </w:r>
          </w:p>
        </w:tc>
        <w:tc>
          <w:tcPr>
            <w:tcW w:type="dxa" w:w="3560"/>
          </w:tcPr>
          <w:p>
            <w:pPr>
              <w:spacing w:before="0" w:after="0" w:line="240" w:lineRule="auto"/>
            </w:pPr>
            <w:r/>
            <w:r>
              <w:rPr>
                <w:rFonts w:ascii="Calibri" w:hAnsi="Calibri"/>
                <w:b w:val="0"/>
                <w:i w:val="0"/>
                <w:color w:val="000000"/>
                <w:sz w:val="17"/>
              </w:rPr>
              <w:t>Browser preflight and rendered-slide checks</w:t>
            </w:r>
          </w:p>
        </w:tc>
      </w:tr>
      <w:tr>
        <w:tc>
          <w:tcPr>
            <w:tcW w:type="dxa" w:w="2600"/>
          </w:tcPr>
          <w:p>
            <w:pPr>
              <w:spacing w:before="0" w:after="0" w:line="240" w:lineRule="auto"/>
            </w:pPr>
            <w:r/>
            <w:r>
              <w:rPr>
                <w:rFonts w:ascii="Calibri" w:hAnsi="Calibri"/>
                <w:b/>
                <w:i w:val="0"/>
                <w:color w:val="000000"/>
                <w:sz w:val="17"/>
              </w:rPr>
              <w:t>PPTX integrity</w:t>
            </w:r>
          </w:p>
        </w:tc>
        <w:tc>
          <w:tcPr>
            <w:tcW w:type="dxa" w:w="3200"/>
          </w:tcPr>
          <w:p>
            <w:pPr>
              <w:spacing w:before="0" w:after="0" w:line="240" w:lineRule="auto"/>
            </w:pPr>
            <w:r/>
            <w:r>
              <w:rPr>
                <w:rFonts w:ascii="Calibri" w:hAnsi="Calibri"/>
                <w:b w:val="0"/>
                <w:i w:val="0"/>
                <w:color w:val="000000"/>
                <w:sz w:val="17"/>
              </w:rPr>
              <w:t>Artifact opens successfully in agreed target applications</w:t>
            </w:r>
          </w:p>
        </w:tc>
        <w:tc>
          <w:tcPr>
            <w:tcW w:type="dxa" w:w="3560"/>
          </w:tcPr>
          <w:p>
            <w:pPr>
              <w:spacing w:before="0" w:after="0" w:line="240" w:lineRule="auto"/>
            </w:pPr>
            <w:r/>
            <w:r>
              <w:rPr>
                <w:rFonts w:ascii="Calibri" w:hAnsi="Calibri"/>
                <w:b w:val="0"/>
                <w:i w:val="0"/>
                <w:color w:val="000000"/>
                <w:sz w:val="17"/>
              </w:rPr>
              <w:t>Automated structural checks and compatibility test</w:t>
            </w:r>
          </w:p>
        </w:tc>
      </w:tr>
      <w:tr>
        <w:tc>
          <w:tcPr>
            <w:tcW w:type="dxa" w:w="2600"/>
          </w:tcPr>
          <w:p>
            <w:pPr>
              <w:spacing w:before="0" w:after="0" w:line="240" w:lineRule="auto"/>
            </w:pPr>
            <w:r/>
            <w:r>
              <w:rPr>
                <w:rFonts w:ascii="Calibri" w:hAnsi="Calibri"/>
                <w:b/>
                <w:i w:val="0"/>
                <w:color w:val="000000"/>
                <w:sz w:val="17"/>
              </w:rPr>
              <w:t>Model economics</w:t>
            </w:r>
          </w:p>
        </w:tc>
        <w:tc>
          <w:tcPr>
            <w:tcW w:type="dxa" w:w="3200"/>
          </w:tcPr>
          <w:p>
            <w:pPr>
              <w:spacing w:before="0" w:after="0" w:line="240" w:lineRule="auto"/>
            </w:pPr>
            <w:r/>
            <w:r>
              <w:rPr>
                <w:rFonts w:ascii="Calibri" w:hAnsi="Calibri"/>
                <w:b w:val="0"/>
                <w:i w:val="0"/>
                <w:color w:val="000000"/>
                <w:sz w:val="17"/>
              </w:rPr>
              <w:t>Normal analysis follows the approved cost threshold</w:t>
            </w:r>
          </w:p>
        </w:tc>
        <w:tc>
          <w:tcPr>
            <w:tcW w:type="dxa" w:w="3560"/>
          </w:tcPr>
          <w:p>
            <w:pPr>
              <w:spacing w:before="0" w:after="0" w:line="240" w:lineRule="auto"/>
            </w:pPr>
            <w:r/>
            <w:r>
              <w:rPr>
                <w:rFonts w:ascii="Calibri" w:hAnsi="Calibri"/>
                <w:b w:val="0"/>
                <w:i w:val="0"/>
                <w:color w:val="000000"/>
                <w:sz w:val="17"/>
              </w:rPr>
              <w:t>Per-job token and cost telemetry</w:t>
            </w:r>
          </w:p>
        </w:tc>
      </w:tr>
      <w:tr>
        <w:tc>
          <w:tcPr>
            <w:tcW w:type="dxa" w:w="2600"/>
          </w:tcPr>
          <w:p>
            <w:pPr>
              <w:spacing w:before="0" w:after="0" w:line="240" w:lineRule="auto"/>
            </w:pPr>
            <w:r/>
            <w:r>
              <w:rPr>
                <w:rFonts w:ascii="Calibri" w:hAnsi="Calibri"/>
                <w:b/>
                <w:i w:val="0"/>
                <w:color w:val="000000"/>
                <w:sz w:val="17"/>
              </w:rPr>
              <w:t>User outcome</w:t>
            </w:r>
          </w:p>
        </w:tc>
        <w:tc>
          <w:tcPr>
            <w:tcW w:type="dxa" w:w="3200"/>
          </w:tcPr>
          <w:p>
            <w:pPr>
              <w:spacing w:before="0" w:after="0" w:line="240" w:lineRule="auto"/>
            </w:pPr>
            <w:r/>
            <w:r>
              <w:rPr>
                <w:rFonts w:ascii="Calibri" w:hAnsi="Calibri"/>
                <w:b w:val="0"/>
                <w:i w:val="0"/>
                <w:color w:val="000000"/>
                <w:sz w:val="17"/>
              </w:rPr>
              <w:t>Representative source produces a coherent, usable initial deck</w:t>
            </w:r>
          </w:p>
        </w:tc>
        <w:tc>
          <w:tcPr>
            <w:tcW w:type="dxa" w:w="3560"/>
          </w:tcPr>
          <w:p>
            <w:pPr>
              <w:spacing w:before="0" w:after="0" w:line="240" w:lineRule="auto"/>
            </w:pPr>
            <w:r/>
            <w:r>
              <w:rPr>
                <w:rFonts w:ascii="Calibri" w:hAnsi="Calibri"/>
                <w:b w:val="0"/>
                <w:i w:val="0"/>
                <w:color w:val="000000"/>
                <w:sz w:val="17"/>
              </w:rPr>
              <w:t>Acceptance review against reference deck</w:t>
            </w:r>
          </w:p>
        </w:tc>
      </w:tr>
      <w:tr>
        <w:tc>
          <w:tcPr>
            <w:tcW w:type="dxa" w:w="2600"/>
          </w:tcPr>
          <w:p>
            <w:pPr>
              <w:spacing w:before="0" w:after="0" w:line="240" w:lineRule="auto"/>
            </w:pPr>
            <w:r/>
            <w:r>
              <w:rPr>
                <w:rFonts w:ascii="Calibri" w:hAnsi="Calibri"/>
                <w:b/>
                <w:i w:val="0"/>
                <w:color w:val="000000"/>
                <w:sz w:val="17"/>
              </w:rPr>
              <w:t>Data controls</w:t>
            </w:r>
          </w:p>
        </w:tc>
        <w:tc>
          <w:tcPr>
            <w:tcW w:type="dxa" w:w="3200"/>
          </w:tcPr>
          <w:p>
            <w:pPr>
              <w:spacing w:before="0" w:after="0" w:line="240" w:lineRule="auto"/>
            </w:pPr>
            <w:r/>
            <w:r>
              <w:rPr>
                <w:rFonts w:ascii="Calibri" w:hAnsi="Calibri"/>
                <w:b w:val="0"/>
                <w:i w:val="0"/>
                <w:color w:val="000000"/>
                <w:sz w:val="17"/>
              </w:rPr>
              <w:t>Retention and deletion behavior passes test</w:t>
            </w:r>
          </w:p>
        </w:tc>
        <w:tc>
          <w:tcPr>
            <w:tcW w:type="dxa" w:w="3560"/>
          </w:tcPr>
          <w:p>
            <w:pPr>
              <w:spacing w:before="0" w:after="0" w:line="240" w:lineRule="auto"/>
            </w:pPr>
            <w:r/>
            <w:r>
              <w:rPr>
                <w:rFonts w:ascii="Calibri" w:hAnsi="Calibri"/>
                <w:b w:val="0"/>
                <w:i w:val="0"/>
                <w:color w:val="000000"/>
                <w:sz w:val="17"/>
              </w:rPr>
              <w:t>Security and lifecycle test</w:t>
            </w:r>
          </w:p>
        </w:tc>
      </w:tr>
      <w:tr>
        <w:tc>
          <w:tcPr>
            <w:tcW w:type="dxa" w:w="2600"/>
          </w:tcPr>
          <w:p>
            <w:pPr>
              <w:spacing w:before="0" w:after="0" w:line="240" w:lineRule="auto"/>
            </w:pPr>
            <w:r/>
            <w:r>
              <w:rPr>
                <w:rFonts w:ascii="Calibri" w:hAnsi="Calibri"/>
                <w:b/>
                <w:i w:val="0"/>
                <w:color w:val="000000"/>
                <w:sz w:val="17"/>
              </w:rPr>
              <w:t>Continuous improvement</w:t>
            </w:r>
          </w:p>
        </w:tc>
        <w:tc>
          <w:tcPr>
            <w:tcW w:type="dxa" w:w="3200"/>
          </w:tcPr>
          <w:p>
            <w:pPr>
              <w:spacing w:before="0" w:after="0" w:line="240" w:lineRule="auto"/>
            </w:pPr>
            <w:r/>
            <w:r>
              <w:rPr>
                <w:rFonts w:ascii="Calibri" w:hAnsi="Calibri"/>
                <w:b w:val="0"/>
                <w:i w:val="0"/>
                <w:color w:val="000000"/>
                <w:sz w:val="17"/>
              </w:rPr>
              <w:t>Model or harness changes cannot merge without evaluation results</w:t>
            </w:r>
          </w:p>
        </w:tc>
        <w:tc>
          <w:tcPr>
            <w:tcW w:type="dxa" w:w="3560"/>
          </w:tcPr>
          <w:p>
            <w:pPr>
              <w:spacing w:before="0" w:after="0" w:line="240" w:lineRule="auto"/>
            </w:pPr>
            <w:r/>
            <w:r>
              <w:rPr>
                <w:rFonts w:ascii="Calibri" w:hAnsi="Calibri"/>
                <w:b w:val="0"/>
                <w:i w:val="0"/>
                <w:color w:val="000000"/>
                <w:sz w:val="17"/>
              </w:rPr>
              <w:t>CI quality gate</w:t>
            </w:r>
          </w:p>
        </w:tc>
      </w:tr>
    </w:tbl>
    <w:p>
      <w:pPr>
        <w:spacing w:after="0"/>
      </w:pPr>
    </w:p>
    <w:p>
      <w:pPr>
        <w:pStyle w:val="Heading2"/>
        <w:keepNext/>
      </w:pPr>
      <w:r>
        <w:rPr>
          <w:rFonts w:ascii="Calibri" w:hAnsi="Calibri"/>
          <w:b/>
          <w:i w:val="0"/>
          <w:color w:val="2E74B5"/>
          <w:sz w:val="26"/>
        </w:rPr>
        <w:t>10.1 Model Evaluation Harness</w:t>
      </w:r>
    </w:p>
    <w:p>
      <w:pPr>
        <w:widowControl/>
        <w:spacing w:before="0" w:after="120" w:line="264" w:lineRule="auto"/>
      </w:pPr>
      <w:r>
        <w:rPr>
          <w:rFonts w:ascii="Calibri" w:hAnsi="Calibri"/>
          <w:b w:val="0"/>
          <w:i w:val="0"/>
          <w:color w:val="000000"/>
          <w:sz w:val="22"/>
        </w:rPr>
        <w:t>The initial benchmark should include at least 20 anonymized or synthetic reports representing the first use case. Each fixture should contain expected facts, required findings, reporting periods, units, citations, and forbidden unsupported claims. Models will be ranked on quality first and cost second; the cheapest model that clears every mandatory gate becomes the default route.</w:t>
      </w:r>
    </w:p>
    <w:p>
      <w:pPr>
        <w:pStyle w:val="Heading1"/>
        <w:keepNext/>
      </w:pPr>
      <w:r>
        <w:rPr>
          <w:rFonts w:ascii="Calibri" w:hAnsi="Calibri"/>
          <w:b/>
          <w:i w:val="0"/>
          <w:color w:val="2E74B5"/>
          <w:sz w:val="32"/>
        </w:rPr>
        <w:t>11. Delivery Approach</w:t>
      </w:r>
    </w:p>
    <w:p>
      <w:pPr>
        <w:widowControl/>
        <w:numPr>
          <w:ilvl w:val="0"/>
          <w:numId w:val="13"/>
        </w:numPr>
        <w:spacing w:before="0" w:after="160" w:line="280" w:lineRule="auto"/>
      </w:pPr>
      <w:r>
        <w:rPr>
          <w:rFonts w:ascii="Calibri" w:hAnsi="Calibri"/>
          <w:b/>
          <w:i w:val="0"/>
          <w:color w:val="000000"/>
          <w:sz w:val="22"/>
        </w:rPr>
        <w:t>Phase 0 — Alignment:</w:t>
      </w:r>
      <w:r>
        <w:rPr>
          <w:rFonts w:ascii="Calibri" w:hAnsi="Calibri"/>
          <w:b w:val="0"/>
          <w:i w:val="0"/>
          <w:color w:val="000000"/>
          <w:sz w:val="22"/>
        </w:rPr>
        <w:t xml:space="preserve"> Approve this BRD, choose the first report/deck type, define editability, and gather representative safe fixtures.</w:t>
      </w:r>
    </w:p>
    <w:p>
      <w:pPr>
        <w:widowControl/>
        <w:numPr>
          <w:ilvl w:val="0"/>
          <w:numId w:val="13"/>
        </w:numPr>
        <w:spacing w:before="0" w:after="160" w:line="280" w:lineRule="auto"/>
      </w:pPr>
      <w:r>
        <w:rPr>
          <w:rFonts w:ascii="Calibri" w:hAnsi="Calibri"/>
          <w:b/>
          <w:i w:val="0"/>
          <w:color w:val="000000"/>
          <w:sz w:val="22"/>
        </w:rPr>
        <w:t>Phase 1 — Analysis proof:</w:t>
      </w:r>
      <w:r>
        <w:rPr>
          <w:rFonts w:ascii="Calibri" w:hAnsi="Calibri"/>
          <w:b w:val="0"/>
          <w:i w:val="0"/>
          <w:color w:val="000000"/>
          <w:sz w:val="22"/>
        </w:rPr>
        <w:t xml:space="preserve"> Build ingestion, extraction, analysis schema, deterministic financial validation, and the cheap/local model benchmark.</w:t>
      </w:r>
    </w:p>
    <w:p>
      <w:pPr>
        <w:widowControl/>
        <w:numPr>
          <w:ilvl w:val="0"/>
          <w:numId w:val="13"/>
        </w:numPr>
        <w:spacing w:before="0" w:after="160" w:line="280" w:lineRule="auto"/>
      </w:pPr>
      <w:r>
        <w:rPr>
          <w:rFonts w:ascii="Calibri" w:hAnsi="Calibri"/>
          <w:b/>
          <w:i w:val="0"/>
          <w:color w:val="000000"/>
          <w:sz w:val="22"/>
        </w:rPr>
        <w:t>Phase 2 — Presentation proof:</w:t>
      </w:r>
      <w:r>
        <w:rPr>
          <w:rFonts w:ascii="Calibri" w:hAnsi="Calibri"/>
          <w:b w:val="0"/>
          <w:i w:val="0"/>
          <w:color w:val="000000"/>
          <w:sz w:val="22"/>
        </w:rPr>
        <w:t xml:space="preserve"> Build the layout registry, HTML compiler, browser preflight, renderer adapter, and a small editable reference deck.</w:t>
      </w:r>
    </w:p>
    <w:p>
      <w:pPr>
        <w:widowControl/>
        <w:numPr>
          <w:ilvl w:val="0"/>
          <w:numId w:val="13"/>
        </w:numPr>
        <w:spacing w:before="0" w:after="160" w:line="280" w:lineRule="auto"/>
      </w:pPr>
      <w:r>
        <w:rPr>
          <w:rFonts w:ascii="Calibri" w:hAnsi="Calibri"/>
          <w:b/>
          <w:i w:val="0"/>
          <w:color w:val="000000"/>
          <w:sz w:val="22"/>
        </w:rPr>
        <w:t>Phase 3 — MVP product:</w:t>
      </w:r>
      <w:r>
        <w:rPr>
          <w:rFonts w:ascii="Calibri" w:hAnsi="Calibri"/>
          <w:b w:val="0"/>
          <w:i w:val="0"/>
          <w:color w:val="000000"/>
          <w:sz w:val="22"/>
        </w:rPr>
        <w:t xml:space="preserve"> Add authentication, subscriptions, usage limits, asynchronous jobs, preview, download, retention controls, and telemetry.</w:t>
      </w:r>
    </w:p>
    <w:p>
      <w:pPr>
        <w:widowControl/>
        <w:numPr>
          <w:ilvl w:val="0"/>
          <w:numId w:val="13"/>
        </w:numPr>
        <w:spacing w:before="0" w:after="160" w:line="280" w:lineRule="auto"/>
      </w:pPr>
      <w:r>
        <w:rPr>
          <w:rFonts w:ascii="Calibri" w:hAnsi="Calibri"/>
          <w:b/>
          <w:i w:val="0"/>
          <w:color w:val="000000"/>
          <w:sz w:val="22"/>
        </w:rPr>
        <w:t>Phase 4 — Continuous improvement:</w:t>
      </w:r>
      <w:r>
        <w:rPr>
          <w:rFonts w:ascii="Calibri" w:hAnsi="Calibri"/>
          <w:b w:val="0"/>
          <w:i w:val="0"/>
          <w:color w:val="000000"/>
          <w:sz w:val="22"/>
        </w:rPr>
        <w:t xml:space="preserve"> Gate changes with golden tests, model comparisons, render snapshots, cost thresholds, and controlled releases from dev to main.</w:t>
      </w:r>
    </w:p>
    <w:p>
      <w:pPr>
        <w:widowControl/>
        <w:numPr>
          <w:ilvl w:val="0"/>
          <w:numId w:val="13"/>
        </w:numPr>
        <w:spacing w:before="0" w:after="160" w:line="280" w:lineRule="auto"/>
      </w:pPr>
      <w:r>
        <w:rPr>
          <w:rFonts w:ascii="Calibri" w:hAnsi="Calibri"/>
          <w:b/>
          <w:i w:val="0"/>
          <w:color w:val="000000"/>
          <w:sz w:val="22"/>
        </w:rPr>
        <w:t>Phase 5 — Office expansion:</w:t>
      </w:r>
      <w:r>
        <w:rPr>
          <w:rFonts w:ascii="Calibri" w:hAnsi="Calibri"/>
          <w:b w:val="0"/>
          <w:i w:val="0"/>
          <w:color w:val="000000"/>
          <w:sz w:val="22"/>
        </w:rPr>
        <w:t xml:space="preserve"> Reuse validated analysis for Excel and other Office outputs after the presentation workflow demonstrates demand and reliability.</w:t>
      </w:r>
    </w:p>
    <w:p>
      <w:pPr>
        <w:pStyle w:val="Heading2"/>
        <w:keepNext/>
      </w:pPr>
      <w:r>
        <w:rPr>
          <w:rFonts w:ascii="Calibri" w:hAnsi="Calibri"/>
          <w:b/>
          <w:i w:val="0"/>
          <w:color w:val="2E74B5"/>
          <w:sz w:val="26"/>
        </w:rPr>
        <w:t>11.1 Branch and Release Workflow</w:t>
      </w:r>
    </w:p>
    <w:p>
      <w:pPr>
        <w:widowControl/>
        <w:spacing w:before="0" w:after="120" w:line="264" w:lineRule="auto"/>
      </w:pPr>
      <w:r>
        <w:rPr>
          <w:rFonts w:ascii="Calibri" w:hAnsi="Calibri"/>
          <w:b w:val="0"/>
          <w:i w:val="0"/>
          <w:color w:val="000000"/>
          <w:sz w:val="22"/>
        </w:rPr>
        <w:t>The main branch begins with the project README only and represents stable, approved work. The dev branch is the integration branch for ongoing development and continuous improvement. Implementation work should use short-lived feature branches from dev, pass automated quality and cost gates, merge into dev, and reach main through reviewed release pull requests.</w:t>
      </w:r>
    </w:p>
    <w:p>
      <w:pPr>
        <w:pStyle w:val="Heading1"/>
        <w:keepNext/>
      </w:pPr>
      <w:r>
        <w:rPr>
          <w:rFonts w:ascii="Calibri" w:hAnsi="Calibri"/>
          <w:b/>
          <w:i w:val="0"/>
          <w:color w:val="2E74B5"/>
          <w:sz w:val="32"/>
        </w:rPr>
        <w:t>12. Risks and Mitigations</w:t>
      </w:r>
    </w:p>
    <w:tbl>
      <w:tblPr>
        <w:tblW w:type="dxa" w:w="9360"/>
        <w:jc w:val="left"/>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850"/>
        <w:gridCol w:w="3100"/>
        <w:gridCol w:w="900"/>
        <w:gridCol w:w="4510"/>
      </w:tblGrid>
      <w:tr>
        <w:trPr>
          <w:cantSplit/>
          <w:tblHeader w:val="true"/>
        </w:trPr>
        <w:tc>
          <w:tcPr>
            <w:tcW w:type="dxa" w:w="850"/>
            <w:vAlign w:val="top"/>
            <w:tcMar>
              <w:top w:w="80" w:type="dxa"/>
              <w:start w:w="120" w:type="dxa"/>
              <w:bottom w:w="80" w:type="dxa"/>
              <w:end w:w="120" w:type="dxa"/>
            </w:tcMar>
            <w:shd w:fill="F2F4F7"/>
          </w:tcPr>
          <w:p>
            <w:pPr>
              <w:spacing w:before="0" w:after="0" w:line="240" w:lineRule="auto"/>
            </w:pPr>
            <w:r/>
            <w:r>
              <w:rPr>
                <w:rFonts w:ascii="Calibri" w:hAnsi="Calibri"/>
                <w:b/>
                <w:i w:val="0"/>
                <w:color w:val="0B2545"/>
                <w:sz w:val="18"/>
              </w:rPr>
              <w:t>ID</w:t>
            </w:r>
          </w:p>
        </w:tc>
        <w:tc>
          <w:tcPr>
            <w:tcW w:type="dxa" w:w="3100"/>
            <w:vAlign w:val="top"/>
            <w:tcMar>
              <w:top w:w="80" w:type="dxa"/>
              <w:start w:w="120" w:type="dxa"/>
              <w:bottom w:w="80" w:type="dxa"/>
              <w:end w:w="120" w:type="dxa"/>
            </w:tcMar>
            <w:shd w:fill="F2F4F7"/>
          </w:tcPr>
          <w:p>
            <w:pPr>
              <w:spacing w:before="0" w:after="0" w:line="240" w:lineRule="auto"/>
            </w:pPr>
            <w:r/>
            <w:r>
              <w:rPr>
                <w:rFonts w:ascii="Calibri" w:hAnsi="Calibri"/>
                <w:b/>
                <w:i w:val="0"/>
                <w:color w:val="0B2545"/>
                <w:sz w:val="18"/>
              </w:rPr>
              <w:t>Risk</w:t>
            </w:r>
          </w:p>
        </w:tc>
        <w:tc>
          <w:tcPr>
            <w:tcW w:type="dxa" w:w="900"/>
            <w:vAlign w:val="top"/>
            <w:tcMar>
              <w:top w:w="80" w:type="dxa"/>
              <w:start w:w="120" w:type="dxa"/>
              <w:bottom w:w="80" w:type="dxa"/>
              <w:end w:w="120" w:type="dxa"/>
            </w:tcMar>
            <w:shd w:fill="F2F4F7"/>
          </w:tcPr>
          <w:p>
            <w:pPr>
              <w:spacing w:before="0" w:after="0" w:line="240" w:lineRule="auto"/>
            </w:pPr>
            <w:r/>
            <w:r>
              <w:rPr>
                <w:rFonts w:ascii="Calibri" w:hAnsi="Calibri"/>
                <w:b/>
                <w:i w:val="0"/>
                <w:color w:val="0B2545"/>
                <w:sz w:val="18"/>
              </w:rPr>
              <w:t>Impact</w:t>
            </w:r>
          </w:p>
        </w:tc>
        <w:tc>
          <w:tcPr>
            <w:tcW w:type="dxa" w:w="4510"/>
            <w:vAlign w:val="top"/>
            <w:tcMar>
              <w:top w:w="80" w:type="dxa"/>
              <w:start w:w="120" w:type="dxa"/>
              <w:bottom w:w="80" w:type="dxa"/>
              <w:end w:w="120" w:type="dxa"/>
            </w:tcMar>
            <w:shd w:fill="F2F4F7"/>
          </w:tcPr>
          <w:p>
            <w:pPr>
              <w:spacing w:before="0" w:after="0" w:line="240" w:lineRule="auto"/>
            </w:pPr>
            <w:r/>
            <w:r>
              <w:rPr>
                <w:rFonts w:ascii="Calibri" w:hAnsi="Calibri"/>
                <w:b/>
                <w:i w:val="0"/>
                <w:color w:val="0B2545"/>
                <w:sz w:val="18"/>
              </w:rPr>
              <w:t>Mitigation</w:t>
            </w:r>
          </w:p>
        </w:tc>
      </w:tr>
      <w:tr>
        <w:tc>
          <w:tcPr>
            <w:tcW w:type="dxa" w:w="850"/>
          </w:tcPr>
          <w:p>
            <w:pPr>
              <w:spacing w:before="0" w:after="0" w:line="240" w:lineRule="auto"/>
            </w:pPr>
            <w:r/>
            <w:r>
              <w:rPr>
                <w:rFonts w:ascii="Calibri" w:hAnsi="Calibri"/>
                <w:b/>
                <w:i w:val="0"/>
                <w:color w:val="000000"/>
                <w:sz w:val="17"/>
              </w:rPr>
              <w:t>R-01</w:t>
            </w:r>
          </w:p>
        </w:tc>
        <w:tc>
          <w:tcPr>
            <w:tcW w:type="dxa" w:w="3100"/>
          </w:tcPr>
          <w:p>
            <w:pPr>
              <w:spacing w:before="0" w:after="0" w:line="240" w:lineRule="auto"/>
            </w:pPr>
            <w:r/>
            <w:r>
              <w:rPr>
                <w:rFonts w:ascii="Calibri" w:hAnsi="Calibri"/>
                <w:b w:val="0"/>
                <w:i w:val="0"/>
                <w:color w:val="000000"/>
                <w:sz w:val="17"/>
              </w:rPr>
              <w:t>Cheap or local model misses material findings</w:t>
            </w:r>
          </w:p>
        </w:tc>
        <w:tc>
          <w:tcPr>
            <w:tcW w:type="dxa" w:w="900"/>
          </w:tcPr>
          <w:p>
            <w:pPr>
              <w:spacing w:before="0" w:after="0" w:line="240" w:lineRule="auto"/>
            </w:pPr>
            <w:r/>
            <w:r>
              <w:rPr>
                <w:rFonts w:ascii="Calibri" w:hAnsi="Calibri"/>
                <w:b w:val="0"/>
                <w:i w:val="0"/>
                <w:color w:val="000000"/>
                <w:sz w:val="17"/>
              </w:rPr>
              <w:t>High</w:t>
            </w:r>
          </w:p>
        </w:tc>
        <w:tc>
          <w:tcPr>
            <w:tcW w:type="dxa" w:w="4510"/>
          </w:tcPr>
          <w:p>
            <w:pPr>
              <w:spacing w:before="0" w:after="0" w:line="240" w:lineRule="auto"/>
            </w:pPr>
            <w:r/>
            <w:r>
              <w:rPr>
                <w:rFonts w:ascii="Calibri" w:hAnsi="Calibri"/>
                <w:b w:val="0"/>
                <w:i w:val="0"/>
                <w:color w:val="000000"/>
                <w:sz w:val="17"/>
              </w:rPr>
              <w:t>Benchmark against gold fixtures; use confidence gates and selective fallback.</w:t>
            </w:r>
          </w:p>
        </w:tc>
      </w:tr>
      <w:tr>
        <w:tc>
          <w:tcPr>
            <w:tcW w:type="dxa" w:w="850"/>
          </w:tcPr>
          <w:p>
            <w:pPr>
              <w:spacing w:before="0" w:after="0" w:line="240" w:lineRule="auto"/>
            </w:pPr>
            <w:r/>
            <w:r>
              <w:rPr>
                <w:rFonts w:ascii="Calibri" w:hAnsi="Calibri"/>
                <w:b/>
                <w:i w:val="0"/>
                <w:color w:val="000000"/>
                <w:sz w:val="17"/>
              </w:rPr>
              <w:t>R-02</w:t>
            </w:r>
          </w:p>
        </w:tc>
        <w:tc>
          <w:tcPr>
            <w:tcW w:type="dxa" w:w="3100"/>
          </w:tcPr>
          <w:p>
            <w:pPr>
              <w:spacing w:before="0" w:after="0" w:line="240" w:lineRule="auto"/>
            </w:pPr>
            <w:r/>
            <w:r>
              <w:rPr>
                <w:rFonts w:ascii="Calibri" w:hAnsi="Calibri"/>
                <w:b w:val="0"/>
                <w:i w:val="0"/>
                <w:color w:val="000000"/>
                <w:sz w:val="17"/>
              </w:rPr>
              <w:t>Incorrect financial values or periods</w:t>
            </w:r>
          </w:p>
        </w:tc>
        <w:tc>
          <w:tcPr>
            <w:tcW w:type="dxa" w:w="900"/>
          </w:tcPr>
          <w:p>
            <w:pPr>
              <w:spacing w:before="0" w:after="0" w:line="240" w:lineRule="auto"/>
            </w:pPr>
            <w:r/>
            <w:r>
              <w:rPr>
                <w:rFonts w:ascii="Calibri" w:hAnsi="Calibri"/>
                <w:b w:val="0"/>
                <w:i w:val="0"/>
                <w:color w:val="000000"/>
                <w:sz w:val="17"/>
              </w:rPr>
              <w:t>High</w:t>
            </w:r>
          </w:p>
        </w:tc>
        <w:tc>
          <w:tcPr>
            <w:tcW w:type="dxa" w:w="4510"/>
          </w:tcPr>
          <w:p>
            <w:pPr>
              <w:spacing w:before="0" w:after="0" w:line="240" w:lineRule="auto"/>
            </w:pPr>
            <w:r/>
            <w:r>
              <w:rPr>
                <w:rFonts w:ascii="Calibri" w:hAnsi="Calibri"/>
                <w:b w:val="0"/>
                <w:i w:val="0"/>
                <w:color w:val="000000"/>
                <w:sz w:val="17"/>
              </w:rPr>
              <w:t>Use deterministic calculations, provenance, schema constraints, and rejection rules.</w:t>
            </w:r>
          </w:p>
        </w:tc>
      </w:tr>
      <w:tr>
        <w:tc>
          <w:tcPr>
            <w:tcW w:type="dxa" w:w="850"/>
          </w:tcPr>
          <w:p>
            <w:pPr>
              <w:spacing w:before="0" w:after="0" w:line="240" w:lineRule="auto"/>
            </w:pPr>
            <w:r/>
            <w:r>
              <w:rPr>
                <w:rFonts w:ascii="Calibri" w:hAnsi="Calibri"/>
                <w:b/>
                <w:i w:val="0"/>
                <w:color w:val="000000"/>
                <w:sz w:val="17"/>
              </w:rPr>
              <w:t>R-03</w:t>
            </w:r>
          </w:p>
        </w:tc>
        <w:tc>
          <w:tcPr>
            <w:tcW w:type="dxa" w:w="3100"/>
          </w:tcPr>
          <w:p>
            <w:pPr>
              <w:spacing w:before="0" w:after="0" w:line="240" w:lineRule="auto"/>
            </w:pPr>
            <w:r/>
            <w:r>
              <w:rPr>
                <w:rFonts w:ascii="Calibri" w:hAnsi="Calibri"/>
                <w:b w:val="0"/>
                <w:i w:val="0"/>
                <w:color w:val="000000"/>
                <w:sz w:val="17"/>
              </w:rPr>
              <w:t>HTML renderer produces non-editable or broken slides</w:t>
            </w:r>
          </w:p>
        </w:tc>
        <w:tc>
          <w:tcPr>
            <w:tcW w:type="dxa" w:w="900"/>
          </w:tcPr>
          <w:p>
            <w:pPr>
              <w:spacing w:before="0" w:after="0" w:line="240" w:lineRule="auto"/>
            </w:pPr>
            <w:r/>
            <w:r>
              <w:rPr>
                <w:rFonts w:ascii="Calibri" w:hAnsi="Calibri"/>
                <w:b w:val="0"/>
                <w:i w:val="0"/>
                <w:color w:val="000000"/>
                <w:sz w:val="17"/>
              </w:rPr>
              <w:t>High</w:t>
            </w:r>
          </w:p>
        </w:tc>
        <w:tc>
          <w:tcPr>
            <w:tcW w:type="dxa" w:w="4510"/>
          </w:tcPr>
          <w:p>
            <w:pPr>
              <w:spacing w:before="0" w:after="0" w:line="240" w:lineRule="auto"/>
            </w:pPr>
            <w:r/>
            <w:r>
              <w:rPr>
                <w:rFonts w:ascii="Calibri" w:hAnsi="Calibri"/>
                <w:b w:val="0"/>
                <w:i w:val="0"/>
                <w:color w:val="000000"/>
                <w:sz w:val="17"/>
              </w:rPr>
              <w:t>Run an early editability spike; constrain markup; isolate renderer behind an adapter.</w:t>
            </w:r>
          </w:p>
        </w:tc>
      </w:tr>
      <w:tr>
        <w:tc>
          <w:tcPr>
            <w:tcW w:type="dxa" w:w="850"/>
          </w:tcPr>
          <w:p>
            <w:pPr>
              <w:spacing w:before="0" w:after="0" w:line="240" w:lineRule="auto"/>
            </w:pPr>
            <w:r/>
            <w:r>
              <w:rPr>
                <w:rFonts w:ascii="Calibri" w:hAnsi="Calibri"/>
                <w:b/>
                <w:i w:val="0"/>
                <w:color w:val="000000"/>
                <w:sz w:val="17"/>
              </w:rPr>
              <w:t>R-04</w:t>
            </w:r>
          </w:p>
        </w:tc>
        <w:tc>
          <w:tcPr>
            <w:tcW w:type="dxa" w:w="3100"/>
          </w:tcPr>
          <w:p>
            <w:pPr>
              <w:spacing w:before="0" w:after="0" w:line="240" w:lineRule="auto"/>
            </w:pPr>
            <w:r/>
            <w:r>
              <w:rPr>
                <w:rFonts w:ascii="Calibri" w:hAnsi="Calibri"/>
                <w:b w:val="0"/>
                <w:i w:val="0"/>
                <w:color w:val="000000"/>
                <w:sz w:val="17"/>
              </w:rPr>
              <w:t>Sensitive company data is mishandled</w:t>
            </w:r>
          </w:p>
        </w:tc>
        <w:tc>
          <w:tcPr>
            <w:tcW w:type="dxa" w:w="900"/>
          </w:tcPr>
          <w:p>
            <w:pPr>
              <w:spacing w:before="0" w:after="0" w:line="240" w:lineRule="auto"/>
            </w:pPr>
            <w:r/>
            <w:r>
              <w:rPr>
                <w:rFonts w:ascii="Calibri" w:hAnsi="Calibri"/>
                <w:b w:val="0"/>
                <w:i w:val="0"/>
                <w:color w:val="000000"/>
                <w:sz w:val="17"/>
              </w:rPr>
              <w:t>High</w:t>
            </w:r>
          </w:p>
        </w:tc>
        <w:tc>
          <w:tcPr>
            <w:tcW w:type="dxa" w:w="4510"/>
          </w:tcPr>
          <w:p>
            <w:pPr>
              <w:spacing w:before="0" w:after="0" w:line="240" w:lineRule="auto"/>
            </w:pPr>
            <w:r/>
            <w:r>
              <w:rPr>
                <w:rFonts w:ascii="Calibri" w:hAnsi="Calibri"/>
                <w:b w:val="0"/>
                <w:i w:val="0"/>
                <w:color w:val="000000"/>
                <w:sz w:val="17"/>
              </w:rPr>
              <w:t>Review provider terms, isolate data, minimize retention, secure storage, and support deletion.</w:t>
            </w:r>
          </w:p>
        </w:tc>
      </w:tr>
      <w:tr>
        <w:tc>
          <w:tcPr>
            <w:tcW w:type="dxa" w:w="850"/>
          </w:tcPr>
          <w:p>
            <w:pPr>
              <w:spacing w:before="0" w:after="0" w:line="240" w:lineRule="auto"/>
            </w:pPr>
            <w:r/>
            <w:r>
              <w:rPr>
                <w:rFonts w:ascii="Calibri" w:hAnsi="Calibri"/>
                <w:b/>
                <w:i w:val="0"/>
                <w:color w:val="000000"/>
                <w:sz w:val="17"/>
              </w:rPr>
              <w:t>R-05</w:t>
            </w:r>
          </w:p>
        </w:tc>
        <w:tc>
          <w:tcPr>
            <w:tcW w:type="dxa" w:w="3100"/>
          </w:tcPr>
          <w:p>
            <w:pPr>
              <w:spacing w:before="0" w:after="0" w:line="240" w:lineRule="auto"/>
            </w:pPr>
            <w:r/>
            <w:r>
              <w:rPr>
                <w:rFonts w:ascii="Calibri" w:hAnsi="Calibri"/>
                <w:b w:val="0"/>
                <w:i w:val="0"/>
                <w:color w:val="000000"/>
                <w:sz w:val="17"/>
              </w:rPr>
              <w:t>Unlimited retries damage margins</w:t>
            </w:r>
          </w:p>
        </w:tc>
        <w:tc>
          <w:tcPr>
            <w:tcW w:type="dxa" w:w="900"/>
          </w:tcPr>
          <w:p>
            <w:pPr>
              <w:spacing w:before="0" w:after="0" w:line="240" w:lineRule="auto"/>
            </w:pPr>
            <w:r/>
            <w:r>
              <w:rPr>
                <w:rFonts w:ascii="Calibri" w:hAnsi="Calibri"/>
                <w:b w:val="0"/>
                <w:i w:val="0"/>
                <w:color w:val="000000"/>
                <w:sz w:val="17"/>
              </w:rPr>
              <w:t>Medium</w:t>
            </w:r>
          </w:p>
        </w:tc>
        <w:tc>
          <w:tcPr>
            <w:tcW w:type="dxa" w:w="4510"/>
          </w:tcPr>
          <w:p>
            <w:pPr>
              <w:spacing w:before="0" w:after="0" w:line="240" w:lineRule="auto"/>
            </w:pPr>
            <w:r/>
            <w:r>
              <w:rPr>
                <w:rFonts w:ascii="Calibri" w:hAnsi="Calibri"/>
                <w:b w:val="0"/>
                <w:i w:val="0"/>
                <w:color w:val="000000"/>
                <w:sz w:val="17"/>
              </w:rPr>
              <w:t>Apply quotas, spend caps, deterministic fitting, caching, and targeted repair.</w:t>
            </w:r>
          </w:p>
        </w:tc>
      </w:tr>
      <w:tr>
        <w:tc>
          <w:tcPr>
            <w:tcW w:type="dxa" w:w="850"/>
          </w:tcPr>
          <w:p>
            <w:pPr>
              <w:spacing w:before="0" w:after="0" w:line="240" w:lineRule="auto"/>
            </w:pPr>
            <w:r/>
            <w:r>
              <w:rPr>
                <w:rFonts w:ascii="Calibri" w:hAnsi="Calibri"/>
                <w:b/>
                <w:i w:val="0"/>
                <w:color w:val="000000"/>
                <w:sz w:val="17"/>
              </w:rPr>
              <w:t>R-06</w:t>
            </w:r>
          </w:p>
        </w:tc>
        <w:tc>
          <w:tcPr>
            <w:tcW w:type="dxa" w:w="3100"/>
          </w:tcPr>
          <w:p>
            <w:pPr>
              <w:spacing w:before="0" w:after="0" w:line="240" w:lineRule="auto"/>
            </w:pPr>
            <w:r/>
            <w:r>
              <w:rPr>
                <w:rFonts w:ascii="Calibri" w:hAnsi="Calibri"/>
                <w:b w:val="0"/>
                <w:i w:val="0"/>
                <w:color w:val="000000"/>
                <w:sz w:val="17"/>
              </w:rPr>
              <w:t>Product price appears low-quality</w:t>
            </w:r>
          </w:p>
        </w:tc>
        <w:tc>
          <w:tcPr>
            <w:tcW w:type="dxa" w:w="900"/>
          </w:tcPr>
          <w:p>
            <w:pPr>
              <w:spacing w:before="0" w:after="0" w:line="240" w:lineRule="auto"/>
            </w:pPr>
            <w:r/>
            <w:r>
              <w:rPr>
                <w:rFonts w:ascii="Calibri" w:hAnsi="Calibri"/>
                <w:b w:val="0"/>
                <w:i w:val="0"/>
                <w:color w:val="000000"/>
                <w:sz w:val="17"/>
              </w:rPr>
              <w:t>Medium</w:t>
            </w:r>
          </w:p>
        </w:tc>
        <w:tc>
          <w:tcPr>
            <w:tcW w:type="dxa" w:w="4510"/>
          </w:tcPr>
          <w:p>
            <w:pPr>
              <w:spacing w:before="0" w:after="0" w:line="240" w:lineRule="auto"/>
            </w:pPr>
            <w:r/>
            <w:r>
              <w:rPr>
                <w:rFonts w:ascii="Calibri" w:hAnsi="Calibri"/>
                <w:b w:val="0"/>
                <w:i w:val="0"/>
                <w:color w:val="000000"/>
                <w:sz w:val="17"/>
              </w:rPr>
              <w:t>Lead with specialization, traceability, editability, and reliability rather than the lowest price.</w:t>
            </w:r>
          </w:p>
        </w:tc>
      </w:tr>
      <w:tr>
        <w:tc>
          <w:tcPr>
            <w:tcW w:type="dxa" w:w="850"/>
          </w:tcPr>
          <w:p>
            <w:pPr>
              <w:spacing w:before="0" w:after="0" w:line="240" w:lineRule="auto"/>
            </w:pPr>
            <w:r/>
            <w:r>
              <w:rPr>
                <w:rFonts w:ascii="Calibri" w:hAnsi="Calibri"/>
                <w:b/>
                <w:i w:val="0"/>
                <w:color w:val="000000"/>
                <w:sz w:val="17"/>
              </w:rPr>
              <w:t>R-07</w:t>
            </w:r>
          </w:p>
        </w:tc>
        <w:tc>
          <w:tcPr>
            <w:tcW w:type="dxa" w:w="3100"/>
          </w:tcPr>
          <w:p>
            <w:pPr>
              <w:spacing w:before="0" w:after="0" w:line="240" w:lineRule="auto"/>
            </w:pPr>
            <w:r/>
            <w:r>
              <w:rPr>
                <w:rFonts w:ascii="Calibri" w:hAnsi="Calibri"/>
                <w:b w:val="0"/>
                <w:i w:val="0"/>
                <w:color w:val="000000"/>
                <w:sz w:val="17"/>
              </w:rPr>
              <w:t>Scope expands to every Office use too early</w:t>
            </w:r>
          </w:p>
        </w:tc>
        <w:tc>
          <w:tcPr>
            <w:tcW w:type="dxa" w:w="900"/>
          </w:tcPr>
          <w:p>
            <w:pPr>
              <w:spacing w:before="0" w:after="0" w:line="240" w:lineRule="auto"/>
            </w:pPr>
            <w:r/>
            <w:r>
              <w:rPr>
                <w:rFonts w:ascii="Calibri" w:hAnsi="Calibri"/>
                <w:b w:val="0"/>
                <w:i w:val="0"/>
                <w:color w:val="000000"/>
                <w:sz w:val="17"/>
              </w:rPr>
              <w:t>Medium</w:t>
            </w:r>
          </w:p>
        </w:tc>
        <w:tc>
          <w:tcPr>
            <w:tcW w:type="dxa" w:w="4510"/>
          </w:tcPr>
          <w:p>
            <w:pPr>
              <w:spacing w:before="0" w:after="0" w:line="240" w:lineRule="auto"/>
            </w:pPr>
            <w:r/>
            <w:r>
              <w:rPr>
                <w:rFonts w:ascii="Calibri" w:hAnsi="Calibri"/>
                <w:b w:val="0"/>
                <w:i w:val="0"/>
                <w:color w:val="000000"/>
                <w:sz w:val="17"/>
              </w:rPr>
              <w:t>Keep slides as the validated wedge; preserve reusable contracts for later expansion.</w:t>
            </w:r>
          </w:p>
        </w:tc>
      </w:tr>
      <w:tr>
        <w:tc>
          <w:tcPr>
            <w:tcW w:type="dxa" w:w="850"/>
          </w:tcPr>
          <w:p>
            <w:pPr>
              <w:spacing w:before="0" w:after="0" w:line="240" w:lineRule="auto"/>
            </w:pPr>
            <w:r/>
            <w:r>
              <w:rPr>
                <w:rFonts w:ascii="Calibri" w:hAnsi="Calibri"/>
                <w:b/>
                <w:i w:val="0"/>
                <w:color w:val="000000"/>
                <w:sz w:val="17"/>
              </w:rPr>
              <w:t>R-08</w:t>
            </w:r>
          </w:p>
        </w:tc>
        <w:tc>
          <w:tcPr>
            <w:tcW w:type="dxa" w:w="3100"/>
          </w:tcPr>
          <w:p>
            <w:pPr>
              <w:spacing w:before="0" w:after="0" w:line="240" w:lineRule="auto"/>
            </w:pPr>
            <w:r/>
            <w:r>
              <w:rPr>
                <w:rFonts w:ascii="Calibri" w:hAnsi="Calibri"/>
                <w:b w:val="0"/>
                <w:i w:val="0"/>
                <w:color w:val="000000"/>
                <w:sz w:val="17"/>
              </w:rPr>
              <w:t>Public repository receives sensitive artifacts</w:t>
            </w:r>
          </w:p>
        </w:tc>
        <w:tc>
          <w:tcPr>
            <w:tcW w:type="dxa" w:w="900"/>
          </w:tcPr>
          <w:p>
            <w:pPr>
              <w:spacing w:before="0" w:after="0" w:line="240" w:lineRule="auto"/>
            </w:pPr>
            <w:r/>
            <w:r>
              <w:rPr>
                <w:rFonts w:ascii="Calibri" w:hAnsi="Calibri"/>
                <w:b w:val="0"/>
                <w:i w:val="0"/>
                <w:color w:val="000000"/>
                <w:sz w:val="17"/>
              </w:rPr>
              <w:t>High</w:t>
            </w:r>
          </w:p>
        </w:tc>
        <w:tc>
          <w:tcPr>
            <w:tcW w:type="dxa" w:w="4510"/>
          </w:tcPr>
          <w:p>
            <w:pPr>
              <w:spacing w:before="0" w:after="0" w:line="240" w:lineRule="auto"/>
            </w:pPr>
            <w:r/>
            <w:r>
              <w:rPr>
                <w:rFonts w:ascii="Calibri" w:hAnsi="Calibri"/>
                <w:b w:val="0"/>
                <w:i w:val="0"/>
                <w:color w:val="000000"/>
                <w:sz w:val="17"/>
              </w:rPr>
              <w:t>Keep company data, credentials, generated customer files, and internal fixtures outside public history.</w:t>
            </w:r>
          </w:p>
        </w:tc>
      </w:tr>
    </w:tbl>
    <w:p>
      <w:pPr>
        <w:spacing w:after="0"/>
      </w:pPr>
    </w:p>
    <w:p>
      <w:pPr>
        <w:pStyle w:val="Heading1"/>
        <w:keepNext/>
      </w:pPr>
      <w:r>
        <w:rPr>
          <w:rFonts w:ascii="Calibri" w:hAnsi="Calibri"/>
          <w:b/>
          <w:i w:val="0"/>
          <w:color w:val="2E74B5"/>
          <w:sz w:val="32"/>
        </w:rPr>
        <w:t>13. Assumptions, Dependencies, and Open Decisions</w:t>
      </w:r>
    </w:p>
    <w:p>
      <w:pPr>
        <w:pStyle w:val="Heading2"/>
        <w:keepNext/>
      </w:pPr>
      <w:r>
        <w:rPr>
          <w:rFonts w:ascii="Calibri" w:hAnsi="Calibri"/>
          <w:b/>
          <w:i w:val="0"/>
          <w:color w:val="2E74B5"/>
          <w:sz w:val="26"/>
        </w:rPr>
        <w:t>13.1 Working Assumptions</w:t>
      </w:r>
    </w:p>
    <w:p>
      <w:pPr>
        <w:widowControl/>
        <w:numPr>
          <w:ilvl w:val="0"/>
          <w:numId w:val="10"/>
        </w:numPr>
        <w:spacing w:before="0" w:after="160" w:line="280" w:lineRule="auto"/>
      </w:pPr>
      <w:r>
        <w:rPr>
          <w:rFonts w:ascii="Calibri" w:hAnsi="Calibri"/>
          <w:b w:val="0"/>
          <w:i w:val="0"/>
          <w:color w:val="000000"/>
          <w:sz w:val="22"/>
        </w:rPr>
        <w:t>The initial customer values a fast, credible first draft more than unrestricted slide editing inside the browser.</w:t>
      </w:r>
    </w:p>
    <w:p>
      <w:pPr>
        <w:widowControl/>
        <w:numPr>
          <w:ilvl w:val="0"/>
          <w:numId w:val="10"/>
        </w:numPr>
        <w:spacing w:before="0" w:after="160" w:line="280" w:lineRule="auto"/>
      </w:pPr>
      <w:r>
        <w:rPr>
          <w:rFonts w:ascii="Calibri" w:hAnsi="Calibri"/>
          <w:b w:val="0"/>
          <w:i w:val="0"/>
          <w:color w:val="000000"/>
          <w:sz w:val="22"/>
        </w:rPr>
        <w:t>A constrained set of layouts can cover the selected first use case.</w:t>
      </w:r>
    </w:p>
    <w:p>
      <w:pPr>
        <w:widowControl/>
        <w:numPr>
          <w:ilvl w:val="0"/>
          <w:numId w:val="10"/>
        </w:numPr>
        <w:spacing w:before="0" w:after="160" w:line="280" w:lineRule="auto"/>
      </w:pPr>
      <w:r>
        <w:rPr>
          <w:rFonts w:ascii="Calibri" w:hAnsi="Calibri"/>
          <w:b w:val="0"/>
          <w:i w:val="0"/>
          <w:color w:val="000000"/>
          <w:sz w:val="22"/>
        </w:rPr>
        <w:t>A cheap API or local model can meet quality requirements when calculations, retrieval, and rendering are handled deterministically.</w:t>
      </w:r>
    </w:p>
    <w:p>
      <w:pPr>
        <w:widowControl/>
        <w:numPr>
          <w:ilvl w:val="0"/>
          <w:numId w:val="10"/>
        </w:numPr>
        <w:spacing w:before="0" w:after="160" w:line="280" w:lineRule="auto"/>
      </w:pPr>
      <w:r>
        <w:rPr>
          <w:rFonts w:ascii="Calibri" w:hAnsi="Calibri"/>
          <w:b w:val="0"/>
          <w:i w:val="0"/>
          <w:color w:val="000000"/>
          <w:sz w:val="22"/>
        </w:rPr>
        <w:t>PowerPoint is the first required output format.</w:t>
      </w:r>
    </w:p>
    <w:p>
      <w:pPr>
        <w:widowControl/>
        <w:numPr>
          <w:ilvl w:val="0"/>
          <w:numId w:val="10"/>
        </w:numPr>
        <w:spacing w:before="0" w:after="160" w:line="280" w:lineRule="auto"/>
      </w:pPr>
      <w:r>
        <w:rPr>
          <w:rFonts w:ascii="Calibri" w:hAnsi="Calibri"/>
          <w:b w:val="0"/>
          <w:i w:val="0"/>
          <w:color w:val="000000"/>
          <w:sz w:val="22"/>
        </w:rPr>
        <w:t>The detailed technology stack will be finalized after continued discussion and proof-of-concept results.</w:t>
      </w:r>
    </w:p>
    <w:p>
      <w:pPr>
        <w:pStyle w:val="Heading2"/>
        <w:keepNext/>
      </w:pPr>
      <w:r>
        <w:rPr>
          <w:rFonts w:ascii="Calibri" w:hAnsi="Calibri"/>
          <w:b/>
          <w:i w:val="0"/>
          <w:color w:val="2E74B5"/>
          <w:sz w:val="26"/>
        </w:rPr>
        <w:t>13.2 Open Product Decisions</w:t>
      </w:r>
    </w:p>
    <w:p>
      <w:pPr>
        <w:widowControl/>
        <w:numPr>
          <w:ilvl w:val="0"/>
          <w:numId w:val="10"/>
        </w:numPr>
        <w:spacing w:before="0" w:after="160" w:line="280" w:lineRule="auto"/>
      </w:pPr>
      <w:r>
        <w:rPr>
          <w:rFonts w:ascii="Calibri" w:hAnsi="Calibri"/>
          <w:b w:val="0"/>
          <w:i w:val="0"/>
          <w:color w:val="000000"/>
          <w:sz w:val="22"/>
        </w:rPr>
        <w:t>Which report type and deck audience form the first narrow market wedge?</w:t>
      </w:r>
    </w:p>
    <w:p>
      <w:pPr>
        <w:widowControl/>
        <w:numPr>
          <w:ilvl w:val="0"/>
          <w:numId w:val="10"/>
        </w:numPr>
        <w:spacing w:before="0" w:after="160" w:line="280" w:lineRule="auto"/>
      </w:pPr>
      <w:r>
        <w:rPr>
          <w:rFonts w:ascii="Calibri" w:hAnsi="Calibri"/>
          <w:b w:val="0"/>
          <w:i w:val="0"/>
          <w:color w:val="000000"/>
          <w:sz w:val="22"/>
        </w:rPr>
        <w:t>Which file formats and maximum document sizes are supported at launch?</w:t>
      </w:r>
    </w:p>
    <w:p>
      <w:pPr>
        <w:widowControl/>
        <w:numPr>
          <w:ilvl w:val="0"/>
          <w:numId w:val="10"/>
        </w:numPr>
        <w:spacing w:before="0" w:after="160" w:line="280" w:lineRule="auto"/>
      </w:pPr>
      <w:r>
        <w:rPr>
          <w:rFonts w:ascii="Calibri" w:hAnsi="Calibri"/>
          <w:b w:val="0"/>
          <w:i w:val="0"/>
          <w:color w:val="000000"/>
          <w:sz w:val="22"/>
        </w:rPr>
        <w:t>Which slide elements must remain natively editable?</w:t>
      </w:r>
    </w:p>
    <w:p>
      <w:pPr>
        <w:widowControl/>
        <w:numPr>
          <w:ilvl w:val="0"/>
          <w:numId w:val="10"/>
        </w:numPr>
        <w:spacing w:before="0" w:after="160" w:line="280" w:lineRule="auto"/>
      </w:pPr>
      <w:r>
        <w:rPr>
          <w:rFonts w:ascii="Calibri" w:hAnsi="Calibri"/>
          <w:b w:val="0"/>
          <w:i w:val="0"/>
          <w:color w:val="000000"/>
          <w:sz w:val="22"/>
        </w:rPr>
        <w:t>Which npm renderer meets editability, compatibility, and licensing requirements?</w:t>
      </w:r>
    </w:p>
    <w:p>
      <w:pPr>
        <w:widowControl/>
        <w:numPr>
          <w:ilvl w:val="0"/>
          <w:numId w:val="10"/>
        </w:numPr>
        <w:spacing w:before="0" w:after="160" w:line="280" w:lineRule="auto"/>
      </w:pPr>
      <w:r>
        <w:rPr>
          <w:rFonts w:ascii="Calibri" w:hAnsi="Calibri"/>
          <w:b w:val="0"/>
          <w:i w:val="0"/>
          <w:color w:val="000000"/>
          <w:sz w:val="22"/>
        </w:rPr>
        <w:t>Which cheap API and local models pass the domain benchmark?</w:t>
      </w:r>
    </w:p>
    <w:p>
      <w:pPr>
        <w:widowControl/>
        <w:numPr>
          <w:ilvl w:val="0"/>
          <w:numId w:val="10"/>
        </w:numPr>
        <w:spacing w:before="0" w:after="160" w:line="280" w:lineRule="auto"/>
      </w:pPr>
      <w:r>
        <w:rPr>
          <w:rFonts w:ascii="Calibri" w:hAnsi="Calibri"/>
          <w:b w:val="0"/>
          <w:i w:val="0"/>
          <w:color w:val="000000"/>
          <w:sz w:val="22"/>
        </w:rPr>
        <w:t>Is persistent retrieval required for the MVP, or is per-job retrieval sufficient?</w:t>
      </w:r>
    </w:p>
    <w:p>
      <w:pPr>
        <w:widowControl/>
        <w:numPr>
          <w:ilvl w:val="0"/>
          <w:numId w:val="10"/>
        </w:numPr>
        <w:spacing w:before="0" w:after="160" w:line="280" w:lineRule="auto"/>
      </w:pPr>
      <w:r>
        <w:rPr>
          <w:rFonts w:ascii="Calibri" w:hAnsi="Calibri"/>
          <w:b w:val="0"/>
          <w:i w:val="0"/>
          <w:color w:val="000000"/>
          <w:sz w:val="22"/>
        </w:rPr>
        <w:t>What are the initial subscription price, monthly allowance, overage policy, and trial design?</w:t>
      </w:r>
    </w:p>
    <w:p>
      <w:pPr>
        <w:widowControl/>
        <w:numPr>
          <w:ilvl w:val="0"/>
          <w:numId w:val="10"/>
        </w:numPr>
        <w:spacing w:before="0" w:after="160" w:line="280" w:lineRule="auto"/>
      </w:pPr>
      <w:r>
        <w:rPr>
          <w:rFonts w:ascii="Calibri" w:hAnsi="Calibri"/>
          <w:b w:val="0"/>
          <w:i w:val="0"/>
          <w:color w:val="000000"/>
          <w:sz w:val="22"/>
        </w:rPr>
        <w:t>What retention period and deletion policy will be offered?</w:t>
      </w:r>
    </w:p>
    <w:p>
      <w:pPr>
        <w:widowControl/>
        <w:numPr>
          <w:ilvl w:val="0"/>
          <w:numId w:val="10"/>
        </w:numPr>
        <w:spacing w:before="0" w:after="160" w:line="280" w:lineRule="auto"/>
      </w:pPr>
      <w:r>
        <w:rPr>
          <w:rFonts w:ascii="Calibri" w:hAnsi="Calibri"/>
          <w:b w:val="0"/>
          <w:i w:val="0"/>
          <w:color w:val="000000"/>
          <w:sz w:val="22"/>
        </w:rPr>
        <w:t>Which hosting region and model-provider privacy commitments are required?</w:t>
      </w:r>
    </w:p>
    <w:p>
      <w:pPr>
        <w:widowControl/>
        <w:numPr>
          <w:ilvl w:val="0"/>
          <w:numId w:val="10"/>
        </w:numPr>
        <w:spacing w:before="0" w:after="160" w:line="280" w:lineRule="auto"/>
      </w:pPr>
      <w:r>
        <w:rPr>
          <w:rFonts w:ascii="Calibri" w:hAnsi="Calibri"/>
          <w:b w:val="0"/>
          <w:i w:val="0"/>
          <w:color w:val="000000"/>
          <w:sz w:val="22"/>
        </w:rPr>
        <w:t>Which Office output follows presentations: Excel analysis workbooks, Word reports, or another workflow?</w:t>
      </w:r>
    </w:p>
    <w:p>
      <w:pPr>
        <w:pStyle w:val="Heading2"/>
        <w:keepNext/>
      </w:pPr>
      <w:r>
        <w:rPr>
          <w:rFonts w:ascii="Calibri" w:hAnsi="Calibri"/>
          <w:b/>
          <w:i w:val="0"/>
          <w:color w:val="2E74B5"/>
          <w:sz w:val="26"/>
        </w:rPr>
        <w:t>13.3 External Dependencies</w:t>
      </w:r>
    </w:p>
    <w:p>
      <w:pPr>
        <w:widowControl/>
        <w:numPr>
          <w:ilvl w:val="0"/>
          <w:numId w:val="10"/>
        </w:numPr>
        <w:spacing w:before="0" w:after="160" w:line="280" w:lineRule="auto"/>
      </w:pPr>
      <w:r>
        <w:rPr>
          <w:rFonts w:ascii="Calibri" w:hAnsi="Calibri"/>
          <w:b w:val="0"/>
          <w:i w:val="0"/>
          <w:color w:val="000000"/>
          <w:sz w:val="22"/>
        </w:rPr>
        <w:t>Model API availability or adequate local inference hardware.</w:t>
      </w:r>
    </w:p>
    <w:p>
      <w:pPr>
        <w:widowControl/>
        <w:numPr>
          <w:ilvl w:val="0"/>
          <w:numId w:val="10"/>
        </w:numPr>
        <w:spacing w:before="0" w:after="160" w:line="280" w:lineRule="auto"/>
      </w:pPr>
      <w:r>
        <w:rPr>
          <w:rFonts w:ascii="Calibri" w:hAnsi="Calibri"/>
          <w:b w:val="0"/>
          <w:i w:val="0"/>
          <w:color w:val="000000"/>
          <w:sz w:val="22"/>
        </w:rPr>
        <w:t>A compatible HTML-to-PowerPoint or presentation-generation npm package.</w:t>
      </w:r>
    </w:p>
    <w:p>
      <w:pPr>
        <w:widowControl/>
        <w:numPr>
          <w:ilvl w:val="0"/>
          <w:numId w:val="10"/>
        </w:numPr>
        <w:spacing w:before="0" w:after="160" w:line="280" w:lineRule="auto"/>
      </w:pPr>
      <w:r>
        <w:rPr>
          <w:rFonts w:ascii="Calibri" w:hAnsi="Calibri"/>
          <w:b w:val="0"/>
          <w:i w:val="0"/>
          <w:color w:val="000000"/>
          <w:sz w:val="22"/>
        </w:rPr>
        <w:t>Reliable parsing/OCR support for the approved input formats.</w:t>
      </w:r>
    </w:p>
    <w:p>
      <w:pPr>
        <w:widowControl/>
        <w:numPr>
          <w:ilvl w:val="0"/>
          <w:numId w:val="10"/>
        </w:numPr>
        <w:spacing w:before="0" w:after="160" w:line="280" w:lineRule="auto"/>
      </w:pPr>
      <w:r>
        <w:rPr>
          <w:rFonts w:ascii="Calibri" w:hAnsi="Calibri"/>
          <w:b w:val="0"/>
          <w:i w:val="0"/>
          <w:color w:val="000000"/>
          <w:sz w:val="22"/>
        </w:rPr>
        <w:t>Payment and subscription infrastructure.</w:t>
      </w:r>
    </w:p>
    <w:p>
      <w:pPr>
        <w:widowControl/>
        <w:numPr>
          <w:ilvl w:val="0"/>
          <w:numId w:val="10"/>
        </w:numPr>
        <w:spacing w:before="0" w:after="160" w:line="280" w:lineRule="auto"/>
      </w:pPr>
      <w:r>
        <w:rPr>
          <w:rFonts w:ascii="Calibri" w:hAnsi="Calibri"/>
          <w:b w:val="0"/>
          <w:i w:val="0"/>
          <w:color w:val="000000"/>
          <w:sz w:val="22"/>
        </w:rPr>
        <w:t>Representative, safe test documents and reference decks.</w:t>
      </w:r>
    </w:p>
    <w:p>
      <w:pPr>
        <w:widowControl/>
        <w:numPr>
          <w:ilvl w:val="0"/>
          <w:numId w:val="10"/>
        </w:numPr>
        <w:spacing w:before="0" w:after="160" w:line="280" w:lineRule="auto"/>
      </w:pPr>
      <w:r>
        <w:rPr>
          <w:rFonts w:ascii="Calibri" w:hAnsi="Calibri"/>
          <w:b w:val="0"/>
          <w:i w:val="0"/>
          <w:color w:val="000000"/>
          <w:sz w:val="22"/>
        </w:rPr>
        <w:t>Review of licensing, privacy, security, and data-processing obligations before launch.</w:t>
      </w:r>
    </w:p>
    <w:p>
      <w:pPr>
        <w:pStyle w:val="Heading1"/>
        <w:keepNext/>
      </w:pPr>
      <w:r>
        <w:rPr>
          <w:rFonts w:ascii="Calibri" w:hAnsi="Calibri"/>
          <w:b/>
          <w:i w:val="0"/>
          <w:color w:val="2E74B5"/>
          <w:sz w:val="32"/>
        </w:rPr>
        <w:t>14. Approval and Change Control</w:t>
      </w:r>
    </w:p>
    <w:p>
      <w:pPr>
        <w:widowControl/>
        <w:spacing w:before="0" w:after="120" w:line="264" w:lineRule="auto"/>
      </w:pPr>
      <w:r>
        <w:rPr>
          <w:rFonts w:ascii="Calibri" w:hAnsi="Calibri"/>
          <w:b w:val="0"/>
          <w:i w:val="0"/>
          <w:color w:val="000000"/>
          <w:sz w:val="22"/>
        </w:rPr>
        <w:t>This document is a working baseline. Approval means agreement on the current business direction and MVP boundaries, not final approval of a technology stack or commercial price. Material changes to scope, target user, output editability, data handling, subscription model, or quality thresholds should update the BRD version and corresponding Notion backlog.</w:t>
      </w:r>
    </w:p>
    <w:p>
      <w:pPr>
        <w:spacing w:before="160" w:after="200" w:line="264" w:lineRule="auto"/>
        <w:ind w:left="259" w:right="259"/>
        <w:shd w:fill="F4F6F9"/>
        <w:pBdr>
          <w:left w:val="single" w:sz="18" w:space="8" w:color="2E74B5"/>
        </w:pBdr>
      </w:pPr>
      <w:r>
        <w:rPr>
          <w:rFonts w:ascii="Calibri" w:hAnsi="Calibri"/>
          <w:b/>
          <w:i w:val="0"/>
          <w:color w:val="0B2545"/>
          <w:sz w:val="22"/>
        </w:rPr>
        <w:t xml:space="preserve">Next decision: </w:t>
      </w:r>
      <w:r>
        <w:rPr>
          <w:rFonts w:ascii="Calibri" w:hAnsi="Calibri"/>
          <w:b w:val="0"/>
          <w:i w:val="0"/>
          <w:color w:val="0B2545"/>
          <w:sz w:val="22"/>
        </w:rPr>
        <w:t>Continue the technology-stack discussion, select the first report/deck use case, and define the benchmark fixtures before implementation begins.</w:t>
      </w:r>
    </w:p>
    <w:p>
      <w:pPr>
        <w:pStyle w:val="Heading1"/>
        <w:keepNext/>
      </w:pPr>
      <w:r>
        <w:rPr>
          <w:rFonts w:ascii="Calibri" w:hAnsi="Calibri"/>
          <w:b/>
          <w:i w:val="0"/>
          <w:color w:val="2E74B5"/>
          <w:sz w:val="32"/>
        </w:rPr>
        <w:t>Appendix A — Illustrative Analysis Contract</w:t>
      </w:r>
    </w:p>
    <w:p>
      <w:pPr>
        <w:widowControl/>
        <w:spacing w:before="0" w:after="120" w:line="264" w:lineRule="auto"/>
      </w:pPr>
      <w:r>
        <w:rPr>
          <w:rFonts w:ascii="Calibri" w:hAnsi="Calibri"/>
          <w:b w:val="0"/>
          <w:i w:val="0"/>
          <w:color w:val="000000"/>
          <w:sz w:val="22"/>
        </w:rPr>
        <w:t>The final schema will be versioned and machine validated. This abbreviated example shows the intended separation between analysis and rendering.</w:t>
      </w:r>
    </w:p>
    <w:p>
      <w:pPr>
        <w:spacing w:before="120" w:after="200"/>
        <w:ind w:left="317" w:right="317"/>
        <w:shd w:fill="F7F8FA"/>
      </w:pPr>
      <w:r>
        <w:rPr>
          <w:rFonts w:ascii="Courier New" w:hAnsi="Courier New"/>
          <w:b w:val="0"/>
          <w:i w:val="0"/>
          <w:color w:val="0B2545"/>
          <w:sz w:val="17"/>
        </w:rPr>
        <w:t>{</w:t>
        <w:br/>
        <w:t xml:space="preserve">  "schemaVersion": "0.1",</w:t>
        <w:br/>
        <w:t xml:space="preserve">  "executiveSummary": ["Revenue increased 14% year over year."],</w:t>
        <w:br/>
        <w:t xml:space="preserve">  "facts": [{</w:t>
        <w:br/>
        <w:t xml:space="preserve">    "id": "fact_42",</w:t>
        <w:br/>
        <w:t xml:space="preserve">    "metric": "Revenue",</w:t>
        <w:br/>
        <w:t xml:space="preserve">    "value": 12400000,</w:t>
        <w:br/>
        <w:t xml:space="preserve">    "unit": "USD",</w:t>
        <w:br/>
        <w:t xml:space="preserve">    "period": "Q2 2026",</w:t>
        <w:br/>
        <w:t xml:space="preserve">    "source": {"page": 17},</w:t>
        <w:br/>
        <w:t xml:space="preserve">    "confidence": 0.99</w:t>
        <w:br/>
        <w:t xml:space="preserve">  }],</w:t>
        <w:br/>
        <w:t xml:space="preserve">  "trends": [],</w:t>
        <w:br/>
        <w:t xml:space="preserve">  "risks": [],</w:t>
        <w:br/>
        <w:t xml:space="preserve">  "opportunities": [],</w:t>
        <w:br/>
        <w:t xml:space="preserve">  "recommendedVisuals": [{"type": "line", "factIds": ["fact_42"]}]</w:t>
        <w:br/>
        <w:t>}</w:t>
      </w:r>
    </w:p>
    <w:p>
      <w:pPr>
        <w:pStyle w:val="Heading1"/>
        <w:keepNext/>
      </w:pPr>
      <w:r>
        <w:rPr>
          <w:rFonts w:ascii="Calibri" w:hAnsi="Calibri"/>
          <w:b/>
          <w:i w:val="0"/>
          <w:color w:val="2E74B5"/>
          <w:sz w:val="32"/>
        </w:rPr>
        <w:t>Appendix B — Glossary</w:t>
      </w:r>
    </w:p>
    <w:tbl>
      <w:tblPr>
        <w:tblW w:type="dxa" w:w="9360"/>
        <w:jc w:val="left"/>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2100"/>
        <w:gridCol w:w="7260"/>
      </w:tblGrid>
      <w:tr>
        <w:trPr>
          <w:cantSplit/>
          <w:tblHeader w:val="true"/>
        </w:trPr>
        <w:tc>
          <w:tcPr>
            <w:tcW w:type="dxa" w:w="2100"/>
            <w:vAlign w:val="top"/>
            <w:tcMar>
              <w:top w:w="80" w:type="dxa"/>
              <w:start w:w="120" w:type="dxa"/>
              <w:bottom w:w="80" w:type="dxa"/>
              <w:end w:w="120" w:type="dxa"/>
            </w:tcMar>
            <w:shd w:fill="F2F4F7"/>
          </w:tcPr>
          <w:p>
            <w:pPr>
              <w:spacing w:before="0" w:after="0" w:line="240" w:lineRule="auto"/>
            </w:pPr>
            <w:r/>
            <w:r>
              <w:rPr>
                <w:rFonts w:ascii="Calibri" w:hAnsi="Calibri"/>
                <w:b/>
                <w:i w:val="0"/>
                <w:color w:val="0B2545"/>
                <w:sz w:val="18"/>
              </w:rPr>
              <w:t>Term</w:t>
            </w:r>
          </w:p>
        </w:tc>
        <w:tc>
          <w:tcPr>
            <w:tcW w:type="dxa" w:w="7260"/>
            <w:vAlign w:val="top"/>
            <w:tcMar>
              <w:top w:w="80" w:type="dxa"/>
              <w:start w:w="120" w:type="dxa"/>
              <w:bottom w:w="80" w:type="dxa"/>
              <w:end w:w="120" w:type="dxa"/>
            </w:tcMar>
            <w:shd w:fill="F2F4F7"/>
          </w:tcPr>
          <w:p>
            <w:pPr>
              <w:spacing w:before="0" w:after="0" w:line="240" w:lineRule="auto"/>
            </w:pPr>
            <w:r/>
            <w:r>
              <w:rPr>
                <w:rFonts w:ascii="Calibri" w:hAnsi="Calibri"/>
                <w:b/>
                <w:i w:val="0"/>
                <w:color w:val="0B2545"/>
                <w:sz w:val="18"/>
              </w:rPr>
              <w:t>Definition</w:t>
            </w:r>
          </w:p>
        </w:tc>
      </w:tr>
      <w:tr>
        <w:tc>
          <w:tcPr>
            <w:tcW w:type="dxa" w:w="2100"/>
          </w:tcPr>
          <w:p>
            <w:pPr>
              <w:spacing w:before="0" w:after="0" w:line="240" w:lineRule="auto"/>
            </w:pPr>
            <w:r/>
            <w:r>
              <w:rPr>
                <w:rFonts w:ascii="Calibri" w:hAnsi="Calibri"/>
                <w:b/>
                <w:i w:val="0"/>
                <w:color w:val="000000"/>
                <w:sz w:val="18"/>
              </w:rPr>
              <w:t>Analysis contract</w:t>
            </w:r>
          </w:p>
        </w:tc>
        <w:tc>
          <w:tcPr>
            <w:tcW w:type="dxa" w:w="7260"/>
          </w:tcPr>
          <w:p>
            <w:pPr>
              <w:spacing w:before="0" w:after="0" w:line="240" w:lineRule="auto"/>
            </w:pPr>
            <w:r/>
            <w:r>
              <w:rPr>
                <w:rFonts w:ascii="Calibri" w:hAnsi="Calibri"/>
                <w:b w:val="0"/>
                <w:i w:val="0"/>
                <w:color w:val="000000"/>
                <w:sz w:val="18"/>
              </w:rPr>
              <w:t>Versioned structured output containing facts, findings, confidence, provenance, and recommended visuals.</w:t>
            </w:r>
          </w:p>
        </w:tc>
      </w:tr>
      <w:tr>
        <w:tc>
          <w:tcPr>
            <w:tcW w:type="dxa" w:w="2100"/>
          </w:tcPr>
          <w:p>
            <w:pPr>
              <w:spacing w:before="0" w:after="0" w:line="240" w:lineRule="auto"/>
            </w:pPr>
            <w:r/>
            <w:r>
              <w:rPr>
                <w:rFonts w:ascii="Calibri" w:hAnsi="Calibri"/>
                <w:b/>
                <w:i w:val="0"/>
                <w:color w:val="000000"/>
                <w:sz w:val="18"/>
              </w:rPr>
              <w:t>DeckSpec</w:t>
            </w:r>
          </w:p>
        </w:tc>
        <w:tc>
          <w:tcPr>
            <w:tcW w:type="dxa" w:w="7260"/>
          </w:tcPr>
          <w:p>
            <w:pPr>
              <w:spacing w:before="0" w:after="0" w:line="240" w:lineRule="auto"/>
            </w:pPr>
            <w:r/>
            <w:r>
              <w:rPr>
                <w:rFonts w:ascii="Calibri" w:hAnsi="Calibri"/>
                <w:b w:val="0"/>
                <w:i w:val="0"/>
                <w:color w:val="000000"/>
                <w:sz w:val="18"/>
              </w:rPr>
              <w:t>Renderer-neutral structured representation of slides, layouts, content slots, and sources.</w:t>
            </w:r>
          </w:p>
        </w:tc>
      </w:tr>
      <w:tr>
        <w:tc>
          <w:tcPr>
            <w:tcW w:type="dxa" w:w="2100"/>
          </w:tcPr>
          <w:p>
            <w:pPr>
              <w:spacing w:before="0" w:after="0" w:line="240" w:lineRule="auto"/>
            </w:pPr>
            <w:r/>
            <w:r>
              <w:rPr>
                <w:rFonts w:ascii="Calibri" w:hAnsi="Calibri"/>
                <w:b/>
                <w:i w:val="0"/>
                <w:color w:val="000000"/>
                <w:sz w:val="18"/>
              </w:rPr>
              <w:t>Golden fixture</w:t>
            </w:r>
          </w:p>
        </w:tc>
        <w:tc>
          <w:tcPr>
            <w:tcW w:type="dxa" w:w="7260"/>
          </w:tcPr>
          <w:p>
            <w:pPr>
              <w:spacing w:before="0" w:after="0" w:line="240" w:lineRule="auto"/>
            </w:pPr>
            <w:r/>
            <w:r>
              <w:rPr>
                <w:rFonts w:ascii="Calibri" w:hAnsi="Calibri"/>
                <w:b w:val="0"/>
                <w:i w:val="0"/>
                <w:color w:val="000000"/>
                <w:sz w:val="18"/>
              </w:rPr>
              <w:t>A representative test report with expected facts, findings, citations, and forbidden errors.</w:t>
            </w:r>
          </w:p>
        </w:tc>
      </w:tr>
      <w:tr>
        <w:tc>
          <w:tcPr>
            <w:tcW w:type="dxa" w:w="2100"/>
          </w:tcPr>
          <w:p>
            <w:pPr>
              <w:spacing w:before="0" w:after="0" w:line="240" w:lineRule="auto"/>
            </w:pPr>
            <w:r/>
            <w:r>
              <w:rPr>
                <w:rFonts w:ascii="Calibri" w:hAnsi="Calibri"/>
                <w:b/>
                <w:i w:val="0"/>
                <w:color w:val="000000"/>
                <w:sz w:val="18"/>
              </w:rPr>
              <w:t>Harness</w:t>
            </w:r>
          </w:p>
        </w:tc>
        <w:tc>
          <w:tcPr>
            <w:tcW w:type="dxa" w:w="7260"/>
          </w:tcPr>
          <w:p>
            <w:pPr>
              <w:spacing w:before="0" w:after="0" w:line="240" w:lineRule="auto"/>
            </w:pPr>
            <w:r/>
            <w:r>
              <w:rPr>
                <w:rFonts w:ascii="Calibri" w:hAnsi="Calibri"/>
                <w:b w:val="0"/>
                <w:i w:val="0"/>
                <w:color w:val="000000"/>
                <w:sz w:val="18"/>
              </w:rPr>
              <w:t>Deterministic software that validates, fits, renders, checks, and repairs model-derived content.</w:t>
            </w:r>
          </w:p>
        </w:tc>
      </w:tr>
      <w:tr>
        <w:tc>
          <w:tcPr>
            <w:tcW w:type="dxa" w:w="2100"/>
          </w:tcPr>
          <w:p>
            <w:pPr>
              <w:spacing w:before="0" w:after="0" w:line="240" w:lineRule="auto"/>
            </w:pPr>
            <w:r/>
            <w:r>
              <w:rPr>
                <w:rFonts w:ascii="Calibri" w:hAnsi="Calibri"/>
                <w:b/>
                <w:i w:val="0"/>
                <w:color w:val="000000"/>
                <w:sz w:val="18"/>
              </w:rPr>
              <w:t>RAG</w:t>
            </w:r>
          </w:p>
        </w:tc>
        <w:tc>
          <w:tcPr>
            <w:tcW w:type="dxa" w:w="7260"/>
          </w:tcPr>
          <w:p>
            <w:pPr>
              <w:spacing w:before="0" w:after="0" w:line="240" w:lineRule="auto"/>
            </w:pPr>
            <w:r/>
            <w:r>
              <w:rPr>
                <w:rFonts w:ascii="Calibri" w:hAnsi="Calibri"/>
                <w:b w:val="0"/>
                <w:i w:val="0"/>
                <w:color w:val="000000"/>
                <w:sz w:val="18"/>
              </w:rPr>
              <w:t>Retrieval-augmented generation: selecting relevant source content before asking a model to analyze it.</w:t>
            </w:r>
          </w:p>
        </w:tc>
      </w:tr>
      <w:tr>
        <w:tc>
          <w:tcPr>
            <w:tcW w:type="dxa" w:w="2100"/>
          </w:tcPr>
          <w:p>
            <w:pPr>
              <w:spacing w:before="0" w:after="0" w:line="240" w:lineRule="auto"/>
            </w:pPr>
            <w:r/>
            <w:r>
              <w:rPr>
                <w:rFonts w:ascii="Calibri" w:hAnsi="Calibri"/>
                <w:b/>
                <w:i w:val="0"/>
                <w:color w:val="000000"/>
                <w:sz w:val="18"/>
              </w:rPr>
              <w:t>Targeted repair</w:t>
            </w:r>
          </w:p>
        </w:tc>
        <w:tc>
          <w:tcPr>
            <w:tcW w:type="dxa" w:w="7260"/>
          </w:tcPr>
          <w:p>
            <w:pPr>
              <w:spacing w:before="0" w:after="0" w:line="240" w:lineRule="auto"/>
            </w:pPr>
            <w:r/>
            <w:r>
              <w:rPr>
                <w:rFonts w:ascii="Calibri" w:hAnsi="Calibri"/>
                <w:b w:val="0"/>
                <w:i w:val="0"/>
                <w:color w:val="000000"/>
                <w:sz w:val="18"/>
              </w:rPr>
              <w:t>A limited correction request for a specific failed field or slide rather than a full regeneration.</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after="0"/>
    </w:pPr>
    <w:r>
      <w:rPr>
        <w:rFonts w:ascii="Calibri" w:hAnsi="Calibri"/>
        <w:b w:val="0"/>
        <w:i w:val="0"/>
        <w:color w:val="5B6573"/>
        <w:sz w:val="18"/>
      </w:rPr>
      <w:t>Draft  •  Version 0.1</w:t>
    </w:r>
    <w:r>
      <w:rPr>
        <w:rFonts w:ascii="Calibri" w:hAnsi="Calibri"/>
        <w:b w:val="0"/>
        <w:i w:val="0"/>
        <w:color w:val="5B6573"/>
        <w:sz w:val="18"/>
      </w:rPr>
      <w:tab/>
      <w:t xml:space="preserve">Page </w:t>
    </w:r>
    <w:r>
      <w:rPr>
        <w:rFonts w:ascii="Calibri" w:hAnsi="Calibri"/>
        <w:b w:val="0"/>
        <w:i w:val="0"/>
        <w:color w:val="5B65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val="0"/>
        <w:i w:val="0"/>
        <w:color w:val="5B6573"/>
        <w:sz w:val="17"/>
      </w:rPr>
      <w:t>financialSlidesGenerator  •  Business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pPr>
      <w:rPr>
        <w:rFonts w:ascii="Calibri" w:hAnsi="Calibri"/>
      </w:rPr>
    </w:lvl>
  </w:abstractNum>
  <w:num w:numId="10">
    <w:abstractNumId w:val="9"/>
  </w:num>
  <w:abstractNum w:abstractNumId="10">
    <w:multiLevelType w:val="singleLevel"/>
    <w:lvl w:ilvl="0">
      <w:start w:val="1"/>
      <w:numFmt w:val="decimal"/>
      <w:lvlText w:val="%1."/>
      <w:suff w:val="tab"/>
      <w:pPr>
        <w:tabs>
          <w:tab w:val="num" w:pos="720"/>
        </w:tabs>
        <w:ind w:left="720" w:hanging="360"/>
      </w:pPr>
      <w:rPr>
        <w:rFonts w:ascii="Calibri" w:hAnsi="Calibri"/>
      </w:rPr>
    </w:lvl>
  </w:abstractNum>
  <w:num w:numId="11">
    <w:abstractNumId w:val="10"/>
  </w:num>
  <w:abstractNum w:abstractNumId="11">
    <w:multiLevelType w:val="singleLevel"/>
    <w:lvl w:ilvl="0">
      <w:start w:val="1"/>
      <w:numFmt w:val="decimal"/>
      <w:lvlText w:val="%1."/>
      <w:suff w:val="tab"/>
      <w:pPr>
        <w:tabs>
          <w:tab w:val="num" w:pos="720"/>
        </w:tabs>
        <w:ind w:left="720" w:hanging="360"/>
      </w:pPr>
      <w:rPr>
        <w:rFonts w:ascii="Calibri" w:hAnsi="Calibri"/>
      </w:rPr>
    </w:lvl>
  </w:abstractNum>
  <w:num w:numId="12">
    <w:abstractNumId w:val="11"/>
  </w:num>
  <w:abstractNum w:abstractNumId="12">
    <w:multiLevelType w:val="singleLevel"/>
    <w:lvl w:ilvl="0">
      <w:start w:val="1"/>
      <w:numFmt w:val="decimal"/>
      <w:lvlText w:val="%1."/>
      <w:suff w:val="tab"/>
      <w:pPr>
        <w:tabs>
          <w:tab w:val="num" w:pos="720"/>
        </w:tabs>
        <w:ind w:left="720" w:hanging="360"/>
      </w:pPr>
      <w:rPr>
        <w:rFonts w:ascii="Calibri" w:hAnsi="Calibri"/>
      </w:r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financialSlidesGenerator — Business Requirements Document</dc:title>
  <dc:subject>Business requirements for an affordable AI-assisted Office generation platform</dc:subject>
  <dc:creator>Mshari</dc:creator>
  <cp:keywords>BRD, presentations, financial analysis, Office automation, subscription</cp:keywords>
  <dc:description>Draft v0.1 based on product discovery discussions held on 20 July 2026.</dc:description>
  <cp:lastModifiedBy/>
  <cp:revision>1</cp:revision>
  <dcterms:created xsi:type="dcterms:W3CDTF">2013-12-23T23:15:00Z</dcterms:created>
  <dcterms:modified xsi:type="dcterms:W3CDTF">2013-12-23T23:15:00Z</dcterms:modified>
  <cp:category/>
</cp:coreProperties>
</file>