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8220" w14:textId="46ED7DC1" w:rsidR="00135DE9" w:rsidRDefault="00135DE9" w:rsidP="00135DE9">
      <w:pPr>
        <w:pStyle w:val="NormalWeb"/>
      </w:pPr>
      <w:r>
        <w:t xml:space="preserve">Racial segregation is </w:t>
      </w:r>
      <w:r w:rsidR="001367D2">
        <w:t>understood</w:t>
      </w:r>
      <w:r>
        <w:t xml:space="preserve"> to be a mechanism linking racial stratification to zero-sum Black-White outcomes. However, historical and demographic evidence show that segregation also shapes broader, macro-level dynamics, such as income sorting, the availability of public goods, and policy outcomes that undermine the well-being of all residents. This paper tests the argument that segregation leads to White advantage and</w:t>
      </w:r>
      <w:r w:rsidR="00AC2821">
        <w:t xml:space="preserve">, </w:t>
      </w:r>
      <w:r>
        <w:t>simultaneously</w:t>
      </w:r>
      <w:r w:rsidR="00AC2821">
        <w:t>,</w:t>
      </w:r>
      <w:r>
        <w:t xml:space="preserve"> Black disadvantage. To do so, I link 1905-1920 birth cohorts in the 1940 Census to Social Security death records and use an instrumental variable design </w:t>
      </w:r>
      <w:r w:rsidR="00AC2821">
        <w:t>leveraging</w:t>
      </w:r>
      <w:r>
        <w:t xml:space="preserve"> variation in government fragmentation to estimate the </w:t>
      </w:r>
      <w:r w:rsidR="00747E53">
        <w:t xml:space="preserve">causal </w:t>
      </w:r>
      <w:r>
        <w:t xml:space="preserve">effect of segregation on longevity. </w:t>
      </w:r>
      <w:r w:rsidR="001367D2">
        <w:t xml:space="preserve">A </w:t>
      </w:r>
      <w:r>
        <w:t xml:space="preserve">10-point increase in segregation reduced Black longevity by 0.44 years and White longevity by 0.29 years, </w:t>
      </w:r>
      <w:r w:rsidR="001367D2">
        <w:t xml:space="preserve">with pronounced harms </w:t>
      </w:r>
      <w:r>
        <w:t>for less-educated Whites. These findings highlight how mechanisms of racial stratification intersect with population processes and social class to shape life chances across racial groups</w:t>
      </w:r>
      <w:r w:rsidR="001367D2">
        <w:t xml:space="preserve">, thus countering </w:t>
      </w:r>
      <w:r>
        <w:t xml:space="preserve">zero-sum </w:t>
      </w:r>
      <w:r w:rsidR="00D55872">
        <w:t>arguments</w:t>
      </w:r>
      <w:r>
        <w:t>.</w:t>
      </w:r>
    </w:p>
    <w:p w14:paraId="60DDEED3" w14:textId="77777777" w:rsidR="001367D2" w:rsidRDefault="001367D2" w:rsidP="00135DE9">
      <w:pPr>
        <w:pStyle w:val="NormalWeb"/>
      </w:pPr>
    </w:p>
    <w:p w14:paraId="44675AB1" w14:textId="63045C9D" w:rsidR="001367D2" w:rsidRDefault="001367D2" w:rsidP="001367D2">
      <w:pPr>
        <w:pStyle w:val="NormalWeb"/>
      </w:pPr>
      <w:r>
        <w:t xml:space="preserve">Racial segregation is </w:t>
      </w:r>
      <w:r w:rsidR="00D55872">
        <w:t xml:space="preserve">widely </w:t>
      </w:r>
      <w:r>
        <w:t>understood to be a mechanism linking racial stratification to zero-sum Black-White outcomes. However, historical and demographic evidence show that segregation also shapes broader, macro-level dynamics, such as income sorting, the availability of public goods, and policy outcomes that undermine the well-being of all residents. This paper tests the argument that segregation leads to White advantage and, simultaneously, Black disadvantage. To do so, I link 1905-1920 birth cohorts in the 1940 Census to Social Security death records and use an instrumental</w:t>
      </w:r>
      <w:r w:rsidR="00747E53">
        <w:t>-</w:t>
      </w:r>
      <w:r>
        <w:t xml:space="preserve">variable design leveraging variation in government fragmentation to estimate the effect of segregation on longevity. </w:t>
      </w:r>
      <w:r>
        <w:t>Estimates</w:t>
      </w:r>
      <w:r w:rsidR="00D55872">
        <w:t xml:space="preserve"> reveal</w:t>
      </w:r>
      <w:r>
        <w:t xml:space="preserve"> a</w:t>
      </w:r>
      <w:r>
        <w:t xml:space="preserve"> 10-point increase in segregation reduced Black </w:t>
      </w:r>
      <w:r>
        <w:t xml:space="preserve">and White longevity </w:t>
      </w:r>
      <w:r>
        <w:t xml:space="preserve">by 0.44 </w:t>
      </w:r>
      <w:r>
        <w:t xml:space="preserve">and 0.29 </w:t>
      </w:r>
      <w:r>
        <w:t>years</w:t>
      </w:r>
      <w:r w:rsidR="00747E53">
        <w:t xml:space="preserve">, </w:t>
      </w:r>
      <w:r>
        <w:t>respectively</w:t>
      </w:r>
      <w:r>
        <w:t xml:space="preserve">, with pronounced harms for less-educated Whites. These findings highlight how mechanisms of racial stratification intersect with population processes and social class to shape life chances across racial groups, thus countering zero-sum </w:t>
      </w:r>
      <w:r w:rsidR="00747E53">
        <w:t>arguments</w:t>
      </w:r>
      <w:r>
        <w:t>.</w:t>
      </w:r>
    </w:p>
    <w:p w14:paraId="1145F8D2" w14:textId="77777777" w:rsidR="001367D2" w:rsidRDefault="001367D2" w:rsidP="00135DE9">
      <w:pPr>
        <w:pStyle w:val="NormalWeb"/>
      </w:pPr>
    </w:p>
    <w:p w14:paraId="5D77FC50" w14:textId="40A10867" w:rsidR="00135DE9" w:rsidRDefault="00135DE9" w:rsidP="00E57CF5">
      <w:pPr>
        <w:pStyle w:val="NormalWeb"/>
      </w:pPr>
    </w:p>
    <w:p w14:paraId="1FFD80CC" w14:textId="77777777" w:rsidR="00135DE9" w:rsidRDefault="00135DE9" w:rsidP="00E57CF5">
      <w:pPr>
        <w:pStyle w:val="NormalWeb"/>
      </w:pPr>
    </w:p>
    <w:p w14:paraId="5BFBB8C1" w14:textId="5F1767FF" w:rsidR="00E57CF5" w:rsidRDefault="00E57CF5" w:rsidP="00E57CF5">
      <w:pPr>
        <w:pStyle w:val="NormalWeb"/>
      </w:pPr>
      <w:r>
        <w:t xml:space="preserve">The persistent segregation of Black Americans </w:t>
      </w:r>
      <w:r>
        <w:rPr>
          <w:rStyle w:val="cite"/>
          <w:rFonts w:eastAsiaTheme="majorEastAsia"/>
        </w:rPr>
        <w:t>[</w:t>
      </w:r>
      <w:r>
        <w:rPr>
          <w:rStyle w:val="cite-id"/>
          <w:rFonts w:eastAsiaTheme="majorEastAsia"/>
        </w:rPr>
        <w:t>@elbers2021</w:t>
      </w:r>
      <w:r>
        <w:rPr>
          <w:rStyle w:val="cite"/>
          <w:rFonts w:eastAsiaTheme="majorEastAsia"/>
        </w:rPr>
        <w:t>]</w:t>
      </w:r>
      <w:r>
        <w:t xml:space="preserve"> is both a mechanism of structural racism </w:t>
      </w:r>
      <w:r>
        <w:rPr>
          <w:rStyle w:val="cite"/>
          <w:rFonts w:eastAsiaTheme="majorEastAsia"/>
        </w:rPr>
        <w:t>[</w:t>
      </w:r>
      <w:r>
        <w:rPr>
          <w:rStyle w:val="cite-id"/>
          <w:rFonts w:eastAsiaTheme="majorEastAsia"/>
        </w:rPr>
        <w:t>@brown2024</w:t>
      </w:r>
      <w:r>
        <w:rPr>
          <w:rStyle w:val="cite"/>
          <w:rFonts w:eastAsiaTheme="majorEastAsia"/>
        </w:rPr>
        <w:t xml:space="preserve">; </w:t>
      </w:r>
      <w:r>
        <w:rPr>
          <w:rStyle w:val="cite-id"/>
          <w:rFonts w:eastAsiaTheme="majorEastAsia"/>
        </w:rPr>
        <w:t>@massey2003</w:t>
      </w:r>
      <w:r>
        <w:rPr>
          <w:rStyle w:val="cite"/>
          <w:rFonts w:eastAsiaTheme="majorEastAsia"/>
        </w:rPr>
        <w:t>]</w:t>
      </w:r>
      <w:r>
        <w:t xml:space="preserve"> and a fundamental dimension of Black-White inequality </w:t>
      </w:r>
      <w:r>
        <w:rPr>
          <w:rStyle w:val="cite"/>
          <w:rFonts w:eastAsiaTheme="majorEastAsia"/>
        </w:rPr>
        <w:t>[</w:t>
      </w:r>
      <w:r>
        <w:rPr>
          <w:rStyle w:val="cite-id"/>
          <w:rFonts w:eastAsiaTheme="majorEastAsia"/>
        </w:rPr>
        <w:t>@blokland2008</w:t>
      </w:r>
      <w:r>
        <w:rPr>
          <w:rStyle w:val="cite"/>
          <w:rFonts w:eastAsiaTheme="majorEastAsia"/>
        </w:rPr>
        <w:t>]</w:t>
      </w:r>
      <w:r>
        <w:t xml:space="preserve">. A central assumption in scholarship and public opinion is that Whites benefit from racial segregation and will lose advantages afforded to them if they were to residentially integrate with Black Americans. Zero-sum views about Black-White relations are pervasive and form the basis of Whites’ public opinions about redistributive policy </w:t>
      </w:r>
      <w:r>
        <w:rPr>
          <w:rStyle w:val="cite"/>
          <w:rFonts w:eastAsiaTheme="majorEastAsia"/>
        </w:rPr>
        <w:t>[</w:t>
      </w:r>
      <w:r>
        <w:rPr>
          <w:rStyle w:val="cite-id"/>
          <w:rFonts w:eastAsiaTheme="majorEastAsia"/>
        </w:rPr>
        <w:t>@gilens1996; @wetts2018</w:t>
      </w:r>
      <w:r>
        <w:rPr>
          <w:rStyle w:val="cite"/>
          <w:rFonts w:eastAsiaTheme="majorEastAsia"/>
        </w:rPr>
        <w:t xml:space="preserve">; </w:t>
      </w:r>
      <w:r>
        <w:rPr>
          <w:rStyle w:val="cite-id"/>
          <w:rFonts w:eastAsiaTheme="majorEastAsia"/>
        </w:rPr>
        <w:t>@warren2025</w:t>
      </w:r>
      <w:r>
        <w:rPr>
          <w:rStyle w:val="cite"/>
          <w:rFonts w:eastAsiaTheme="majorEastAsia"/>
        </w:rPr>
        <w:t>]</w:t>
      </w:r>
      <w:r>
        <w:t xml:space="preserve"> and racial integration </w:t>
      </w:r>
      <w:r>
        <w:rPr>
          <w:rStyle w:val="cite"/>
          <w:rFonts w:eastAsiaTheme="majorEastAsia"/>
        </w:rPr>
        <w:t>[</w:t>
      </w:r>
      <w:r>
        <w:rPr>
          <w:rStyle w:val="cite-id"/>
          <w:rFonts w:eastAsiaTheme="majorEastAsia"/>
        </w:rPr>
        <w:t>@bobo1996</w:t>
      </w:r>
      <w:r>
        <w:rPr>
          <w:rStyle w:val="cite"/>
          <w:rFonts w:eastAsiaTheme="majorEastAsia"/>
        </w:rPr>
        <w:t>]</w:t>
      </w:r>
      <w:r>
        <w:t>. Accordingly, Whites have continually resisted residential and educational integration due</w:t>
      </w:r>
      <w:r w:rsidR="00117224">
        <w:t xml:space="preserve"> in part</w:t>
      </w:r>
      <w:r>
        <w:t xml:space="preserve"> to a belief that segregation </w:t>
      </w:r>
      <w:r w:rsidR="00117224">
        <w:t>benefits them</w:t>
      </w:r>
      <w:r w:rsidR="00DA26FB">
        <w:t xml:space="preserve"> </w:t>
      </w:r>
      <w:r>
        <w:rPr>
          <w:rStyle w:val="cite"/>
          <w:rFonts w:eastAsiaTheme="majorEastAsia"/>
        </w:rPr>
        <w:t>[</w:t>
      </w:r>
      <w:r>
        <w:rPr>
          <w:rStyle w:val="cite-id"/>
          <w:rFonts w:eastAsiaTheme="majorEastAsia"/>
        </w:rPr>
        <w:t>@mcghee2021</w:t>
      </w:r>
      <w:r>
        <w:rPr>
          <w:rStyle w:val="cite"/>
          <w:rFonts w:eastAsiaTheme="majorEastAsia"/>
        </w:rPr>
        <w:t xml:space="preserve">; </w:t>
      </w:r>
      <w:r>
        <w:rPr>
          <w:rStyle w:val="cite-id"/>
          <w:rFonts w:eastAsiaTheme="majorEastAsia"/>
        </w:rPr>
        <w:t>@crowder2008</w:t>
      </w:r>
      <w:r>
        <w:rPr>
          <w:rStyle w:val="cite"/>
          <w:rFonts w:eastAsiaTheme="majorEastAsia"/>
        </w:rPr>
        <w:t xml:space="preserve">; </w:t>
      </w:r>
      <w:r>
        <w:rPr>
          <w:rStyle w:val="cite-id"/>
          <w:rFonts w:eastAsiaTheme="majorEastAsia"/>
        </w:rPr>
        <w:t>@rich</w:t>
      </w:r>
      <w:r>
        <w:rPr>
          <w:rStyle w:val="cite"/>
          <w:rFonts w:eastAsiaTheme="majorEastAsia"/>
        </w:rPr>
        <w:t xml:space="preserve">; </w:t>
      </w:r>
      <w:r>
        <w:rPr>
          <w:rStyle w:val="cite-id"/>
          <w:rFonts w:eastAsiaTheme="majorEastAsia"/>
        </w:rPr>
        <w:t>@logan2017</w:t>
      </w:r>
      <w:r>
        <w:rPr>
          <w:rStyle w:val="cite"/>
          <w:rFonts w:eastAsiaTheme="majorEastAsia"/>
        </w:rPr>
        <w:t xml:space="preserve">; </w:t>
      </w:r>
      <w:r>
        <w:rPr>
          <w:rStyle w:val="cite-id"/>
          <w:rFonts w:eastAsiaTheme="majorEastAsia"/>
        </w:rPr>
        <w:t>@johnson2019</w:t>
      </w:r>
      <w:r>
        <w:rPr>
          <w:rStyle w:val="cite"/>
          <w:rFonts w:eastAsiaTheme="majorEastAsia"/>
        </w:rPr>
        <w:t xml:space="preserve">; </w:t>
      </w:r>
      <w:r>
        <w:rPr>
          <w:rStyle w:val="cite-id"/>
          <w:rFonts w:eastAsiaTheme="majorEastAsia"/>
        </w:rPr>
        <w:t>@quillian2014</w:t>
      </w:r>
      <w:r>
        <w:rPr>
          <w:rStyle w:val="cite"/>
          <w:rFonts w:eastAsiaTheme="majorEastAsia"/>
        </w:rPr>
        <w:t xml:space="preserve">; </w:t>
      </w:r>
      <w:r>
        <w:rPr>
          <w:rStyle w:val="cite-id"/>
          <w:rFonts w:eastAsiaTheme="majorEastAsia"/>
        </w:rPr>
        <w:t>@frey1979</w:t>
      </w:r>
      <w:r>
        <w:rPr>
          <w:rStyle w:val="cite"/>
          <w:rFonts w:eastAsiaTheme="majorEastAsia"/>
        </w:rPr>
        <w:t>]</w:t>
      </w:r>
      <w:r>
        <w:t>.</w:t>
      </w:r>
    </w:p>
    <w:p w14:paraId="62EBB062" w14:textId="6D6A18C5" w:rsidR="00E57CF5" w:rsidRDefault="00E57CF5" w:rsidP="00E57CF5">
      <w:pPr>
        <w:pStyle w:val="NormalWeb"/>
      </w:pPr>
      <w:r>
        <w:lastRenderedPageBreak/>
        <w:t xml:space="preserve">Despite the </w:t>
      </w:r>
      <w:r w:rsidR="00DA26FB">
        <w:t>entrenched nature</w:t>
      </w:r>
      <w:r>
        <w:t xml:space="preserve"> of zero-sum frameworks, historical evidence and demographic processes question the notion that racial stratification </w:t>
      </w:r>
      <w:r w:rsidR="00DA26FB">
        <w:t xml:space="preserve">universally </w:t>
      </w:r>
      <w:r>
        <w:t>advantages Whites.</w:t>
      </w:r>
      <w:r w:rsidR="00DA26FB">
        <w:t xml:space="preserve"> </w:t>
      </w:r>
      <w:proofErr w:type="spellStart"/>
      <w:r>
        <w:t>DuBoisian</w:t>
      </w:r>
      <w:proofErr w:type="spellEnd"/>
      <w:r>
        <w:t xml:space="preserve"> historical analysis describing the changing patterns of racial inequality post-reconstruction </w:t>
      </w:r>
      <w:r>
        <w:rPr>
          <w:rStyle w:val="cite"/>
          <w:rFonts w:eastAsiaTheme="majorEastAsia"/>
        </w:rPr>
        <w:t>[</w:t>
      </w:r>
      <w:r>
        <w:rPr>
          <w:rStyle w:val="cite-id"/>
          <w:rFonts w:eastAsiaTheme="majorEastAsia"/>
        </w:rPr>
        <w:t>-@dubois1935</w:t>
      </w:r>
      <w:r>
        <w:rPr>
          <w:rStyle w:val="cite"/>
          <w:rFonts w:eastAsiaTheme="majorEastAsia"/>
        </w:rPr>
        <w:t>]</w:t>
      </w:r>
      <w:r>
        <w:t xml:space="preserve"> argues</w:t>
      </w:r>
      <w:r w:rsidR="00DA26FB">
        <w:t>, for instance,</w:t>
      </w:r>
      <w:r>
        <w:t xml:space="preserve"> that racial stratification benefits Whites primarily through symbolic mechanisms, such as perceptions of high status</w:t>
      </w:r>
      <w:r w:rsidR="00DA26FB">
        <w:t xml:space="preserve"> despite disadvantaging </w:t>
      </w:r>
      <w:r>
        <w:t xml:space="preserve">lower class Whites. </w:t>
      </w:r>
      <w:r w:rsidR="00AC3544">
        <w:t>Contemporary</w:t>
      </w:r>
      <w:r>
        <w:t xml:space="preserve"> segregation </w:t>
      </w:r>
      <w:r w:rsidR="00AC3544">
        <w:t xml:space="preserve">theory </w:t>
      </w:r>
      <w:r>
        <w:t xml:space="preserve">centers on the role of </w:t>
      </w:r>
      <w:r w:rsidR="00AC3544">
        <w:t xml:space="preserve">zero-sum </w:t>
      </w:r>
      <w:r>
        <w:t xml:space="preserve">neighborhood-level differences </w:t>
      </w:r>
      <w:r>
        <w:rPr>
          <w:rStyle w:val="cite"/>
          <w:rFonts w:eastAsiaTheme="majorEastAsia"/>
        </w:rPr>
        <w:t>[</w:t>
      </w:r>
      <w:r>
        <w:rPr>
          <w:rStyle w:val="cite-id"/>
          <w:rFonts w:eastAsiaTheme="majorEastAsia"/>
        </w:rPr>
        <w:t>@quillian2014</w:t>
      </w:r>
      <w:r>
        <w:rPr>
          <w:rStyle w:val="cite"/>
          <w:rFonts w:eastAsiaTheme="majorEastAsia"/>
        </w:rPr>
        <w:t>]</w:t>
      </w:r>
      <w:r>
        <w:t xml:space="preserve">, </w:t>
      </w:r>
      <w:r w:rsidR="00AC3544">
        <w:t>which can</w:t>
      </w:r>
      <w:r>
        <w:t xml:space="preserve"> overlook the </w:t>
      </w:r>
      <w:r w:rsidR="00AC3544">
        <w:t xml:space="preserve">widespread, </w:t>
      </w:r>
      <w:proofErr w:type="gramStart"/>
      <w:r w:rsidR="00441DF2">
        <w:t>racially-blind</w:t>
      </w:r>
      <w:proofErr w:type="gramEnd"/>
      <w:r>
        <w:t xml:space="preserve"> effects of macro-level processes that affect all residents. For example, </w:t>
      </w:r>
      <w:r w:rsidR="00441DF2">
        <w:t>research</w:t>
      </w:r>
      <w:r>
        <w:t xml:space="preserve"> shows that segregation also shapes income segregation </w:t>
      </w:r>
      <w:r>
        <w:rPr>
          <w:rStyle w:val="cite"/>
          <w:rFonts w:eastAsiaTheme="majorEastAsia"/>
        </w:rPr>
        <w:t>[</w:t>
      </w:r>
      <w:r>
        <w:rPr>
          <w:rStyle w:val="cite-id"/>
          <w:rFonts w:eastAsiaTheme="majorEastAsia"/>
        </w:rPr>
        <w:t>@reardon2011</w:t>
      </w:r>
      <w:r>
        <w:rPr>
          <w:rStyle w:val="cite"/>
          <w:rFonts w:eastAsiaTheme="majorEastAsia"/>
        </w:rPr>
        <w:t>]</w:t>
      </w:r>
      <w:r>
        <w:t xml:space="preserve">, public spending on infrastructure and public goods </w:t>
      </w:r>
      <w:r>
        <w:rPr>
          <w:rStyle w:val="cite"/>
          <w:rFonts w:eastAsiaTheme="majorEastAsia"/>
        </w:rPr>
        <w:t>[</w:t>
      </w:r>
      <w:r>
        <w:rPr>
          <w:rStyle w:val="cite-id"/>
          <w:rFonts w:eastAsiaTheme="majorEastAsia"/>
        </w:rPr>
        <w:t>@chyn2023</w:t>
      </w:r>
      <w:r>
        <w:rPr>
          <w:rStyle w:val="cite"/>
          <w:rFonts w:eastAsiaTheme="majorEastAsia"/>
        </w:rPr>
        <w:t>]</w:t>
      </w:r>
      <w:r>
        <w:t xml:space="preserve">, and the political efficacy of policies supporting low and middle-income families </w:t>
      </w:r>
      <w:r>
        <w:rPr>
          <w:rStyle w:val="cite"/>
          <w:rFonts w:eastAsiaTheme="majorEastAsia"/>
        </w:rPr>
        <w:t>[</w:t>
      </w:r>
      <w:r>
        <w:rPr>
          <w:rStyle w:val="cite-id"/>
          <w:rFonts w:eastAsiaTheme="majorEastAsia"/>
        </w:rPr>
        <w:t>@ananat2009</w:t>
      </w:r>
      <w:r>
        <w:rPr>
          <w:rStyle w:val="cite"/>
          <w:rFonts w:eastAsiaTheme="majorEastAsia"/>
        </w:rPr>
        <w:t>]</w:t>
      </w:r>
      <w:r>
        <w:t xml:space="preserve"> that could offset neighborhood level differences.</w:t>
      </w:r>
    </w:p>
    <w:p w14:paraId="06DA8B81" w14:textId="699D8E5E" w:rsidR="00E57CF5" w:rsidRDefault="00E57CF5" w:rsidP="00E57CF5">
      <w:pPr>
        <w:pStyle w:val="NormalWeb"/>
      </w:pPr>
      <w:r>
        <w:t xml:space="preserve">In this paper, I bridge historical evidence and theory on </w:t>
      </w:r>
      <w:r w:rsidR="00A16613">
        <w:t xml:space="preserve">race to </w:t>
      </w:r>
      <w:r>
        <w:t xml:space="preserve">empirically test the </w:t>
      </w:r>
      <w:r w:rsidR="00A16613">
        <w:t xml:space="preserve">argument </w:t>
      </w:r>
      <w:r>
        <w:t xml:space="preserve">that segregation produces zero-sum outcomes between White and Black Americans. To do so, I examine the effects of racial segregation on the longevity of Black and White Americans using data from early 20th Century birth cohorts (1905-1920) in the 1940 Full Count Census linked to Social Security Numident death records (N = 2.1 million). A fundamental challenge in determining the impacts of segregation is the endogeneity of place-level confounders like public policies and infrastructure that impact spatial sorting across places and ultimately affect health outcomes </w:t>
      </w:r>
      <w:r>
        <w:rPr>
          <w:rStyle w:val="cite"/>
          <w:rFonts w:eastAsiaTheme="majorEastAsia"/>
        </w:rPr>
        <w:t>[</w:t>
      </w:r>
      <w:r>
        <w:rPr>
          <w:rStyle w:val="cite-id"/>
          <w:rFonts w:eastAsiaTheme="majorEastAsia"/>
        </w:rPr>
        <w:t>@montez2020</w:t>
      </w:r>
      <w:r>
        <w:rPr>
          <w:rStyle w:val="cite"/>
          <w:rFonts w:eastAsiaTheme="majorEastAsia"/>
        </w:rPr>
        <w:t>]</w:t>
      </w:r>
      <w:r>
        <w:t xml:space="preserve">. To address this, I utilize a validated instrumental variable approach that leverages variation in local government fragmentation, as measured by the number of local governments, within U.S. counties in 1967 </w:t>
      </w:r>
      <w:r>
        <w:rPr>
          <w:rStyle w:val="cite"/>
          <w:rFonts w:eastAsiaTheme="majorEastAsia"/>
        </w:rPr>
        <w:t>[</w:t>
      </w:r>
      <w:r>
        <w:rPr>
          <w:rStyle w:val="cite-id"/>
          <w:rFonts w:eastAsiaTheme="majorEastAsia"/>
        </w:rPr>
        <w:t>@cutler1997</w:t>
      </w:r>
      <w:r>
        <w:rPr>
          <w:rStyle w:val="cite"/>
          <w:rFonts w:eastAsiaTheme="majorEastAsia"/>
        </w:rPr>
        <w:t>]</w:t>
      </w:r>
      <w:r>
        <w:t>.</w:t>
      </w:r>
      <w:r>
        <w:rPr>
          <w:rStyle w:val="raw-tex"/>
          <w:rFonts w:eastAsiaTheme="majorEastAsia"/>
        </w:rPr>
        <w:t>\footnote{It is noted in (Cutler and Glaeser 1997) and Light and Thomas (2019) that the spatial arrangement of governments is largely constant over time and fixed well before the contemporary period and largely do not change over time. This gives additional confidence that contemporary segregation patterns do not shape government location and the degree of government fragmentation within places is not determined by other contemporaneous political or economic forces that may shape individual outcomes. This point is discussed further in the Methods section.}</w:t>
      </w:r>
      <w:r>
        <w:t xml:space="preserve"> The intuition of this approach is that counties with greater government fragmentation experience greater sorting between neighborhoods that increases segregation but is unrelated to individual outcomes.</w:t>
      </w:r>
    </w:p>
    <w:p w14:paraId="0926768F" w14:textId="3FA848DD" w:rsidR="00E57CF5" w:rsidRDefault="00E57CF5" w:rsidP="00E57CF5">
      <w:pPr>
        <w:pStyle w:val="NormalWeb"/>
      </w:pPr>
      <w:r>
        <w:t>Results reveal that a 10-percentage point increase in segregation decreased Black longevity by 0.44 years and White longevity by 0.29 years. For Whites, the effects of segregation are particularly harmful for those with lower education</w:t>
      </w:r>
      <w:r w:rsidR="00F35A0E">
        <w:t>;</w:t>
      </w:r>
      <w:r w:rsidR="00A16613">
        <w:t xml:space="preserve"> </w:t>
      </w:r>
      <w:r w:rsidR="00F35A0E">
        <w:t xml:space="preserve">however, </w:t>
      </w:r>
      <w:r w:rsidR="00A16613">
        <w:t>longevity, even</w:t>
      </w:r>
      <w:r>
        <w:t xml:space="preserve"> for the highest educated White American</w:t>
      </w:r>
      <w:r w:rsidR="00F35A0E">
        <w:t>s</w:t>
      </w:r>
      <w:r w:rsidR="00A16613">
        <w:t>, is</w:t>
      </w:r>
      <w:r>
        <w:t xml:space="preserve"> reduced </w:t>
      </w:r>
      <w:r w:rsidR="00A16613">
        <w:t xml:space="preserve">non-trivially </w:t>
      </w:r>
      <w:r>
        <w:t xml:space="preserve">by 0.19 years. These results contribute to sociological theory by highlighting how mechanisms of racial stratification intersect with structural forces, population processes, and social class position to shape </w:t>
      </w:r>
      <w:r w:rsidR="00866280">
        <w:t>the life-chances</w:t>
      </w:r>
      <w:r>
        <w:t xml:space="preserve"> </w:t>
      </w:r>
      <w:r w:rsidR="00512961">
        <w:t xml:space="preserve">of </w:t>
      </w:r>
      <w:r>
        <w:t>individuals</w:t>
      </w:r>
      <w:r w:rsidR="00866280">
        <w:t xml:space="preserve"> </w:t>
      </w:r>
      <w:r>
        <w:t xml:space="preserve">across racial </w:t>
      </w:r>
      <w:r w:rsidR="00E2793C">
        <w:t>groups</w:t>
      </w:r>
      <w:r w:rsidR="00273CDC">
        <w:t>.</w:t>
      </w:r>
      <w:r>
        <w:t xml:space="preserve"> Taken together, </w:t>
      </w:r>
      <w:r w:rsidR="00A16613">
        <w:t>this research</w:t>
      </w:r>
      <w:r>
        <w:t xml:space="preserve"> suggests that policies promoting racial integration could improve both Black and White health outcomes</w:t>
      </w:r>
      <w:r w:rsidR="00E2793C">
        <w:t>, which contest zero-sum conceptions of Black-White disparities</w:t>
      </w:r>
      <w:r>
        <w:t>.</w:t>
      </w:r>
    </w:p>
    <w:p w14:paraId="61FA697C" w14:textId="04E7A94A" w:rsidR="00737A7F" w:rsidRPr="00B056FD" w:rsidRDefault="00BE439C" w:rsidP="00264F33">
      <w:pPr>
        <w:spacing w:after="0" w:line="240" w:lineRule="auto"/>
        <w:rPr>
          <w:rFonts w:ascii="Times New Roman" w:hAnsi="Times New Roman" w:cs="Times New Roman"/>
        </w:rPr>
      </w:pPr>
      <w:r>
        <w:rPr>
          <w:rFonts w:ascii="Times New Roman" w:hAnsi="Times New Roman" w:cs="Times New Roman"/>
        </w:rPr>
        <w:t xml:space="preserve"> </w:t>
      </w:r>
    </w:p>
    <w:sectPr w:rsidR="00737A7F" w:rsidRPr="00B056FD" w:rsidSect="00220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33"/>
    <w:rsid w:val="00117224"/>
    <w:rsid w:val="00135DE9"/>
    <w:rsid w:val="001367D2"/>
    <w:rsid w:val="0014565F"/>
    <w:rsid w:val="0015273F"/>
    <w:rsid w:val="001626BF"/>
    <w:rsid w:val="00176713"/>
    <w:rsid w:val="001C6D62"/>
    <w:rsid w:val="001E6BD9"/>
    <w:rsid w:val="00200B06"/>
    <w:rsid w:val="00214726"/>
    <w:rsid w:val="0022063F"/>
    <w:rsid w:val="00260CC0"/>
    <w:rsid w:val="00264F33"/>
    <w:rsid w:val="00273CDC"/>
    <w:rsid w:val="00317614"/>
    <w:rsid w:val="00346476"/>
    <w:rsid w:val="00383A0B"/>
    <w:rsid w:val="00441DF2"/>
    <w:rsid w:val="00452EF8"/>
    <w:rsid w:val="004842A4"/>
    <w:rsid w:val="00512961"/>
    <w:rsid w:val="0052219D"/>
    <w:rsid w:val="005E29DD"/>
    <w:rsid w:val="00620CA8"/>
    <w:rsid w:val="006553B7"/>
    <w:rsid w:val="0072594C"/>
    <w:rsid w:val="00737A7F"/>
    <w:rsid w:val="00742F3C"/>
    <w:rsid w:val="00747E53"/>
    <w:rsid w:val="00750CC6"/>
    <w:rsid w:val="0077415F"/>
    <w:rsid w:val="0084121D"/>
    <w:rsid w:val="00866280"/>
    <w:rsid w:val="00885525"/>
    <w:rsid w:val="008E0105"/>
    <w:rsid w:val="00A16613"/>
    <w:rsid w:val="00AC2821"/>
    <w:rsid w:val="00AC3544"/>
    <w:rsid w:val="00B056FD"/>
    <w:rsid w:val="00B3346F"/>
    <w:rsid w:val="00B54316"/>
    <w:rsid w:val="00BA5120"/>
    <w:rsid w:val="00BE439C"/>
    <w:rsid w:val="00C644B0"/>
    <w:rsid w:val="00CA0FD4"/>
    <w:rsid w:val="00CA7992"/>
    <w:rsid w:val="00CB02AF"/>
    <w:rsid w:val="00D23D81"/>
    <w:rsid w:val="00D55872"/>
    <w:rsid w:val="00D84C96"/>
    <w:rsid w:val="00DA26FB"/>
    <w:rsid w:val="00DC070A"/>
    <w:rsid w:val="00DD2113"/>
    <w:rsid w:val="00DD3204"/>
    <w:rsid w:val="00E2793C"/>
    <w:rsid w:val="00E4075A"/>
    <w:rsid w:val="00E57CF5"/>
    <w:rsid w:val="00EC7BAB"/>
    <w:rsid w:val="00F35A0E"/>
    <w:rsid w:val="00F84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D18A81"/>
  <w15:chartTrackingRefBased/>
  <w15:docId w15:val="{0ACC1E3B-AB6E-D345-8CCE-432D459A1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F33"/>
    <w:rPr>
      <w:rFonts w:eastAsiaTheme="majorEastAsia" w:cstheme="majorBidi"/>
      <w:color w:val="272727" w:themeColor="text1" w:themeTint="D8"/>
    </w:rPr>
  </w:style>
  <w:style w:type="paragraph" w:styleId="Title">
    <w:name w:val="Title"/>
    <w:basedOn w:val="Normal"/>
    <w:next w:val="Normal"/>
    <w:link w:val="TitleChar"/>
    <w:uiPriority w:val="10"/>
    <w:qFormat/>
    <w:rsid w:val="00264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F33"/>
    <w:pPr>
      <w:spacing w:before="160"/>
      <w:jc w:val="center"/>
    </w:pPr>
    <w:rPr>
      <w:i/>
      <w:iCs/>
      <w:color w:val="404040" w:themeColor="text1" w:themeTint="BF"/>
    </w:rPr>
  </w:style>
  <w:style w:type="character" w:customStyle="1" w:styleId="QuoteChar">
    <w:name w:val="Quote Char"/>
    <w:basedOn w:val="DefaultParagraphFont"/>
    <w:link w:val="Quote"/>
    <w:uiPriority w:val="29"/>
    <w:rsid w:val="00264F33"/>
    <w:rPr>
      <w:i/>
      <w:iCs/>
      <w:color w:val="404040" w:themeColor="text1" w:themeTint="BF"/>
    </w:rPr>
  </w:style>
  <w:style w:type="paragraph" w:styleId="ListParagraph">
    <w:name w:val="List Paragraph"/>
    <w:basedOn w:val="Normal"/>
    <w:uiPriority w:val="34"/>
    <w:qFormat/>
    <w:rsid w:val="00264F33"/>
    <w:pPr>
      <w:ind w:left="720"/>
      <w:contextualSpacing/>
    </w:pPr>
  </w:style>
  <w:style w:type="character" w:styleId="IntenseEmphasis">
    <w:name w:val="Intense Emphasis"/>
    <w:basedOn w:val="DefaultParagraphFont"/>
    <w:uiPriority w:val="21"/>
    <w:qFormat/>
    <w:rsid w:val="00264F33"/>
    <w:rPr>
      <w:i/>
      <w:iCs/>
      <w:color w:val="0F4761" w:themeColor="accent1" w:themeShade="BF"/>
    </w:rPr>
  </w:style>
  <w:style w:type="paragraph" w:styleId="IntenseQuote">
    <w:name w:val="Intense Quote"/>
    <w:basedOn w:val="Normal"/>
    <w:next w:val="Normal"/>
    <w:link w:val="IntenseQuoteChar"/>
    <w:uiPriority w:val="30"/>
    <w:qFormat/>
    <w:rsid w:val="00264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F33"/>
    <w:rPr>
      <w:i/>
      <w:iCs/>
      <w:color w:val="0F4761" w:themeColor="accent1" w:themeShade="BF"/>
    </w:rPr>
  </w:style>
  <w:style w:type="character" w:styleId="IntenseReference">
    <w:name w:val="Intense Reference"/>
    <w:basedOn w:val="DefaultParagraphFont"/>
    <w:uiPriority w:val="32"/>
    <w:qFormat/>
    <w:rsid w:val="00264F33"/>
    <w:rPr>
      <w:b/>
      <w:bCs/>
      <w:smallCaps/>
      <w:color w:val="0F4761" w:themeColor="accent1" w:themeShade="BF"/>
      <w:spacing w:val="5"/>
    </w:rPr>
  </w:style>
  <w:style w:type="character" w:styleId="CommentReference">
    <w:name w:val="annotation reference"/>
    <w:basedOn w:val="DefaultParagraphFont"/>
    <w:uiPriority w:val="99"/>
    <w:semiHidden/>
    <w:unhideWhenUsed/>
    <w:rsid w:val="00200B06"/>
    <w:rPr>
      <w:sz w:val="16"/>
      <w:szCs w:val="16"/>
    </w:rPr>
  </w:style>
  <w:style w:type="paragraph" w:styleId="CommentText">
    <w:name w:val="annotation text"/>
    <w:basedOn w:val="Normal"/>
    <w:link w:val="CommentTextChar"/>
    <w:uiPriority w:val="99"/>
    <w:semiHidden/>
    <w:unhideWhenUsed/>
    <w:rsid w:val="00200B06"/>
    <w:pPr>
      <w:spacing w:line="240" w:lineRule="auto"/>
    </w:pPr>
    <w:rPr>
      <w:sz w:val="20"/>
      <w:szCs w:val="20"/>
    </w:rPr>
  </w:style>
  <w:style w:type="character" w:customStyle="1" w:styleId="CommentTextChar">
    <w:name w:val="Comment Text Char"/>
    <w:basedOn w:val="DefaultParagraphFont"/>
    <w:link w:val="CommentText"/>
    <w:uiPriority w:val="99"/>
    <w:semiHidden/>
    <w:rsid w:val="00200B06"/>
    <w:rPr>
      <w:sz w:val="20"/>
      <w:szCs w:val="20"/>
    </w:rPr>
  </w:style>
  <w:style w:type="paragraph" w:styleId="CommentSubject">
    <w:name w:val="annotation subject"/>
    <w:basedOn w:val="CommentText"/>
    <w:next w:val="CommentText"/>
    <w:link w:val="CommentSubjectChar"/>
    <w:uiPriority w:val="99"/>
    <w:semiHidden/>
    <w:unhideWhenUsed/>
    <w:rsid w:val="00200B06"/>
    <w:rPr>
      <w:b/>
      <w:bCs/>
    </w:rPr>
  </w:style>
  <w:style w:type="character" w:customStyle="1" w:styleId="CommentSubjectChar">
    <w:name w:val="Comment Subject Char"/>
    <w:basedOn w:val="CommentTextChar"/>
    <w:link w:val="CommentSubject"/>
    <w:uiPriority w:val="99"/>
    <w:semiHidden/>
    <w:rsid w:val="00200B06"/>
    <w:rPr>
      <w:b/>
      <w:bCs/>
      <w:sz w:val="20"/>
      <w:szCs w:val="20"/>
    </w:rPr>
  </w:style>
  <w:style w:type="paragraph" w:styleId="NormalWeb">
    <w:name w:val="Normal (Web)"/>
    <w:basedOn w:val="Normal"/>
    <w:uiPriority w:val="99"/>
    <w:semiHidden/>
    <w:unhideWhenUsed/>
    <w:rsid w:val="00E57C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
    <w:name w:val="cite"/>
    <w:basedOn w:val="DefaultParagraphFont"/>
    <w:rsid w:val="00E57CF5"/>
  </w:style>
  <w:style w:type="character" w:customStyle="1" w:styleId="cite-id">
    <w:name w:val="cite-id"/>
    <w:basedOn w:val="DefaultParagraphFont"/>
    <w:rsid w:val="00E57CF5"/>
  </w:style>
  <w:style w:type="character" w:customStyle="1" w:styleId="raw-tex">
    <w:name w:val="raw-tex"/>
    <w:basedOn w:val="DefaultParagraphFont"/>
    <w:rsid w:val="00E57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Thelonious Goerz</dc:creator>
  <cp:keywords/>
  <dc:description/>
  <cp:lastModifiedBy>Thelonious Goerz</cp:lastModifiedBy>
  <cp:revision>30</cp:revision>
  <dcterms:created xsi:type="dcterms:W3CDTF">2025-12-02T16:04:00Z</dcterms:created>
  <dcterms:modified xsi:type="dcterms:W3CDTF">2025-12-04T18:01:00Z</dcterms:modified>
</cp:coreProperties>
</file>