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rPr>
          <w:trHeight w:val="6840" w:hRule="atLeast"/>
        </w:trPr>
        <w:tc>
          <w:tcPr>
            <w:tcW w:type="dxa" w:w="10166"/>
            <w:shd w:fill="12202B"/>
            <w:tcMar>
              <w:top w:w="400" w:type="dxa"/>
              <w:start w:w="300" w:type="dxa"/>
              <w:bottom w:w="400" w:type="dxa"/>
              <w:end w:w="300" w:type="dxa"/>
            </w:tcMar>
          </w:tcPr>
          <w:p>
            <w:pPr>
              <w:spacing w:after="360"/>
            </w:pPr>
            <w:r>
              <w:rPr>
                <w:b/>
                <w:i w:val="0"/>
                <w:caps/>
                <w:color w:val="8FC7DA"/>
                <w:sz w:val="36"/>
              </w:rPr>
              <w:t>REMOTE PROPERTY</w:t>
              <w:br/>
              <w:t>WATCHDOG</w:t>
            </w:r>
          </w:p>
          <w:p>
            <w:pPr>
              <w:spacing w:after="320"/>
            </w:pPr>
            <w:r>
              <w:rPr>
                <w:rFonts w:ascii="Aptos Display" w:hAnsi="Aptos Display"/>
                <w:b/>
                <w:i w:val="0"/>
                <w:color w:val="FFFFFF"/>
                <w:sz w:val="60"/>
              </w:rPr>
              <w:t>Security, Privacy &amp;</w:t>
              <w:br/>
              <w:t>Threat Model</w:t>
            </w:r>
          </w:p>
          <w:p>
            <w:pPr>
              <w:spacing w:after="200"/>
            </w:pPr>
            <w:r>
              <w:rPr>
                <w:b w:val="0"/>
                <w:i w:val="0"/>
                <w:color w:val="D9E7EC"/>
                <w:sz w:val="28"/>
              </w:rPr>
              <w:t>Version 0.1</w:t>
            </w:r>
          </w:p>
          <w:p>
            <w:pPr>
              <w:spacing w:after="400"/>
            </w:pPr>
            <w:r>
              <w:rPr>
                <w:b w:val="0"/>
                <w:i w:val="0"/>
                <w:color w:val="FFFFFF"/>
                <w:sz w:val="22"/>
              </w:rPr>
              <w:t>Security architecture, privacy-by-design rules, abuse cases, risk treatment, and launch assurance for the Windows agent and cloud control plane.</w:t>
            </w:r>
          </w:p>
          <w:p>
            <w:pPr>
              <w:spacing w:after="0"/>
            </w:pPr>
            <w:r>
              <w:rPr>
                <w:b w:val="0"/>
                <w:i w:val="0"/>
                <w:color w:val="BFD0D7"/>
                <w:sz w:val="19"/>
              </w:rPr>
              <w:t>Prepared for founder, product, engineering, and security review</w:t>
              <w:br/>
              <w:t>July 13, 2026</w:t>
            </w:r>
          </w:p>
        </w:tc>
      </w:tr>
    </w:tbl>
    <w:p>
      <w:pPr>
        <w:spacing w:after="60"/>
      </w:pPr>
    </w:p>
    <w:tbl>
      <w:tblPr>
        <w:tblW w:type="auto" w:w="0"/>
        <w:jc w:val="center"/>
        <w:tblLayout w:type="fixed"/>
        <w:tblLook w:firstColumn="1" w:firstRow="1" w:lastColumn="0" w:lastRow="0" w:noHBand="0" w:noVBand="1" w:val="04A0"/>
      </w:tblPr>
      <w:tblGrid>
        <w:gridCol w:w="10080"/>
      </w:tblGrid>
      <w:tr>
        <w:trPr>
          <w:cantSplit/>
        </w:trPr>
        <w:tc>
          <w:tcPr>
            <w:tcW w:type="dxa" w:w="10166"/>
            <w:shd w:fill="E7EEF1"/>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SECURITY OBJECTIVE</w:t>
            </w:r>
          </w:p>
          <w:p>
            <w:pPr>
              <w:spacing w:after="0"/>
            </w:pPr>
            <w:r>
              <w:rPr>
                <w:b w:val="0"/>
                <w:i w:val="0"/>
                <w:color w:val="27333B"/>
                <w:sz w:val="20"/>
              </w:rPr>
              <w:t>Protect customers from unauthorized access, deceptive alerts, privacy overreach, supply-chain compromise, and cross-property exposure while preserving the product’s ability to detect outages when a property can no longer communicate.</w:t>
            </w:r>
          </w:p>
        </w:tc>
      </w:tr>
    </w:tbl>
    <w:p>
      <w:pPr>
        <w:spacing w:after="0"/>
      </w:pP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E6078"/>
            <w:tcMar>
              <w:top w:w="80" w:type="dxa"/>
              <w:start w:w="90" w:type="dxa"/>
              <w:bottom w:w="80" w:type="dxa"/>
              <w:end w:w="90" w:type="dxa"/>
            </w:tcMar>
          </w:tcPr>
          <w:p>
            <w:pPr>
              <w:spacing w:after="0"/>
              <w:jc w:val="left"/>
            </w:pPr>
            <w:r>
              <w:rPr>
                <w:b/>
                <w:i w:val="0"/>
                <w:color w:val="FFFFFF"/>
                <w:sz w:val="16"/>
              </w:rPr>
              <w:t>Field</w:t>
            </w:r>
          </w:p>
        </w:tc>
        <w:tc>
          <w:tcPr>
            <w:tcW w:type="dxa" w:w="7848"/>
            <w:shd w:fill="2E6078"/>
            <w:tcMar>
              <w:top w:w="80" w:type="dxa"/>
              <w:start w:w="90" w:type="dxa"/>
              <w:bottom w:w="80" w:type="dxa"/>
              <w:end w:w="90" w:type="dxa"/>
            </w:tcMar>
          </w:tcPr>
          <w:p>
            <w:pPr>
              <w:spacing w:after="0"/>
              <w:jc w:val="left"/>
            </w:pPr>
            <w:r>
              <w:rPr>
                <w:b/>
                <w:i w:val="0"/>
                <w:color w:val="FFFFFF"/>
                <w:sz w:val="16"/>
              </w:rPr>
              <w:t>Value</w:t>
            </w:r>
          </w:p>
        </w:tc>
      </w:tr>
      <w:tr>
        <w:trPr>
          <w:cantSplit/>
        </w:trPr>
        <w:tc>
          <w:tcPr>
            <w:tcW w:type="dxa" w:w="2088"/>
            <w:tcMar>
              <w:top w:w="70" w:type="dxa"/>
              <w:start w:w="85" w:type="dxa"/>
              <w:bottom w:w="70" w:type="dxa"/>
              <w:end w:w="85" w:type="dxa"/>
            </w:tcMar>
            <w:vAlign w:val="top"/>
          </w:tcPr>
          <w:p>
            <w:pPr>
              <w:spacing w:after="0" w:line="240" w:lineRule="auto"/>
            </w:pPr>
            <w:r>
              <w:rPr>
                <w:b/>
                <w:i w:val="0"/>
                <w:color w:val="27333B"/>
                <w:sz w:val="17"/>
              </w:rPr>
              <w:t>Document</w:t>
            </w:r>
          </w:p>
        </w:tc>
        <w:tc>
          <w:tcPr>
            <w:tcW w:type="dxa" w:w="7848"/>
            <w:tcMar>
              <w:top w:w="70" w:type="dxa"/>
              <w:start w:w="85" w:type="dxa"/>
              <w:bottom w:w="70" w:type="dxa"/>
              <w:end w:w="85" w:type="dxa"/>
            </w:tcMar>
            <w:vAlign w:val="top"/>
          </w:tcPr>
          <w:p>
            <w:pPr>
              <w:spacing w:after="0" w:line="240" w:lineRule="auto"/>
            </w:pPr>
            <w:r>
              <w:rPr>
                <w:b w:val="0"/>
                <w:i w:val="0"/>
                <w:color w:val="27333B"/>
                <w:sz w:val="17"/>
              </w:rPr>
              <w:t>Remote Property Watchdog — Security, Privacy &amp; Threat Model</w:t>
            </w:r>
          </w:p>
        </w:tc>
      </w:tr>
      <w:tr>
        <w:trPr>
          <w:cantSplit/>
        </w:trPr>
        <w:tc>
          <w:tcPr>
            <w:tcW w:type="dxa" w:w="2088"/>
            <w:tcMar>
              <w:top w:w="70" w:type="dxa"/>
              <w:start w:w="85" w:type="dxa"/>
              <w:bottom w:w="70" w:type="dxa"/>
              <w:end w:w="85" w:type="dxa"/>
            </w:tcMar>
            <w:vAlign w:val="top"/>
            <w:shd w:fill="F5F7F8"/>
          </w:tcPr>
          <w:p>
            <w:pPr>
              <w:spacing w:after="0" w:line="240" w:lineRule="auto"/>
            </w:pPr>
            <w:r>
              <w:rPr>
                <w:b/>
                <w:i w:val="0"/>
                <w:color w:val="27333B"/>
                <w:sz w:val="17"/>
              </w:rPr>
              <w:t>Version / status</w:t>
            </w:r>
          </w:p>
        </w:tc>
        <w:tc>
          <w:tcPr>
            <w:tcW w:type="dxa" w:w="7848"/>
            <w:tcMar>
              <w:top w:w="70" w:type="dxa"/>
              <w:start w:w="85" w:type="dxa"/>
              <w:bottom w:w="70" w:type="dxa"/>
              <w:end w:w="85" w:type="dxa"/>
            </w:tcMar>
            <w:vAlign w:val="top"/>
            <w:shd w:fill="F5F7F8"/>
          </w:tcPr>
          <w:p>
            <w:pPr>
              <w:spacing w:after="0" w:line="240" w:lineRule="auto"/>
            </w:pPr>
            <w:r>
              <w:rPr>
                <w:b w:val="0"/>
                <w:i w:val="0"/>
                <w:color w:val="27333B"/>
                <w:sz w:val="17"/>
              </w:rPr>
              <w:t>v0.1 — founder and engineering review</w:t>
            </w:r>
          </w:p>
        </w:tc>
      </w:tr>
      <w:tr>
        <w:trPr>
          <w:cantSplit/>
        </w:trPr>
        <w:tc>
          <w:tcPr>
            <w:tcW w:type="dxa" w:w="2088"/>
            <w:tcMar>
              <w:top w:w="70" w:type="dxa"/>
              <w:start w:w="85" w:type="dxa"/>
              <w:bottom w:w="70" w:type="dxa"/>
              <w:end w:w="85" w:type="dxa"/>
            </w:tcMar>
            <w:vAlign w:val="top"/>
          </w:tcPr>
          <w:p>
            <w:pPr>
              <w:spacing w:after="0" w:line="240" w:lineRule="auto"/>
            </w:pPr>
            <w:r>
              <w:rPr>
                <w:b/>
                <w:i w:val="0"/>
                <w:color w:val="27333B"/>
                <w:sz w:val="17"/>
              </w:rPr>
              <w:t>Prepared</w:t>
            </w:r>
          </w:p>
        </w:tc>
        <w:tc>
          <w:tcPr>
            <w:tcW w:type="dxa" w:w="7848"/>
            <w:tcMar>
              <w:top w:w="70" w:type="dxa"/>
              <w:start w:w="85" w:type="dxa"/>
              <w:bottom w:w="70" w:type="dxa"/>
              <w:end w:w="85" w:type="dxa"/>
            </w:tcMar>
            <w:vAlign w:val="top"/>
          </w:tcPr>
          <w:p>
            <w:pPr>
              <w:spacing w:after="0" w:line="240" w:lineRule="auto"/>
            </w:pPr>
            <w:r>
              <w:rPr>
                <w:b w:val="0"/>
                <w:i w:val="0"/>
                <w:color w:val="27333B"/>
                <w:sz w:val="17"/>
              </w:rPr>
              <w:t>July 13, 2026</w:t>
            </w:r>
          </w:p>
        </w:tc>
      </w:tr>
      <w:tr>
        <w:trPr>
          <w:cantSplit/>
        </w:trPr>
        <w:tc>
          <w:tcPr>
            <w:tcW w:type="dxa" w:w="2088"/>
            <w:tcMar>
              <w:top w:w="70" w:type="dxa"/>
              <w:start w:w="85" w:type="dxa"/>
              <w:bottom w:w="70" w:type="dxa"/>
              <w:end w:w="85" w:type="dxa"/>
            </w:tcMar>
            <w:vAlign w:val="top"/>
            <w:shd w:fill="F5F7F8"/>
          </w:tcPr>
          <w:p>
            <w:pPr>
              <w:spacing w:after="0" w:line="240" w:lineRule="auto"/>
            </w:pPr>
            <w:r>
              <w:rPr>
                <w:b/>
                <w:i w:val="0"/>
                <w:color w:val="27333B"/>
                <w:sz w:val="17"/>
              </w:rPr>
              <w:t>Audience</w:t>
            </w:r>
          </w:p>
        </w:tc>
        <w:tc>
          <w:tcPr>
            <w:tcW w:type="dxa" w:w="7848"/>
            <w:tcMar>
              <w:top w:w="70" w:type="dxa"/>
              <w:start w:w="85" w:type="dxa"/>
              <w:bottom w:w="70" w:type="dxa"/>
              <w:end w:w="85" w:type="dxa"/>
            </w:tcMar>
            <w:vAlign w:val="top"/>
            <w:shd w:fill="F5F7F8"/>
          </w:tcPr>
          <w:p>
            <w:pPr>
              <w:spacing w:after="0" w:line="240" w:lineRule="auto"/>
            </w:pPr>
            <w:r>
              <w:rPr>
                <w:b w:val="0"/>
                <w:i w:val="0"/>
                <w:color w:val="27333B"/>
                <w:sz w:val="17"/>
              </w:rPr>
              <w:t>Founder, product, engineering, security reviewers, future legal/privacy counsel, and beta operations</w:t>
            </w:r>
          </w:p>
        </w:tc>
      </w:tr>
      <w:tr>
        <w:trPr>
          <w:cantSplit/>
        </w:trPr>
        <w:tc>
          <w:tcPr>
            <w:tcW w:type="dxa" w:w="2088"/>
            <w:tcMar>
              <w:top w:w="70" w:type="dxa"/>
              <w:start w:w="85" w:type="dxa"/>
              <w:bottom w:w="70" w:type="dxa"/>
              <w:end w:w="85" w:type="dxa"/>
            </w:tcMar>
            <w:vAlign w:val="top"/>
          </w:tcPr>
          <w:p>
            <w:pPr>
              <w:spacing w:after="0" w:line="240" w:lineRule="auto"/>
            </w:pPr>
            <w:r>
              <w:rPr>
                <w:b/>
                <w:i w:val="0"/>
                <w:color w:val="27333B"/>
                <w:sz w:val="17"/>
              </w:rPr>
              <w:t>Authority</w:t>
            </w:r>
          </w:p>
        </w:tc>
        <w:tc>
          <w:tcPr>
            <w:tcW w:type="dxa" w:w="7848"/>
            <w:tcMar>
              <w:top w:w="70" w:type="dxa"/>
              <w:start w:w="85" w:type="dxa"/>
              <w:bottom w:w="70" w:type="dxa"/>
              <w:end w:w="85" w:type="dxa"/>
            </w:tcMar>
            <w:vAlign w:val="top"/>
          </w:tcPr>
          <w:p>
            <w:pPr>
              <w:spacing w:after="0" w:line="240" w:lineRule="auto"/>
            </w:pPr>
            <w:r>
              <w:rPr>
                <w:b w:val="0"/>
                <w:i w:val="0"/>
                <w:color w:val="27333B"/>
                <w:sz w:val="17"/>
              </w:rPr>
              <w:t>Normative for security and privacy behavior when approved; superseded only by a later version or signed Architecture Decision Record</w:t>
            </w:r>
          </w:p>
        </w:tc>
      </w:tr>
      <w:tr>
        <w:trPr>
          <w:cantSplit/>
        </w:trPr>
        <w:tc>
          <w:tcPr>
            <w:tcW w:type="dxa" w:w="2088"/>
            <w:tcMar>
              <w:top w:w="70" w:type="dxa"/>
              <w:start w:w="85" w:type="dxa"/>
              <w:bottom w:w="70" w:type="dxa"/>
              <w:end w:w="85" w:type="dxa"/>
            </w:tcMar>
            <w:vAlign w:val="top"/>
            <w:shd w:fill="F5F7F8"/>
          </w:tcPr>
          <w:p>
            <w:pPr>
              <w:spacing w:after="0" w:line="240" w:lineRule="auto"/>
            </w:pPr>
            <w:r>
              <w:rPr>
                <w:b/>
                <w:i w:val="0"/>
                <w:color w:val="27333B"/>
                <w:sz w:val="17"/>
              </w:rPr>
              <w:t>Review cadence</w:t>
            </w:r>
          </w:p>
        </w:tc>
        <w:tc>
          <w:tcPr>
            <w:tcW w:type="dxa" w:w="7848"/>
            <w:tcMar>
              <w:top w:w="70" w:type="dxa"/>
              <w:start w:w="85" w:type="dxa"/>
              <w:bottom w:w="70" w:type="dxa"/>
              <w:end w:w="85" w:type="dxa"/>
            </w:tcMar>
            <w:vAlign w:val="top"/>
            <w:shd w:fill="F5F7F8"/>
          </w:tcPr>
          <w:p>
            <w:pPr>
              <w:spacing w:after="0" w:line="240" w:lineRule="auto"/>
            </w:pPr>
            <w:r>
              <w:rPr>
                <w:b w:val="0"/>
                <w:i w:val="0"/>
                <w:color w:val="27333B"/>
                <w:sz w:val="17"/>
              </w:rPr>
              <w:t>At prototype gate, before private beta, before public launch, after material architecture changes, and after significant security incidents</w:t>
            </w:r>
          </w:p>
        </w:tc>
      </w:tr>
    </w:tbl>
    <w:p>
      <w:pPr>
        <w:spacing w:after="0"/>
      </w:pPr>
    </w:p>
    <w:p>
      <w:pPr>
        <w:pStyle w:val="Heading2"/>
        <w:keepNext/>
      </w:pPr>
      <w:r>
        <w:t>Version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shd w:fill="2E6078"/>
            <w:tcMar>
              <w:top w:w="80" w:type="dxa"/>
              <w:start w:w="90" w:type="dxa"/>
              <w:bottom w:w="80" w:type="dxa"/>
              <w:end w:w="90" w:type="dxa"/>
            </w:tcMar>
          </w:tcPr>
          <w:p>
            <w:pPr>
              <w:spacing w:after="0"/>
              <w:jc w:val="left"/>
            </w:pPr>
            <w:r>
              <w:rPr>
                <w:b/>
                <w:i w:val="0"/>
                <w:color w:val="FFFFFF"/>
                <w:sz w:val="16"/>
              </w:rPr>
              <w:t>Version</w:t>
            </w:r>
          </w:p>
        </w:tc>
        <w:tc>
          <w:tcPr>
            <w:tcW w:type="dxa" w:w="1440"/>
            <w:shd w:fill="2E6078"/>
            <w:tcMar>
              <w:top w:w="80" w:type="dxa"/>
              <w:start w:w="90" w:type="dxa"/>
              <w:bottom w:w="80" w:type="dxa"/>
              <w:end w:w="90" w:type="dxa"/>
            </w:tcMar>
          </w:tcPr>
          <w:p>
            <w:pPr>
              <w:spacing w:after="0"/>
              <w:jc w:val="left"/>
            </w:pPr>
            <w:r>
              <w:rPr>
                <w:b/>
                <w:i w:val="0"/>
                <w:color w:val="FFFFFF"/>
                <w:sz w:val="16"/>
              </w:rPr>
              <w:t>Date</w:t>
            </w:r>
          </w:p>
        </w:tc>
        <w:tc>
          <w:tcPr>
            <w:tcW w:type="dxa" w:w="1296"/>
            <w:shd w:fill="2E6078"/>
            <w:tcMar>
              <w:top w:w="80" w:type="dxa"/>
              <w:start w:w="90" w:type="dxa"/>
              <w:bottom w:w="80" w:type="dxa"/>
              <w:end w:w="90" w:type="dxa"/>
            </w:tcMar>
          </w:tcPr>
          <w:p>
            <w:pPr>
              <w:spacing w:after="0"/>
              <w:jc w:val="left"/>
            </w:pPr>
            <w:r>
              <w:rPr>
                <w:b/>
                <w:i w:val="0"/>
                <w:color w:val="FFFFFF"/>
                <w:sz w:val="16"/>
              </w:rPr>
              <w:t>Status</w:t>
            </w:r>
          </w:p>
        </w:tc>
        <w:tc>
          <w:tcPr>
            <w:tcW w:type="dxa" w:w="6192"/>
            <w:shd w:fill="2E6078"/>
            <w:tcMar>
              <w:top w:w="80" w:type="dxa"/>
              <w:start w:w="90" w:type="dxa"/>
              <w:bottom w:w="80" w:type="dxa"/>
              <w:end w:w="90" w:type="dxa"/>
            </w:tcMar>
          </w:tcPr>
          <w:p>
            <w:pPr>
              <w:spacing w:after="0"/>
              <w:jc w:val="left"/>
            </w:pPr>
            <w:r>
              <w:rPr>
                <w:b/>
                <w:i w:val="0"/>
                <w:color w:val="FFFFFF"/>
                <w:sz w:val="16"/>
              </w:rPr>
              <w:t>Summary</w:t>
            </w:r>
          </w:p>
        </w:tc>
      </w:tr>
      <w:tr>
        <w:trPr>
          <w:cantSplit/>
        </w:trPr>
        <w:tc>
          <w:tcPr>
            <w:tcW w:type="dxa" w:w="1008"/>
            <w:tcMar>
              <w:top w:w="70" w:type="dxa"/>
              <w:start w:w="85" w:type="dxa"/>
              <w:bottom w:w="70" w:type="dxa"/>
              <w:end w:w="85" w:type="dxa"/>
            </w:tcMar>
            <w:vAlign w:val="top"/>
          </w:tcPr>
          <w:p>
            <w:pPr>
              <w:spacing w:after="0" w:line="240" w:lineRule="auto"/>
            </w:pPr>
            <w:r>
              <w:rPr>
                <w:b w:val="0"/>
                <w:i w:val="0"/>
                <w:color w:val="27333B"/>
                <w:sz w:val="16"/>
              </w:rPr>
              <w:t>0.1</w:t>
            </w:r>
          </w:p>
        </w:tc>
        <w:tc>
          <w:tcPr>
            <w:tcW w:type="dxa" w:w="1440"/>
            <w:tcMar>
              <w:top w:w="70" w:type="dxa"/>
              <w:start w:w="85" w:type="dxa"/>
              <w:bottom w:w="70" w:type="dxa"/>
              <w:end w:w="85" w:type="dxa"/>
            </w:tcMar>
            <w:vAlign w:val="top"/>
          </w:tcPr>
          <w:p>
            <w:pPr>
              <w:spacing w:after="0" w:line="240" w:lineRule="auto"/>
            </w:pPr>
            <w:r>
              <w:rPr>
                <w:b w:val="0"/>
                <w:i w:val="0"/>
                <w:color w:val="27333B"/>
                <w:sz w:val="16"/>
              </w:rPr>
              <w:t>2026-07-13</w:t>
            </w:r>
          </w:p>
        </w:tc>
        <w:tc>
          <w:tcPr>
            <w:tcW w:type="dxa" w:w="1296"/>
            <w:tcMar>
              <w:top w:w="70" w:type="dxa"/>
              <w:start w:w="85" w:type="dxa"/>
              <w:bottom w:w="70" w:type="dxa"/>
              <w:end w:w="85" w:type="dxa"/>
            </w:tcMar>
            <w:vAlign w:val="top"/>
          </w:tcPr>
          <w:p>
            <w:pPr>
              <w:spacing w:after="0" w:line="240" w:lineRule="auto"/>
            </w:pPr>
            <w:r>
              <w:rPr>
                <w:b w:val="0"/>
                <w:i w:val="0"/>
                <w:color w:val="27333B"/>
                <w:sz w:val="16"/>
              </w:rPr>
              <w:t>Draft</w:t>
            </w:r>
          </w:p>
        </w:tc>
        <w:tc>
          <w:tcPr>
            <w:tcW w:type="dxa" w:w="6192"/>
            <w:tcMar>
              <w:top w:w="70" w:type="dxa"/>
              <w:start w:w="85" w:type="dxa"/>
              <w:bottom w:w="70" w:type="dxa"/>
              <w:end w:w="85" w:type="dxa"/>
            </w:tcMar>
            <w:vAlign w:val="top"/>
          </w:tcPr>
          <w:p>
            <w:pPr>
              <w:spacing w:after="0" w:line="240" w:lineRule="auto"/>
            </w:pPr>
            <w:r>
              <w:rPr>
                <w:b w:val="0"/>
                <w:i w:val="0"/>
                <w:color w:val="27333B"/>
                <w:sz w:val="16"/>
              </w:rPr>
              <w:t>Initial security, privacy, and threat model derived from the approved product, flow, prototype, architecture, and API specifications.</w:t>
            </w:r>
          </w:p>
        </w:tc>
      </w:tr>
    </w:tbl>
    <w:p>
      <w:pPr>
        <w:spacing w:after="0"/>
      </w:pPr>
    </w:p>
    <w:p>
      <w:pPr>
        <w:pStyle w:val="Heading2"/>
        <w:keepNext/>
      </w:pPr>
      <w:r>
        <w:t>Source documents</w:t>
      </w:r>
    </w:p>
    <w:p>
      <w:pPr>
        <w:pStyle w:val="ListBullet"/>
      </w:pPr>
      <w:r>
        <w:t>Founder Product Brief v0.1</w:t>
      </w:r>
    </w:p>
    <w:p>
      <w:pPr>
        <w:pStyle w:val="ListBullet"/>
      </w:pPr>
      <w:r>
        <w:t>Product Requirements Document v0.1</w:t>
      </w:r>
    </w:p>
    <w:p>
      <w:pPr>
        <w:pStyle w:val="ListBullet"/>
      </w:pPr>
      <w:r>
        <w:t>User &amp; Incident Flow Specification v0.1</w:t>
      </w:r>
    </w:p>
    <w:p>
      <w:pPr>
        <w:pStyle w:val="ListBullet"/>
      </w:pPr>
      <w:r>
        <w:t>Technical Feasibility Prototype Specification v0.1</w:t>
      </w:r>
    </w:p>
    <w:p>
      <w:pPr>
        <w:pStyle w:val="ListBullet"/>
      </w:pPr>
      <w:r>
        <w:t>Software Architecture Blueprint v0.1</w:t>
      </w:r>
    </w:p>
    <w:p>
      <w:pPr>
        <w:pStyle w:val="ListBullet"/>
      </w:pPr>
      <w:r>
        <w:t>Data Model &amp; API Specification v0.1</w:t>
      </w:r>
    </w:p>
    <w:p>
      <w:r>
        <w:br w:type="page"/>
      </w:r>
    </w:p>
    <w:p>
      <w:pPr>
        <w:pStyle w:val="Heading2"/>
        <w:keepNext/>
      </w:pPr>
      <w:r>
        <w:t>Decision vocabulary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2E6078"/>
            <w:tcMar>
              <w:top w:w="80" w:type="dxa"/>
              <w:start w:w="90" w:type="dxa"/>
              <w:bottom w:w="80" w:type="dxa"/>
              <w:end w:w="90" w:type="dxa"/>
            </w:tcMar>
          </w:tcPr>
          <w:p>
            <w:pPr>
              <w:spacing w:after="0"/>
              <w:jc w:val="left"/>
            </w:pPr>
            <w:r>
              <w:rPr>
                <w:b/>
                <w:i w:val="0"/>
                <w:color w:val="FFFFFF"/>
                <w:sz w:val="16"/>
              </w:rPr>
              <w:t>Term</w:t>
            </w:r>
          </w:p>
        </w:tc>
        <w:tc>
          <w:tcPr>
            <w:tcW w:type="dxa" w:w="7992"/>
            <w:shd w:fill="2E6078"/>
            <w:tcMar>
              <w:top w:w="80" w:type="dxa"/>
              <w:start w:w="90" w:type="dxa"/>
              <w:bottom w:w="80" w:type="dxa"/>
              <w:end w:w="90" w:type="dxa"/>
            </w:tcMar>
          </w:tcPr>
          <w:p>
            <w:pPr>
              <w:spacing w:after="0"/>
              <w:jc w:val="left"/>
            </w:pPr>
            <w:r>
              <w:rPr>
                <w:b/>
                <w:i w:val="0"/>
                <w:color w:val="FFFFFF"/>
                <w:sz w:val="16"/>
              </w:rPr>
              <w:t>Meaning</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6"/>
              </w:rPr>
              <w:t>MUST / MUST NOT</w:t>
            </w:r>
          </w:p>
        </w:tc>
        <w:tc>
          <w:tcPr>
            <w:tcW w:type="dxa" w:w="7992"/>
            <w:tcMar>
              <w:top w:w="70" w:type="dxa"/>
              <w:start w:w="85" w:type="dxa"/>
              <w:bottom w:w="70" w:type="dxa"/>
              <w:end w:w="85" w:type="dxa"/>
            </w:tcMar>
            <w:vAlign w:val="top"/>
          </w:tcPr>
          <w:p>
            <w:pPr>
              <w:spacing w:after="0" w:line="240" w:lineRule="auto"/>
            </w:pPr>
            <w:r>
              <w:rPr>
                <w:b w:val="0"/>
                <w:i w:val="0"/>
                <w:color w:val="27333B"/>
                <w:sz w:val="16"/>
              </w:rPr>
              <w:t>Mandatory requirement for the referenced release or system boundary.</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6"/>
              </w:rPr>
              <w:t>SHOULD / SHOULD NOT</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Strong recommendation; deviation requires a documented reason and risk owner.</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6"/>
              </w:rPr>
              <w:t>MAY</w:t>
            </w:r>
          </w:p>
        </w:tc>
        <w:tc>
          <w:tcPr>
            <w:tcW w:type="dxa" w:w="7992"/>
            <w:tcMar>
              <w:top w:w="70" w:type="dxa"/>
              <w:start w:w="85" w:type="dxa"/>
              <w:bottom w:w="70" w:type="dxa"/>
              <w:end w:w="85" w:type="dxa"/>
            </w:tcMar>
            <w:vAlign w:val="top"/>
          </w:tcPr>
          <w:p>
            <w:pPr>
              <w:spacing w:after="0" w:line="240" w:lineRule="auto"/>
            </w:pPr>
            <w:r>
              <w:rPr>
                <w:b w:val="0"/>
                <w:i w:val="0"/>
                <w:color w:val="27333B"/>
                <w:sz w:val="16"/>
              </w:rPr>
              <w:t>Permitted option, not a commitment.</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6"/>
              </w:rPr>
              <w:t>P0</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Launch-blocking control or requirement.</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6"/>
              </w:rPr>
              <w:t>P1</w:t>
            </w:r>
          </w:p>
        </w:tc>
        <w:tc>
          <w:tcPr>
            <w:tcW w:type="dxa" w:w="7992"/>
            <w:tcMar>
              <w:top w:w="70" w:type="dxa"/>
              <w:start w:w="85" w:type="dxa"/>
              <w:bottom w:w="70" w:type="dxa"/>
              <w:end w:w="85" w:type="dxa"/>
            </w:tcMar>
            <w:vAlign w:val="top"/>
          </w:tcPr>
          <w:p>
            <w:pPr>
              <w:spacing w:after="0" w:line="240" w:lineRule="auto"/>
            </w:pPr>
            <w:r>
              <w:rPr>
                <w:b w:val="0"/>
                <w:i w:val="0"/>
                <w:color w:val="27333B"/>
                <w:sz w:val="16"/>
              </w:rPr>
              <w:t>Required for public launch unless risk is explicitly accepted.</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6"/>
              </w:rPr>
              <w:t>P2</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Post-launch hardening or scale control.</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6"/>
              </w:rPr>
              <w:t>Security incident</w:t>
            </w:r>
          </w:p>
        </w:tc>
        <w:tc>
          <w:tcPr>
            <w:tcW w:type="dxa" w:w="7992"/>
            <w:tcMar>
              <w:top w:w="70" w:type="dxa"/>
              <w:start w:w="85" w:type="dxa"/>
              <w:bottom w:w="70" w:type="dxa"/>
              <w:end w:w="85" w:type="dxa"/>
            </w:tcMar>
            <w:vAlign w:val="top"/>
          </w:tcPr>
          <w:p>
            <w:pPr>
              <w:spacing w:after="0" w:line="240" w:lineRule="auto"/>
            </w:pPr>
            <w:r>
              <w:rPr>
                <w:b w:val="0"/>
                <w:i w:val="0"/>
                <w:color w:val="27333B"/>
                <w:sz w:val="16"/>
              </w:rPr>
              <w:t>Suspected or confirmed compromise of platform, agent, credentials, software supply chain, customer data, or security controls.</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6"/>
              </w:rPr>
              <w:t>Property incident</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Customer-facing outage or device failure. It is not automatically a platform security incident.</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IMPORTANT BOUNDARY</w:t>
            </w:r>
          </w:p>
          <w:p>
            <w:pPr>
              <w:spacing w:after="0"/>
            </w:pPr>
            <w:r>
              <w:rPr>
                <w:b w:val="0"/>
                <w:i w:val="0"/>
                <w:color w:val="27333B"/>
                <w:sz w:val="20"/>
              </w:rPr>
              <w:t>The product may report observable disconnection patterns or possible tampering. It must not state that a person committed sabotage, trespass, or another crime unless a qualified human reaches that conclusion from independent evidence.</w:t>
            </w:r>
          </w:p>
        </w:tc>
      </w:tr>
    </w:tbl>
    <w:p>
      <w:pPr>
        <w:spacing w:after="0"/>
      </w:pPr>
    </w:p>
    <w:p>
      <w:r>
        <w:br w:type="page"/>
      </w:r>
    </w:p>
    <w:p>
      <w:pPr>
        <w:pStyle w:val="Heading1"/>
        <w:keepNext/>
      </w:pPr>
      <w:r>
        <w:t>Document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584"/>
            <w:shd w:fill="2E6078"/>
            <w:tcMar>
              <w:top w:w="80" w:type="dxa"/>
              <w:start w:w="90" w:type="dxa"/>
              <w:bottom w:w="80" w:type="dxa"/>
              <w:end w:w="90" w:type="dxa"/>
            </w:tcMar>
          </w:tcPr>
          <w:p>
            <w:pPr>
              <w:spacing w:after="0"/>
              <w:jc w:val="left"/>
            </w:pPr>
            <w:r>
              <w:rPr>
                <w:b/>
                <w:i w:val="0"/>
                <w:color w:val="FFFFFF"/>
                <w:sz w:val="16"/>
              </w:rPr>
              <w:t>Section</w:t>
            </w:r>
          </w:p>
        </w:tc>
        <w:tc>
          <w:tcPr>
            <w:tcW w:type="dxa" w:w="8352"/>
            <w:shd w:fill="2E6078"/>
            <w:tcMar>
              <w:top w:w="80" w:type="dxa"/>
              <w:start w:w="90" w:type="dxa"/>
              <w:bottom w:w="80" w:type="dxa"/>
              <w:end w:w="90" w:type="dxa"/>
            </w:tcMar>
          </w:tcPr>
          <w:p>
            <w:pPr>
              <w:spacing w:after="0"/>
              <w:jc w:val="left"/>
            </w:pPr>
            <w:r>
              <w:rPr>
                <w:b/>
                <w:i w:val="0"/>
                <w:color w:val="FFFFFF"/>
                <w:sz w:val="16"/>
              </w:rPr>
              <w:t>Primary output</w:t>
            </w:r>
          </w:p>
        </w:tc>
      </w:tr>
      <w:tr>
        <w:trPr>
          <w:cantSplit/>
        </w:trPr>
        <w:tc>
          <w:tcPr>
            <w:tcW w:type="dxa" w:w="1584"/>
            <w:tcMar>
              <w:top w:w="70" w:type="dxa"/>
              <w:start w:w="85" w:type="dxa"/>
              <w:bottom w:w="70" w:type="dxa"/>
              <w:end w:w="85" w:type="dxa"/>
            </w:tcMar>
            <w:vAlign w:val="top"/>
          </w:tcPr>
          <w:p>
            <w:pPr>
              <w:spacing w:after="0" w:line="240" w:lineRule="auto"/>
            </w:pPr>
            <w:r>
              <w:rPr>
                <w:b w:val="0"/>
                <w:i w:val="0"/>
                <w:color w:val="27333B"/>
                <w:sz w:val="17"/>
              </w:rPr>
              <w:t>1–3</w:t>
            </w:r>
          </w:p>
        </w:tc>
        <w:tc>
          <w:tcPr>
            <w:tcW w:type="dxa" w:w="8352"/>
            <w:tcMar>
              <w:top w:w="70" w:type="dxa"/>
              <w:start w:w="85" w:type="dxa"/>
              <w:bottom w:w="70" w:type="dxa"/>
              <w:end w:w="85" w:type="dxa"/>
            </w:tcMar>
            <w:vAlign w:val="top"/>
          </w:tcPr>
          <w:p>
            <w:pPr>
              <w:spacing w:after="0" w:line="240" w:lineRule="auto"/>
            </w:pPr>
            <w:r>
              <w:rPr>
                <w:b w:val="0"/>
                <w:i w:val="0"/>
                <w:color w:val="27333B"/>
                <w:sz w:val="17"/>
              </w:rPr>
              <w:t>Security posture, scope, principles, assumptions, and trust boundaries</w:t>
            </w:r>
          </w:p>
        </w:tc>
      </w:tr>
      <w:tr>
        <w:trPr>
          <w:cantSplit/>
        </w:trPr>
        <w:tc>
          <w:tcPr>
            <w:tcW w:type="dxa" w:w="1584"/>
            <w:tcMar>
              <w:top w:w="70" w:type="dxa"/>
              <w:start w:w="85" w:type="dxa"/>
              <w:bottom w:w="70" w:type="dxa"/>
              <w:end w:w="85" w:type="dxa"/>
            </w:tcMar>
            <w:vAlign w:val="top"/>
            <w:shd w:fill="F5F7F8"/>
          </w:tcPr>
          <w:p>
            <w:pPr>
              <w:spacing w:after="0" w:line="240" w:lineRule="auto"/>
            </w:pPr>
            <w:r>
              <w:rPr>
                <w:b w:val="0"/>
                <w:i w:val="0"/>
                <w:color w:val="27333B"/>
                <w:sz w:val="17"/>
              </w:rPr>
              <w:t>4–7</w:t>
            </w:r>
          </w:p>
        </w:tc>
        <w:tc>
          <w:tcPr>
            <w:tcW w:type="dxa" w:w="8352"/>
            <w:tcMar>
              <w:top w:w="70" w:type="dxa"/>
              <w:start w:w="85" w:type="dxa"/>
              <w:bottom w:w="70" w:type="dxa"/>
              <w:end w:w="85" w:type="dxa"/>
            </w:tcMar>
            <w:vAlign w:val="top"/>
            <w:shd w:fill="F5F7F8"/>
          </w:tcPr>
          <w:p>
            <w:pPr>
              <w:spacing w:after="0" w:line="240" w:lineRule="auto"/>
            </w:pPr>
            <w:r>
              <w:rPr>
                <w:b w:val="0"/>
                <w:i w:val="0"/>
                <w:color w:val="27333B"/>
                <w:sz w:val="17"/>
              </w:rPr>
              <w:t>Assets, data classification, threat actors, methodology, and attack surface</w:t>
            </w:r>
          </w:p>
        </w:tc>
      </w:tr>
      <w:tr>
        <w:trPr>
          <w:cantSplit/>
        </w:trPr>
        <w:tc>
          <w:tcPr>
            <w:tcW w:type="dxa" w:w="1584"/>
            <w:tcMar>
              <w:top w:w="70" w:type="dxa"/>
              <w:start w:w="85" w:type="dxa"/>
              <w:bottom w:w="70" w:type="dxa"/>
              <w:end w:w="85" w:type="dxa"/>
            </w:tcMar>
            <w:vAlign w:val="top"/>
          </w:tcPr>
          <w:p>
            <w:pPr>
              <w:spacing w:after="0" w:line="240" w:lineRule="auto"/>
            </w:pPr>
            <w:r>
              <w:rPr>
                <w:b w:val="0"/>
                <w:i w:val="0"/>
                <w:color w:val="27333B"/>
                <w:sz w:val="17"/>
              </w:rPr>
              <w:t>8–12</w:t>
            </w:r>
          </w:p>
        </w:tc>
        <w:tc>
          <w:tcPr>
            <w:tcW w:type="dxa" w:w="8352"/>
            <w:tcMar>
              <w:top w:w="70" w:type="dxa"/>
              <w:start w:w="85" w:type="dxa"/>
              <w:bottom w:w="70" w:type="dxa"/>
              <w:end w:w="85" w:type="dxa"/>
            </w:tcMar>
            <w:vAlign w:val="top"/>
          </w:tcPr>
          <w:p>
            <w:pPr>
              <w:spacing w:after="0" w:line="240" w:lineRule="auto"/>
            </w:pPr>
            <w:r>
              <w:rPr>
                <w:b w:val="0"/>
                <w:i w:val="0"/>
                <w:color w:val="27333B"/>
                <w:sz w:val="17"/>
              </w:rPr>
              <w:t>Threat scenarios and required technical controls across agent, cloud, dashboard, providers, and integrations</w:t>
            </w:r>
          </w:p>
        </w:tc>
      </w:tr>
      <w:tr>
        <w:trPr>
          <w:cantSplit/>
        </w:trPr>
        <w:tc>
          <w:tcPr>
            <w:tcW w:type="dxa" w:w="1584"/>
            <w:tcMar>
              <w:top w:w="70" w:type="dxa"/>
              <w:start w:w="85" w:type="dxa"/>
              <w:bottom w:w="70" w:type="dxa"/>
              <w:end w:w="85" w:type="dxa"/>
            </w:tcMar>
            <w:vAlign w:val="top"/>
            <w:shd w:fill="F5F7F8"/>
          </w:tcPr>
          <w:p>
            <w:pPr>
              <w:spacing w:after="0" w:line="240" w:lineRule="auto"/>
            </w:pPr>
            <w:r>
              <w:rPr>
                <w:b w:val="0"/>
                <w:i w:val="0"/>
                <w:color w:val="27333B"/>
                <w:sz w:val="17"/>
              </w:rPr>
              <w:t>13–16</w:t>
            </w:r>
          </w:p>
        </w:tc>
        <w:tc>
          <w:tcPr>
            <w:tcW w:type="dxa" w:w="8352"/>
            <w:tcMar>
              <w:top w:w="70" w:type="dxa"/>
              <w:start w:w="85" w:type="dxa"/>
              <w:bottom w:w="70" w:type="dxa"/>
              <w:end w:w="85" w:type="dxa"/>
            </w:tcMar>
            <w:vAlign w:val="top"/>
            <w:shd w:fill="F5F7F8"/>
          </w:tcPr>
          <w:p>
            <w:pPr>
              <w:spacing w:after="0" w:line="240" w:lineRule="auto"/>
            </w:pPr>
            <w:r>
              <w:rPr>
                <w:b w:val="0"/>
                <w:i w:val="0"/>
                <w:color w:val="27333B"/>
                <w:sz w:val="17"/>
              </w:rPr>
              <w:t>Privacy model, identity, cryptography, secrets, logs, monitoring, and audit</w:t>
            </w:r>
          </w:p>
        </w:tc>
      </w:tr>
      <w:tr>
        <w:trPr>
          <w:cantSplit/>
        </w:trPr>
        <w:tc>
          <w:tcPr>
            <w:tcW w:type="dxa" w:w="1584"/>
            <w:tcMar>
              <w:top w:w="70" w:type="dxa"/>
              <w:start w:w="85" w:type="dxa"/>
              <w:bottom w:w="70" w:type="dxa"/>
              <w:end w:w="85" w:type="dxa"/>
            </w:tcMar>
            <w:vAlign w:val="top"/>
          </w:tcPr>
          <w:p>
            <w:pPr>
              <w:spacing w:after="0" w:line="240" w:lineRule="auto"/>
            </w:pPr>
            <w:r>
              <w:rPr>
                <w:b w:val="0"/>
                <w:i w:val="0"/>
                <w:color w:val="27333B"/>
                <w:sz w:val="17"/>
              </w:rPr>
              <w:t>17–20</w:t>
            </w:r>
          </w:p>
        </w:tc>
        <w:tc>
          <w:tcPr>
            <w:tcW w:type="dxa" w:w="8352"/>
            <w:tcMar>
              <w:top w:w="70" w:type="dxa"/>
              <w:start w:w="85" w:type="dxa"/>
              <w:bottom w:w="70" w:type="dxa"/>
              <w:end w:w="85" w:type="dxa"/>
            </w:tcMar>
            <w:vAlign w:val="top"/>
          </w:tcPr>
          <w:p>
            <w:pPr>
              <w:spacing w:after="0" w:line="240" w:lineRule="auto"/>
            </w:pPr>
            <w:r>
              <w:rPr>
                <w:b w:val="0"/>
                <w:i w:val="0"/>
                <w:color w:val="27333B"/>
                <w:sz w:val="17"/>
              </w:rPr>
              <w:t>Secure development, supply chain, incident response, continuity, abuse prevention, and compliance readiness</w:t>
            </w:r>
          </w:p>
        </w:tc>
      </w:tr>
      <w:tr>
        <w:trPr>
          <w:cantSplit/>
        </w:trPr>
        <w:tc>
          <w:tcPr>
            <w:tcW w:type="dxa" w:w="1584"/>
            <w:tcMar>
              <w:top w:w="70" w:type="dxa"/>
              <w:start w:w="85" w:type="dxa"/>
              <w:bottom w:w="70" w:type="dxa"/>
              <w:end w:w="85" w:type="dxa"/>
            </w:tcMar>
            <w:vAlign w:val="top"/>
            <w:shd w:fill="F5F7F8"/>
          </w:tcPr>
          <w:p>
            <w:pPr>
              <w:spacing w:after="0" w:line="240" w:lineRule="auto"/>
            </w:pPr>
            <w:r>
              <w:rPr>
                <w:b w:val="0"/>
                <w:i w:val="0"/>
                <w:color w:val="27333B"/>
                <w:sz w:val="17"/>
              </w:rPr>
              <w:t>21–24</w:t>
            </w:r>
          </w:p>
        </w:tc>
        <w:tc>
          <w:tcPr>
            <w:tcW w:type="dxa" w:w="8352"/>
            <w:tcMar>
              <w:top w:w="70" w:type="dxa"/>
              <w:start w:w="85" w:type="dxa"/>
              <w:bottom w:w="70" w:type="dxa"/>
              <w:end w:w="85" w:type="dxa"/>
            </w:tcMar>
            <w:vAlign w:val="top"/>
            <w:shd w:fill="F5F7F8"/>
          </w:tcPr>
          <w:p>
            <w:pPr>
              <w:spacing w:after="0" w:line="240" w:lineRule="auto"/>
            </w:pPr>
            <w:r>
              <w:rPr>
                <w:b w:val="0"/>
                <w:i w:val="0"/>
                <w:color w:val="27333B"/>
                <w:sz w:val="17"/>
              </w:rPr>
              <w:t>Security testing, launch gates, risk register, traceability, and open decisions</w:t>
            </w:r>
          </w:p>
        </w:tc>
      </w:tr>
      <w:tr>
        <w:trPr>
          <w:cantSplit/>
        </w:trPr>
        <w:tc>
          <w:tcPr>
            <w:tcW w:type="dxa" w:w="1584"/>
            <w:tcMar>
              <w:top w:w="70" w:type="dxa"/>
              <w:start w:w="85" w:type="dxa"/>
              <w:bottom w:w="70" w:type="dxa"/>
              <w:end w:w="85" w:type="dxa"/>
            </w:tcMar>
            <w:vAlign w:val="top"/>
          </w:tcPr>
          <w:p>
            <w:pPr>
              <w:spacing w:after="0" w:line="240" w:lineRule="auto"/>
            </w:pPr>
            <w:r>
              <w:rPr>
                <w:b w:val="0"/>
                <w:i w:val="0"/>
                <w:color w:val="27333B"/>
                <w:sz w:val="17"/>
              </w:rPr>
              <w:t>Appendices</w:t>
            </w:r>
          </w:p>
        </w:tc>
        <w:tc>
          <w:tcPr>
            <w:tcW w:type="dxa" w:w="8352"/>
            <w:tcMar>
              <w:top w:w="70" w:type="dxa"/>
              <w:start w:w="85" w:type="dxa"/>
              <w:bottom w:w="70" w:type="dxa"/>
              <w:end w:w="85" w:type="dxa"/>
            </w:tcMar>
            <w:vAlign w:val="top"/>
          </w:tcPr>
          <w:p>
            <w:pPr>
              <w:spacing w:after="0" w:line="240" w:lineRule="auto"/>
            </w:pPr>
            <w:r>
              <w:rPr>
                <w:b w:val="0"/>
                <w:i w:val="0"/>
                <w:color w:val="27333B"/>
                <w:sz w:val="17"/>
              </w:rPr>
              <w:t>Normative security/privacy requirements, data classes, playbooks, and review checklists</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HOW TO USE THIS SPECIFICATION</w:t>
            </w:r>
          </w:p>
          <w:p>
            <w:pPr>
              <w:spacing w:after="0"/>
            </w:pPr>
            <w:r>
              <w:rPr>
                <w:b w:val="0"/>
                <w:i w:val="0"/>
                <w:color w:val="27333B"/>
                <w:sz w:val="20"/>
              </w:rPr>
              <w:t>Engineering should treat requirement IDs as acceptance criteria. Product should use the privacy and customer-language rules when writing flows and alerts. Operations should use the playbooks and risk register. Any control deferred from a launch gate requires a named owner, deadline, and explicit acceptance of residual risk.</w:t>
            </w:r>
          </w:p>
        </w:tc>
      </w:tr>
    </w:tbl>
    <w:p>
      <w:pPr>
        <w:spacing w:after="0"/>
      </w:pPr>
    </w:p>
    <w:p>
      <w:pPr>
        <w:pStyle w:val="Heading1"/>
        <w:keepNext/>
      </w:pPr>
      <w:r>
        <w:t>1. Executive Security Posture</w:t>
      </w:r>
    </w:p>
    <w:p>
      <w:pPr/>
      <w:r>
        <w:t>Remote Property Watchdog occupies a sensitive but deliberately constrained position: it observes the availability of equipment inside a customer’s home or property, sends operational metadata to a cloud service, and may alert trusted contacts when security infrastructure stops communicating. The product must earn trust by collecting less than it technically could, making no unnecessary inbound connection to the property, isolating each customer, and describing uncertainty honestly.</w:t>
      </w:r>
    </w:p>
    <w:p>
      <w:pPr>
        <w:pStyle w:val="Heading2"/>
        <w:keepNext/>
      </w:pPr>
      <w:r>
        <w:t>1.1 Recommended posture</w:t>
      </w:r>
    </w:p>
    <w:p>
      <w:pPr>
        <w:pStyle w:val="ListBullet"/>
      </w:pPr>
      <w:r>
        <w:rPr>
          <w:b/>
          <w:i w:val="0"/>
        </w:rPr>
        <w:t xml:space="preserve">Outbound-only property connectivity. </w:t>
      </w:r>
      <w:r>
        <w:rPr>
          <w:b w:val="0"/>
          <w:i w:val="0"/>
        </w:rPr>
        <w:t>The agent initiates authenticated TLS connections over standard HTTPS. The product does not require router port forwarding or expose an inbound management listener to the internet.</w:t>
      </w:r>
    </w:p>
    <w:p>
      <w:pPr>
        <w:pStyle w:val="ListBullet"/>
      </w:pPr>
      <w:r>
        <w:rPr>
          <w:b/>
          <w:i w:val="0"/>
        </w:rPr>
        <w:t xml:space="preserve">Operational metadata, not surveillance content. </w:t>
      </w:r>
      <w:r>
        <w:rPr>
          <w:b w:val="0"/>
          <w:i w:val="0"/>
        </w:rPr>
        <w:t>Raw video, audio, screenshots, camera credentials, and detailed packet contents are outside the default cloud data boundary.</w:t>
      </w:r>
    </w:p>
    <w:p>
      <w:pPr>
        <w:pStyle w:val="ListBullet"/>
      </w:pPr>
      <w:r>
        <w:rPr>
          <w:b/>
          <w:i w:val="0"/>
        </w:rPr>
        <w:t xml:space="preserve">Per-agent workload identity. </w:t>
      </w:r>
      <w:r>
        <w:rPr>
          <w:b w:val="0"/>
          <w:i w:val="0"/>
        </w:rPr>
        <w:t>Every installed agent receives its own revocable credential and cannot impersonate another property by changing a property identifier.</w:t>
      </w:r>
    </w:p>
    <w:p>
      <w:pPr>
        <w:pStyle w:val="ListBullet"/>
      </w:pPr>
      <w:r>
        <w:rPr>
          <w:b/>
          <w:i w:val="0"/>
        </w:rPr>
        <w:t xml:space="preserve">Immutable evidence, revisable interpretation. </w:t>
      </w:r>
      <w:r>
        <w:rPr>
          <w:b w:val="0"/>
          <w:i w:val="0"/>
        </w:rPr>
        <w:t>Observed events remain append-only; incident classification and confidence may change when outage-replay evidence arrives.</w:t>
      </w:r>
    </w:p>
    <w:p>
      <w:pPr>
        <w:pStyle w:val="ListBullet"/>
      </w:pPr>
      <w:r>
        <w:rPr>
          <w:b/>
          <w:i w:val="0"/>
        </w:rPr>
        <w:t xml:space="preserve">Least privilege and tenant isolation. </w:t>
      </w:r>
      <w:r>
        <w:rPr>
          <w:b w:val="0"/>
          <w:i w:val="0"/>
        </w:rPr>
        <w:t>User, support, service, and background-worker access is limited to the minimum organization, property, operation, and duration required.</w:t>
      </w:r>
    </w:p>
    <w:p>
      <w:pPr>
        <w:pStyle w:val="ListBullet"/>
      </w:pPr>
      <w:r>
        <w:rPr>
          <w:b/>
          <w:i w:val="0"/>
        </w:rPr>
        <w:t xml:space="preserve">Secure and reversible updates. </w:t>
      </w:r>
      <w:r>
        <w:rPr>
          <w:b w:val="0"/>
          <w:i w:val="0"/>
        </w:rPr>
        <w:t>Agent binaries and update metadata are signed; rollout can be staged, paused, revoked, and rolled back.</w:t>
      </w:r>
    </w:p>
    <w:p>
      <w:pPr>
        <w:pStyle w:val="ListBullet"/>
      </w:pPr>
      <w:r>
        <w:rPr>
          <w:b/>
          <w:i w:val="0"/>
        </w:rPr>
        <w:t xml:space="preserve">No certainty theater. </w:t>
      </w:r>
      <w:r>
        <w:rPr>
          <w:b w:val="0"/>
          <w:i w:val="0"/>
        </w:rPr>
        <w:t>The system distinguishes verified facts, likely causes, possible causes, and unknown states.</w:t>
      </w:r>
    </w:p>
    <w:p>
      <w:pPr>
        <w:pStyle w:val="Heading2"/>
        <w:keepNext/>
      </w:pPr>
      <w:r>
        <w:t>1.2 Highest-consequence failures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80" w:type="dxa"/>
              <w:start w:w="90" w:type="dxa"/>
              <w:bottom w:w="80" w:type="dxa"/>
              <w:end w:w="90" w:type="dxa"/>
            </w:tcMar>
          </w:tcPr>
          <w:p>
            <w:pPr>
              <w:spacing w:after="0"/>
              <w:jc w:val="left"/>
            </w:pPr>
            <w:r>
              <w:rPr>
                <w:b/>
                <w:i w:val="0"/>
                <w:color w:val="FFFFFF"/>
                <w:sz w:val="16"/>
              </w:rPr>
              <w:t>Failure</w:t>
            </w:r>
          </w:p>
        </w:tc>
        <w:tc>
          <w:tcPr>
            <w:tcW w:type="dxa" w:w="3240"/>
            <w:shd w:fill="2E6078"/>
            <w:tcMar>
              <w:top w:w="80" w:type="dxa"/>
              <w:start w:w="90" w:type="dxa"/>
              <w:bottom w:w="80" w:type="dxa"/>
              <w:end w:w="90" w:type="dxa"/>
            </w:tcMar>
          </w:tcPr>
          <w:p>
            <w:pPr>
              <w:spacing w:after="0"/>
              <w:jc w:val="left"/>
            </w:pPr>
            <w:r>
              <w:rPr>
                <w:b/>
                <w:i w:val="0"/>
                <w:color w:val="FFFFFF"/>
                <w:sz w:val="16"/>
              </w:rPr>
              <w:t>Potential harm</w:t>
            </w:r>
          </w:p>
        </w:tc>
        <w:tc>
          <w:tcPr>
            <w:tcW w:type="dxa" w:w="4608"/>
            <w:shd w:fill="2E6078"/>
            <w:tcMar>
              <w:top w:w="80" w:type="dxa"/>
              <w:start w:w="90" w:type="dxa"/>
              <w:bottom w:w="80" w:type="dxa"/>
              <w:end w:w="90" w:type="dxa"/>
            </w:tcMar>
          </w:tcPr>
          <w:p>
            <w:pPr>
              <w:spacing w:after="0"/>
              <w:jc w:val="left"/>
            </w:pPr>
            <w:r>
              <w:rPr>
                <w:b/>
                <w:i w:val="0"/>
                <w:color w:val="FFFFFF"/>
                <w:sz w:val="16"/>
              </w:rPr>
              <w:t>Required posture</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Cross-tenant data exposure</w:t>
            </w:r>
          </w:p>
        </w:tc>
        <w:tc>
          <w:tcPr>
            <w:tcW w:type="dxa" w:w="3240"/>
            <w:tcMar>
              <w:top w:w="70" w:type="dxa"/>
              <w:start w:w="85" w:type="dxa"/>
              <w:bottom w:w="70" w:type="dxa"/>
              <w:end w:w="85" w:type="dxa"/>
            </w:tcMar>
            <w:vAlign w:val="top"/>
          </w:tcPr>
          <w:p>
            <w:pPr>
              <w:spacing w:after="0" w:line="240" w:lineRule="auto"/>
            </w:pPr>
            <w:r>
              <w:rPr>
                <w:b w:val="0"/>
                <w:i w:val="0"/>
                <w:color w:val="27333B"/>
                <w:sz w:val="15"/>
              </w:rPr>
              <w:t>A customer sees another property, device inventory, incident, contact, or phone number.</w:t>
            </w:r>
          </w:p>
        </w:tc>
        <w:tc>
          <w:tcPr>
            <w:tcW w:type="dxa" w:w="4608"/>
            <w:tcMar>
              <w:top w:w="70" w:type="dxa"/>
              <w:start w:w="85" w:type="dxa"/>
              <w:bottom w:w="70" w:type="dxa"/>
              <w:end w:w="85" w:type="dxa"/>
            </w:tcMar>
            <w:vAlign w:val="top"/>
          </w:tcPr>
          <w:p>
            <w:pPr>
              <w:spacing w:after="0" w:line="240" w:lineRule="auto"/>
            </w:pPr>
            <w:r>
              <w:rPr>
                <w:b w:val="0"/>
                <w:i w:val="0"/>
                <w:color w:val="27333B"/>
                <w:sz w:val="15"/>
              </w:rPr>
              <w:t>Treat as a severe security incident; enforce tenant scoping in data access and tests.</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5"/>
              </w:rPr>
              <w:t>Compromised update channel</w:t>
            </w:r>
          </w:p>
        </w:tc>
        <w:tc>
          <w:tcPr>
            <w:tcW w:type="dxa" w:w="3240"/>
            <w:tcMar>
              <w:top w:w="70" w:type="dxa"/>
              <w:start w:w="85" w:type="dxa"/>
              <w:bottom w:w="70" w:type="dxa"/>
              <w:end w:w="85" w:type="dxa"/>
            </w:tcMar>
            <w:vAlign w:val="top"/>
            <w:shd w:fill="F5F7F8"/>
          </w:tcPr>
          <w:p>
            <w:pPr>
              <w:spacing w:after="0" w:line="240" w:lineRule="auto"/>
            </w:pPr>
            <w:r>
              <w:rPr>
                <w:b w:val="0"/>
                <w:i w:val="0"/>
                <w:color w:val="27333B"/>
                <w:sz w:val="15"/>
              </w:rPr>
              <w:t>Malicious software is delivered to agents running inside customer networks.</w:t>
            </w:r>
          </w:p>
        </w:tc>
        <w:tc>
          <w:tcPr>
            <w:tcW w:type="dxa" w:w="4608"/>
            <w:tcMar>
              <w:top w:w="70" w:type="dxa"/>
              <w:start w:w="85" w:type="dxa"/>
              <w:bottom w:w="70" w:type="dxa"/>
              <w:end w:w="85" w:type="dxa"/>
            </w:tcMar>
            <w:vAlign w:val="top"/>
            <w:shd w:fill="F5F7F8"/>
          </w:tcPr>
          <w:p>
            <w:pPr>
              <w:spacing w:after="0" w:line="240" w:lineRule="auto"/>
            </w:pPr>
            <w:r>
              <w:rPr>
                <w:b w:val="0"/>
                <w:i w:val="0"/>
                <w:color w:val="27333B"/>
                <w:sz w:val="15"/>
              </w:rPr>
              <w:t>Signed artifacts, protected signing keys, staged release, independent verification, emergency revocation.</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Credential or session takeover</w:t>
            </w:r>
          </w:p>
        </w:tc>
        <w:tc>
          <w:tcPr>
            <w:tcW w:type="dxa" w:w="3240"/>
            <w:tcMar>
              <w:top w:w="70" w:type="dxa"/>
              <w:start w:w="85" w:type="dxa"/>
              <w:bottom w:w="70" w:type="dxa"/>
              <w:end w:w="85" w:type="dxa"/>
            </w:tcMar>
            <w:vAlign w:val="top"/>
          </w:tcPr>
          <w:p>
            <w:pPr>
              <w:spacing w:after="0" w:line="240" w:lineRule="auto"/>
            </w:pPr>
            <w:r>
              <w:rPr>
                <w:b w:val="0"/>
                <w:i w:val="0"/>
                <w:color w:val="27333B"/>
                <w:sz w:val="15"/>
              </w:rPr>
              <w:t>Attacker remotely sees property status, changes contacts, suppresses alerts, or exports data.</w:t>
            </w:r>
          </w:p>
        </w:tc>
        <w:tc>
          <w:tcPr>
            <w:tcW w:type="dxa" w:w="4608"/>
            <w:tcMar>
              <w:top w:w="70" w:type="dxa"/>
              <w:start w:w="85" w:type="dxa"/>
              <w:bottom w:w="70" w:type="dxa"/>
              <w:end w:w="85" w:type="dxa"/>
            </w:tcMar>
            <w:vAlign w:val="top"/>
          </w:tcPr>
          <w:p>
            <w:pPr>
              <w:spacing w:after="0" w:line="240" w:lineRule="auto"/>
            </w:pPr>
            <w:r>
              <w:rPr>
                <w:b w:val="0"/>
                <w:i w:val="0"/>
                <w:color w:val="27333B"/>
                <w:sz w:val="15"/>
              </w:rPr>
              <w:t>Strong identity controls, step-up checks for sensitive actions, audit, revocation, and anomaly detection.</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5"/>
              </w:rPr>
              <w:t>False or suppressed outage alerts</w:t>
            </w:r>
          </w:p>
        </w:tc>
        <w:tc>
          <w:tcPr>
            <w:tcW w:type="dxa" w:w="3240"/>
            <w:tcMar>
              <w:top w:w="70" w:type="dxa"/>
              <w:start w:w="85" w:type="dxa"/>
              <w:bottom w:w="70" w:type="dxa"/>
              <w:end w:w="85" w:type="dxa"/>
            </w:tcMar>
            <w:vAlign w:val="top"/>
            <w:shd w:fill="F5F7F8"/>
          </w:tcPr>
          <w:p>
            <w:pPr>
              <w:spacing w:after="0" w:line="240" w:lineRule="auto"/>
            </w:pPr>
            <w:r>
              <w:rPr>
                <w:b w:val="0"/>
                <w:i w:val="0"/>
                <w:color w:val="27333B"/>
                <w:sz w:val="15"/>
              </w:rPr>
              <w:t>Customer acts on a false emergency or receives no warning during a real event.</w:t>
            </w:r>
          </w:p>
        </w:tc>
        <w:tc>
          <w:tcPr>
            <w:tcW w:type="dxa" w:w="4608"/>
            <w:tcMar>
              <w:top w:w="70" w:type="dxa"/>
              <w:start w:w="85" w:type="dxa"/>
              <w:bottom w:w="70" w:type="dxa"/>
              <w:end w:w="85" w:type="dxa"/>
            </w:tcMar>
            <w:vAlign w:val="top"/>
            <w:shd w:fill="F5F7F8"/>
          </w:tcPr>
          <w:p>
            <w:pPr>
              <w:spacing w:after="0" w:line="240" w:lineRule="auto"/>
            </w:pPr>
            <w:r>
              <w:rPr>
                <w:b w:val="0"/>
                <w:i w:val="0"/>
                <w:color w:val="27333B"/>
                <w:sz w:val="15"/>
              </w:rPr>
              <w:t>Multi-signal confirmation, idempotent notification jobs, provider receipts, escalation rules, health monitoring.</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Privacy expansion by convenience</w:t>
            </w:r>
          </w:p>
        </w:tc>
        <w:tc>
          <w:tcPr>
            <w:tcW w:type="dxa" w:w="3240"/>
            <w:tcMar>
              <w:top w:w="70" w:type="dxa"/>
              <w:start w:w="85" w:type="dxa"/>
              <w:bottom w:w="70" w:type="dxa"/>
              <w:end w:w="85" w:type="dxa"/>
            </w:tcMar>
            <w:vAlign w:val="top"/>
          </w:tcPr>
          <w:p>
            <w:pPr>
              <w:spacing w:after="0" w:line="240" w:lineRule="auto"/>
            </w:pPr>
            <w:r>
              <w:rPr>
                <w:b w:val="0"/>
                <w:i w:val="0"/>
                <w:color w:val="27333B"/>
                <w:sz w:val="15"/>
              </w:rPr>
              <w:t>The platform begins storing video, credentials, or detailed LAN information without necessity.</w:t>
            </w:r>
          </w:p>
        </w:tc>
        <w:tc>
          <w:tcPr>
            <w:tcW w:type="dxa" w:w="4608"/>
            <w:tcMar>
              <w:top w:w="70" w:type="dxa"/>
              <w:start w:w="85" w:type="dxa"/>
              <w:bottom w:w="70" w:type="dxa"/>
              <w:end w:w="85" w:type="dxa"/>
            </w:tcMar>
            <w:vAlign w:val="top"/>
          </w:tcPr>
          <w:p>
            <w:pPr>
              <w:spacing w:after="0" w:line="240" w:lineRule="auto"/>
            </w:pPr>
            <w:r>
              <w:rPr>
                <w:b w:val="0"/>
                <w:i w:val="0"/>
                <w:color w:val="27333B"/>
                <w:sz w:val="15"/>
              </w:rPr>
              <w:t>Data-purpose review, local-first processing, explicit opt-in, retention limits, and architecture review.</w:t>
            </w:r>
          </w:p>
        </w:tc>
      </w:tr>
    </w:tbl>
    <w:p>
      <w:pPr>
        <w:spacing w:after="0"/>
      </w:pPr>
    </w:p>
    <w:p>
      <w:pPr>
        <w:pStyle w:val="Heading2"/>
        <w:keepNext/>
      </w:pPr>
      <w:r>
        <w:t>1.3 Security success definition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SUCCESS CRITERION</w:t>
            </w:r>
          </w:p>
          <w:p>
            <w:pPr>
              <w:spacing w:after="0"/>
            </w:pPr>
            <w:r>
              <w:rPr>
                <w:b w:val="0"/>
                <w:i w:val="0"/>
                <w:color w:val="27333B"/>
                <w:sz w:val="20"/>
              </w:rPr>
              <w:t>A realistic attacker who compromises one customer account, one agent credential, one notification provider token, or one application component should not automatically obtain unrestricted access to all customers, all property data, the software-signing pipeline, or the ability to silently suppress monitoring platform-wide.</w:t>
            </w:r>
          </w:p>
        </w:tc>
      </w:tr>
    </w:tbl>
    <w:p>
      <w:pPr>
        <w:spacing w:after="0"/>
      </w:pPr>
    </w:p>
    <w:p>
      <w:pPr>
        <w:pStyle w:val="Heading1"/>
        <w:keepNext/>
      </w:pPr>
      <w:r>
        <w:t>2. Scope, Assumptions, and Exclusions</w:t>
      </w:r>
    </w:p>
    <w:p>
      <w:pPr>
        <w:pStyle w:val="Heading2"/>
        <w:keepNext/>
      </w:pPr>
      <w:r>
        <w:t>2.1 In scope</w:t>
      </w:r>
    </w:p>
    <w:p>
      <w:pPr>
        <w:pStyle w:val="ListBullet"/>
      </w:pPr>
      <w:r>
        <w:t>Windows background service, installer, local journal, configuration cache, update mechanism, and support bundle.</w:t>
      </w:r>
    </w:p>
    <w:p>
      <w:pPr>
        <w:pStyle w:val="ListBullet"/>
      </w:pPr>
      <w:r>
        <w:t>Agent registration, per-agent authentication, heartbeat and event ingestion, configuration synchronization, command acknowledgment, and durable replay.</w:t>
      </w:r>
    </w:p>
    <w:p>
      <w:pPr>
        <w:pStyle w:val="ListBullet"/>
      </w:pPr>
      <w:r>
        <w:t>Cloud APIs, web dashboard, identity integration, tenant authorization, incident engine, notification pipeline, databases, object storage, caches, queues, and operational tooling.</w:t>
      </w:r>
    </w:p>
    <w:p>
      <w:pPr>
        <w:pStyle w:val="ListBullet"/>
      </w:pPr>
      <w:r>
        <w:t>SMS, email, push, identity, billing, update-hosting, observability, and other external providers used by the product.</w:t>
      </w:r>
    </w:p>
    <w:p>
      <w:pPr>
        <w:pStyle w:val="ListBullet"/>
      </w:pPr>
      <w:r>
        <w:t>Device discovery, gateway/internet checks, service checks, and optional camera/DVR integrations including credentials retained locally.</w:t>
      </w:r>
    </w:p>
    <w:p>
      <w:pPr>
        <w:pStyle w:val="ListBullet"/>
      </w:pPr>
      <w:r>
        <w:t>Customer onboarding, trusted-contact consent, exports, deletions, support access, beta operations, and software-development supply chain.</w:t>
      </w:r>
    </w:p>
    <w:p>
      <w:pPr>
        <w:pStyle w:val="Heading2"/>
        <w:keepNext/>
      </w:pPr>
      <w:r>
        <w:t>2.2 Explicitly outside the default security boundary</w:t>
      </w:r>
    </w:p>
    <w:p>
      <w:pPr>
        <w:pStyle w:val="ListBullet"/>
      </w:pPr>
      <w:r>
        <w:t>Physical security of the customer’s building, computer, router, cables, cameras, or power supply.</w:t>
      </w:r>
    </w:p>
    <w:p>
      <w:pPr>
        <w:pStyle w:val="ListBullet"/>
      </w:pPr>
      <w:r>
        <w:t>Security of third-party camera firmware, router firmware, Windows itself, or the customer’s local administrator account.</w:t>
      </w:r>
    </w:p>
    <w:p>
      <w:pPr>
        <w:pStyle w:val="ListBullet"/>
      </w:pPr>
      <w:r>
        <w:t>Police, emergency dispatch, alarm monitoring, guaranteed response, or proof that a crime occurred.</w:t>
      </w:r>
    </w:p>
    <w:p>
      <w:pPr>
        <w:pStyle w:val="ListBullet"/>
      </w:pPr>
      <w:r>
        <w:t>Cloud storage or analysis of video, audio, still images, facial data, or other surveillance content.</w:t>
      </w:r>
    </w:p>
    <w:p>
      <w:pPr>
        <w:pStyle w:val="ListBullet"/>
      </w:pPr>
      <w:r>
        <w:t>Penetration testing, vulnerability exploitation, password auditing, or deep packet inspection of customer networks.</w:t>
      </w:r>
    </w:p>
    <w:p>
      <w:pPr>
        <w:pStyle w:val="ListBullet"/>
      </w:pPr>
      <w:r>
        <w:t>Protection when every local monitor is powered off and no independent cloud heartbeat was recently available; optional future hardware/cellular services may change this boundary.</w:t>
      </w:r>
    </w:p>
    <w:p>
      <w:pPr>
        <w:pStyle w:val="Heading2"/>
        <w:keepNext/>
      </w:pPr>
      <w:r>
        <w:t>2.3 Assumptions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2E6078"/>
            <w:tcMar>
              <w:top w:w="80" w:type="dxa"/>
              <w:start w:w="90" w:type="dxa"/>
              <w:bottom w:w="80" w:type="dxa"/>
              <w:end w:w="90" w:type="dxa"/>
            </w:tcMar>
          </w:tcPr>
          <w:p>
            <w:pPr>
              <w:spacing w:after="0"/>
              <w:jc w:val="left"/>
            </w:pPr>
            <w:r>
              <w:rPr>
                <w:b/>
                <w:i w:val="0"/>
                <w:color w:val="FFFFFF"/>
                <w:sz w:val="16"/>
              </w:rPr>
              <w:t>Assumption</w:t>
            </w:r>
          </w:p>
        </w:tc>
        <w:tc>
          <w:tcPr>
            <w:tcW w:type="dxa" w:w="6696"/>
            <w:shd w:fill="2E6078"/>
            <w:tcMar>
              <w:top w:w="80" w:type="dxa"/>
              <w:start w:w="90" w:type="dxa"/>
              <w:bottom w:w="80" w:type="dxa"/>
              <w:end w:w="90" w:type="dxa"/>
            </w:tcMar>
          </w:tcPr>
          <w:p>
            <w:pPr>
              <w:spacing w:after="0"/>
              <w:jc w:val="left"/>
            </w:pPr>
            <w:r>
              <w:rPr>
                <w:b/>
                <w:i w:val="0"/>
                <w:color w:val="FFFFFF"/>
                <w:sz w:val="16"/>
              </w:rPr>
              <w:t>Security implication</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The monitoring PC may be administered by the property owner or another local administrator.</w:t>
            </w:r>
          </w:p>
        </w:tc>
        <w:tc>
          <w:tcPr>
            <w:tcW w:type="dxa" w:w="6696"/>
            <w:tcMar>
              <w:top w:w="70" w:type="dxa"/>
              <w:start w:w="85" w:type="dxa"/>
              <w:bottom w:w="70" w:type="dxa"/>
              <w:end w:w="85" w:type="dxa"/>
            </w:tcMar>
            <w:vAlign w:val="top"/>
          </w:tcPr>
          <w:p>
            <w:pPr>
              <w:spacing w:after="0" w:line="240" w:lineRule="auto"/>
            </w:pPr>
            <w:r>
              <w:rPr>
                <w:b w:val="0"/>
                <w:i w:val="0"/>
                <w:color w:val="27333B"/>
                <w:sz w:val="16"/>
              </w:rPr>
              <w:t>A local administrator can stop, uninstall, inspect, or alter the agent. The product can detect loss of communication but cannot promise resistance against an administrator with full host control.</w:t>
            </w:r>
          </w:p>
        </w:tc>
      </w:tr>
      <w:tr>
        <w:trPr>
          <w:cantSplit/>
        </w:trPr>
        <w:tc>
          <w:tcPr>
            <w:tcW w:type="dxa" w:w="3240"/>
            <w:tcMar>
              <w:top w:w="70" w:type="dxa"/>
              <w:start w:w="85" w:type="dxa"/>
              <w:bottom w:w="70" w:type="dxa"/>
              <w:end w:w="85" w:type="dxa"/>
            </w:tcMar>
            <w:vAlign w:val="top"/>
            <w:shd w:fill="F5F7F8"/>
          </w:tcPr>
          <w:p>
            <w:pPr>
              <w:spacing w:after="0" w:line="240" w:lineRule="auto"/>
            </w:pPr>
            <w:r>
              <w:rPr>
                <w:b w:val="0"/>
                <w:i w:val="0"/>
                <w:color w:val="27333B"/>
                <w:sz w:val="16"/>
              </w:rPr>
              <w:t>The customer LAN may contain untrusted or compromised devices.</w:t>
            </w:r>
          </w:p>
        </w:tc>
        <w:tc>
          <w:tcPr>
            <w:tcW w:type="dxa" w:w="6696"/>
            <w:tcMar>
              <w:top w:w="70" w:type="dxa"/>
              <w:start w:w="85" w:type="dxa"/>
              <w:bottom w:w="70" w:type="dxa"/>
              <w:end w:w="85" w:type="dxa"/>
            </w:tcMar>
            <w:vAlign w:val="top"/>
            <w:shd w:fill="F5F7F8"/>
          </w:tcPr>
          <w:p>
            <w:pPr>
              <w:spacing w:after="0" w:line="240" w:lineRule="auto"/>
            </w:pPr>
            <w:r>
              <w:rPr>
                <w:b w:val="0"/>
                <w:i w:val="0"/>
                <w:color w:val="27333B"/>
                <w:sz w:val="16"/>
              </w:rPr>
              <w:t>Discovery and health checks must parse hostile responses safely, use bounded timeouts, and never trust device-provided names or metadata.</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Internet and messaging providers fail independently.</w:t>
            </w:r>
          </w:p>
        </w:tc>
        <w:tc>
          <w:tcPr>
            <w:tcW w:type="dxa" w:w="6696"/>
            <w:tcMar>
              <w:top w:w="70" w:type="dxa"/>
              <w:start w:w="85" w:type="dxa"/>
              <w:bottom w:w="70" w:type="dxa"/>
              <w:end w:w="85" w:type="dxa"/>
            </w:tcMar>
            <w:vAlign w:val="top"/>
          </w:tcPr>
          <w:p>
            <w:pPr>
              <w:spacing w:after="0" w:line="240" w:lineRule="auto"/>
            </w:pPr>
            <w:r>
              <w:rPr>
                <w:b w:val="0"/>
                <w:i w:val="0"/>
                <w:color w:val="27333B"/>
                <w:sz w:val="16"/>
              </w:rPr>
              <w:t>Notifications require retries, provider abstraction, delivery receipts where available, and status visibility.</w:t>
            </w:r>
          </w:p>
        </w:tc>
      </w:tr>
      <w:tr>
        <w:trPr>
          <w:cantSplit/>
        </w:trPr>
        <w:tc>
          <w:tcPr>
            <w:tcW w:type="dxa" w:w="3240"/>
            <w:tcMar>
              <w:top w:w="70" w:type="dxa"/>
              <w:start w:w="85" w:type="dxa"/>
              <w:bottom w:w="70" w:type="dxa"/>
              <w:end w:w="85" w:type="dxa"/>
            </w:tcMar>
            <w:vAlign w:val="top"/>
            <w:shd w:fill="F5F7F8"/>
          </w:tcPr>
          <w:p>
            <w:pPr>
              <w:spacing w:after="0" w:line="240" w:lineRule="auto"/>
            </w:pPr>
            <w:r>
              <w:rPr>
                <w:b w:val="0"/>
                <w:i w:val="0"/>
                <w:color w:val="27333B"/>
                <w:sz w:val="16"/>
              </w:rPr>
              <w:t>IP addresses and device names change.</w:t>
            </w:r>
          </w:p>
        </w:tc>
        <w:tc>
          <w:tcPr>
            <w:tcW w:type="dxa" w:w="6696"/>
            <w:tcMar>
              <w:top w:w="70" w:type="dxa"/>
              <w:start w:w="85" w:type="dxa"/>
              <w:bottom w:w="70" w:type="dxa"/>
              <w:end w:w="85" w:type="dxa"/>
            </w:tcMar>
            <w:vAlign w:val="top"/>
            <w:shd w:fill="F5F7F8"/>
          </w:tcPr>
          <w:p>
            <w:pPr>
              <w:spacing w:after="0" w:line="240" w:lineRule="auto"/>
            </w:pPr>
            <w:r>
              <w:rPr>
                <w:b w:val="0"/>
                <w:i w:val="0"/>
                <w:color w:val="27333B"/>
                <w:sz w:val="16"/>
              </w:rPr>
              <w:t>Authorization and identity must never depend solely on customer-supplied IP, MAC, hostname, or property identifiers.</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Some data is inherently sensitive even without video.</w:t>
            </w:r>
          </w:p>
        </w:tc>
        <w:tc>
          <w:tcPr>
            <w:tcW w:type="dxa" w:w="6696"/>
            <w:tcMar>
              <w:top w:w="70" w:type="dxa"/>
              <w:start w:w="85" w:type="dxa"/>
              <w:bottom w:w="70" w:type="dxa"/>
              <w:end w:w="85" w:type="dxa"/>
            </w:tcMar>
            <w:vAlign w:val="top"/>
          </w:tcPr>
          <w:p>
            <w:pPr>
              <w:spacing w:after="0" w:line="240" w:lineRule="auto"/>
            </w:pPr>
            <w:r>
              <w:rPr>
                <w:b w:val="0"/>
                <w:i w:val="0"/>
                <w:color w:val="27333B"/>
                <w:sz w:val="16"/>
              </w:rPr>
              <w:t>Property names, device inventory, outage times, public IP, contacts, and away status require protection and minimization.</w:t>
            </w:r>
          </w:p>
        </w:tc>
      </w:tr>
    </w:tbl>
    <w:p>
      <w:pPr>
        <w:spacing w:after="0"/>
      </w:pPr>
    </w:p>
    <w:p>
      <w:pPr>
        <w:pStyle w:val="Heading1"/>
        <w:keepNext/>
      </w:pPr>
      <w:r>
        <w:t>3. Security and Privacy Principles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Principle</w:t>
            </w:r>
          </w:p>
        </w:tc>
        <w:tc>
          <w:tcPr>
            <w:tcW w:type="dxa" w:w="7704"/>
            <w:shd w:fill="2E6078"/>
            <w:tcMar>
              <w:top w:w="80" w:type="dxa"/>
              <w:start w:w="90" w:type="dxa"/>
              <w:bottom w:w="80" w:type="dxa"/>
              <w:end w:w="90" w:type="dxa"/>
            </w:tcMar>
          </w:tcPr>
          <w:p>
            <w:pPr>
              <w:spacing w:after="0"/>
              <w:jc w:val="left"/>
            </w:pPr>
            <w:r>
              <w:rPr>
                <w:b/>
                <w:i w:val="0"/>
                <w:color w:val="FFFFFF"/>
                <w:sz w:val="16"/>
              </w:rPr>
              <w:t>Required interpretation</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Minimize before protecting</w:t>
            </w:r>
          </w:p>
        </w:tc>
        <w:tc>
          <w:tcPr>
            <w:tcW w:type="dxa" w:w="7704"/>
            <w:tcMar>
              <w:top w:w="70" w:type="dxa"/>
              <w:start w:w="85" w:type="dxa"/>
              <w:bottom w:w="70" w:type="dxa"/>
              <w:end w:w="85" w:type="dxa"/>
            </w:tcMar>
            <w:vAlign w:val="top"/>
          </w:tcPr>
          <w:p>
            <w:pPr>
              <w:spacing w:after="0" w:line="240" w:lineRule="auto"/>
            </w:pPr>
            <w:r>
              <w:rPr>
                <w:b w:val="0"/>
                <w:i w:val="0"/>
                <w:color w:val="27333B"/>
                <w:sz w:val="16"/>
              </w:rPr>
              <w:t>Do not collect data merely because it may be useful later. Define purpose, retention, and access before collection.</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Local first</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Perform high-frequency probing, credential use, and detailed raw evidence processing on the property agent when feasible.</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Outbound only</w:t>
            </w:r>
          </w:p>
        </w:tc>
        <w:tc>
          <w:tcPr>
            <w:tcW w:type="dxa" w:w="7704"/>
            <w:tcMar>
              <w:top w:w="70" w:type="dxa"/>
              <w:start w:w="85" w:type="dxa"/>
              <w:bottom w:w="70" w:type="dxa"/>
              <w:end w:w="85" w:type="dxa"/>
            </w:tcMar>
            <w:vAlign w:val="top"/>
          </w:tcPr>
          <w:p>
            <w:pPr>
              <w:spacing w:after="0" w:line="240" w:lineRule="auto"/>
            </w:pPr>
            <w:r>
              <w:rPr>
                <w:b w:val="0"/>
                <w:i w:val="0"/>
                <w:color w:val="27333B"/>
                <w:sz w:val="16"/>
              </w:rPr>
              <w:t>Avoid inbound router exposure. Remote features use cloud-mediated, authenticated, outbound connections.</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Least privilege</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Every user, agent, service, worker, support tool, and provider credential receives the minimum permissions required.</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Fail safe, not silently</w:t>
            </w:r>
          </w:p>
        </w:tc>
        <w:tc>
          <w:tcPr>
            <w:tcW w:type="dxa" w:w="7704"/>
            <w:tcMar>
              <w:top w:w="70" w:type="dxa"/>
              <w:start w:w="85" w:type="dxa"/>
              <w:bottom w:w="70" w:type="dxa"/>
              <w:end w:w="85" w:type="dxa"/>
            </w:tcMar>
            <w:vAlign w:val="top"/>
          </w:tcPr>
          <w:p>
            <w:pPr>
              <w:spacing w:after="0" w:line="240" w:lineRule="auto"/>
            </w:pPr>
            <w:r>
              <w:rPr>
                <w:b w:val="0"/>
                <w:i w:val="0"/>
                <w:color w:val="27333B"/>
                <w:sz w:val="16"/>
              </w:rPr>
              <w:t>Security-control failure should become visible through health checks, audit, alarms, or degraded-mode indicators.</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Evidence over accusation</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Report observations and confidence. Do not infer human intent beyond evidence.</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Secure defaults</w:t>
            </w:r>
          </w:p>
        </w:tc>
        <w:tc>
          <w:tcPr>
            <w:tcW w:type="dxa" w:w="7704"/>
            <w:tcMar>
              <w:top w:w="70" w:type="dxa"/>
              <w:start w:w="85" w:type="dxa"/>
              <w:bottom w:w="70" w:type="dxa"/>
              <w:end w:w="85" w:type="dxa"/>
            </w:tcMar>
            <w:vAlign w:val="top"/>
          </w:tcPr>
          <w:p>
            <w:pPr>
              <w:spacing w:after="0" w:line="240" w:lineRule="auto"/>
            </w:pPr>
            <w:r>
              <w:rPr>
                <w:b w:val="0"/>
                <w:i w:val="0"/>
                <w:color w:val="27333B"/>
                <w:sz w:val="16"/>
              </w:rPr>
              <w:t>Monitoring, privacy, consent, retention, and access settings start in the safest practical state.</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Revocable trust</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Sessions, agent credentials, provider keys, update releases, support grants, and integrations can be revoked quickly.</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Separation of duties</w:t>
            </w:r>
          </w:p>
        </w:tc>
        <w:tc>
          <w:tcPr>
            <w:tcW w:type="dxa" w:w="7704"/>
            <w:tcMar>
              <w:top w:w="70" w:type="dxa"/>
              <w:start w:w="85" w:type="dxa"/>
              <w:bottom w:w="70" w:type="dxa"/>
              <w:end w:w="85" w:type="dxa"/>
            </w:tcMar>
            <w:vAlign w:val="top"/>
          </w:tcPr>
          <w:p>
            <w:pPr>
              <w:spacing w:after="0" w:line="240" w:lineRule="auto"/>
            </w:pPr>
            <w:r>
              <w:rPr>
                <w:b w:val="0"/>
                <w:i w:val="0"/>
                <w:color w:val="27333B"/>
                <w:sz w:val="16"/>
              </w:rPr>
              <w:t>Software signing, production administration, billing support, and data-access approval should not depend on one unrestricted account.</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Test the boundary</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Tenant isolation, authorization, replay resistance, and notification correctness require automated negative tests.</w:t>
            </w:r>
          </w:p>
        </w:tc>
      </w:tr>
    </w:tbl>
    <w:p>
      <w:pPr>
        <w:spacing w:after="0"/>
      </w:pPr>
    </w:p>
    <w:p>
      <w:pPr>
        <w:pStyle w:val="Heading2"/>
        <w:keepNext/>
      </w:pPr>
      <w:r>
        <w:t>3.1 Non-goals</w:t>
      </w:r>
    </w:p>
    <w:p>
      <w:pPr/>
      <w:r>
        <w:t>The product is not designed to make the customer’s network invulnerable, replace endpoint security, guarantee continuous communication, identify a perpetrator, or serve as a certified alarm system. Marketing, onboarding, alert language, and contracts should preserve these boundaries.</w:t>
      </w:r>
    </w:p>
    <w:p>
      <w:pPr>
        <w:spacing w:after="80"/>
        <w:jc w:val="center"/>
      </w:pPr>
      <w:r>
        <w:drawing>
          <wp:inline xmlns:a="http://schemas.openxmlformats.org/drawingml/2006/main" xmlns:pic="http://schemas.openxmlformats.org/drawingml/2006/picture">
            <wp:extent cx="6400800" cy="3866682"/>
            <wp:docPr id="1" name="Picture 1"/>
            <wp:cNvGraphicFramePr>
              <a:graphicFrameLocks noChangeAspect="1"/>
            </wp:cNvGraphicFramePr>
            <a:graphic>
              <a:graphicData uri="http://schemas.openxmlformats.org/drawingml/2006/picture">
                <pic:pic>
                  <pic:nvPicPr>
                    <pic:cNvPr id="0" name="trust_boundaries.png"/>
                    <pic:cNvPicPr/>
                  </pic:nvPicPr>
                  <pic:blipFill>
                    <a:blip r:embed="rId14"/>
                    <a:stretch>
                      <a:fillRect/>
                    </a:stretch>
                  </pic:blipFill>
                  <pic:spPr>
                    <a:xfrm>
                      <a:off x="0" y="0"/>
                      <a:ext cx="6400800" cy="3866682"/>
                    </a:xfrm>
                    <a:prstGeom prst="rect"/>
                  </pic:spPr>
                </pic:pic>
              </a:graphicData>
            </a:graphic>
          </wp:inline>
        </w:drawing>
      </w:r>
    </w:p>
    <w:p>
      <w:pPr>
        <w:pStyle w:val="Caption"/>
        <w:spacing w:after="160"/>
        <w:jc w:val="center"/>
      </w:pPr>
      <w:r>
        <w:t>Figure 1. System trust boundaries and primary outbound-only communication paths.</w:t>
      </w:r>
    </w:p>
    <w:p>
      <w:pPr>
        <w:pStyle w:val="Heading2"/>
        <w:keepNext/>
      </w:pPr>
      <w:r>
        <w:t>3.2 Trust-boundary rules</w:t>
      </w:r>
    </w:p>
    <w:p>
      <w:pPr>
        <w:pStyle w:val="ListBullet"/>
      </w:pPr>
      <w:r>
        <w:t>Customer-provided identifiers are never sufficient authorization. Server-side organization and property membership determine access.</w:t>
      </w:r>
    </w:p>
    <w:p>
      <w:pPr>
        <w:pStyle w:val="ListBullet"/>
      </w:pPr>
      <w:r>
        <w:t>Agent credentials are scoped to one registered agent and property assignment; reassignment requires a controlled workflow.</w:t>
      </w:r>
    </w:p>
    <w:p>
      <w:pPr>
        <w:pStyle w:val="ListBullet"/>
      </w:pPr>
      <w:r>
        <w:t>Cloud services treat agent telemetry and device-derived strings as untrusted input.</w:t>
      </w:r>
    </w:p>
    <w:p>
      <w:pPr>
        <w:pStyle w:val="ListBullet"/>
      </w:pPr>
      <w:r>
        <w:t>External provider callbacks are authenticated or verified, replay-protected where possible, and idempotently processed.</w:t>
      </w:r>
    </w:p>
    <w:p>
      <w:pPr>
        <w:pStyle w:val="ListBullet"/>
      </w:pPr>
      <w:r>
        <w:t>Support personnel do not obtain automatic access to customer properties merely by holding a support role.</w:t>
      </w:r>
    </w:p>
    <w:p>
      <w:pPr>
        <w:pStyle w:val="ListBullet"/>
      </w:pPr>
      <w:r>
        <w:t>Build systems and signing systems are separate from the runtime application trust path.</w:t>
      </w:r>
    </w:p>
    <w:p>
      <w:pPr>
        <w:pStyle w:val="Heading1"/>
        <w:keepNext/>
      </w:pPr>
      <w:r>
        <w:t>4. Assets and Data Classification</w:t>
      </w:r>
    </w:p>
    <w:p>
      <w:pPr>
        <w:pStyle w:val="Heading2"/>
        <w:keepNext/>
      </w:pPr>
      <w:r>
        <w:t>4.1 Protected assets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Asset</w:t>
            </w:r>
          </w:p>
        </w:tc>
        <w:tc>
          <w:tcPr>
            <w:tcW w:type="dxa" w:w="3456"/>
            <w:shd w:fill="2E6078"/>
            <w:tcMar>
              <w:top w:w="80" w:type="dxa"/>
              <w:start w:w="90" w:type="dxa"/>
              <w:bottom w:w="80" w:type="dxa"/>
              <w:end w:w="90" w:type="dxa"/>
            </w:tcMar>
          </w:tcPr>
          <w:p>
            <w:pPr>
              <w:spacing w:after="0"/>
              <w:jc w:val="left"/>
            </w:pPr>
            <w:r>
              <w:rPr>
                <w:b/>
                <w:i w:val="0"/>
                <w:color w:val="FFFFFF"/>
                <w:sz w:val="16"/>
              </w:rPr>
              <w:t>Why it matters</w:t>
            </w:r>
          </w:p>
        </w:tc>
        <w:tc>
          <w:tcPr>
            <w:tcW w:type="dxa" w:w="4104"/>
            <w:shd w:fill="2E6078"/>
            <w:tcMar>
              <w:top w:w="80" w:type="dxa"/>
              <w:start w:w="90" w:type="dxa"/>
              <w:bottom w:w="80" w:type="dxa"/>
              <w:end w:w="90" w:type="dxa"/>
            </w:tcMar>
          </w:tcPr>
          <w:p>
            <w:pPr>
              <w:spacing w:after="0"/>
              <w:jc w:val="left"/>
            </w:pPr>
            <w:r>
              <w:rPr>
                <w:b/>
                <w:i w:val="0"/>
                <w:color w:val="FFFFFF"/>
                <w:sz w:val="16"/>
              </w:rPr>
              <w:t>Minimum protection</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Customer accounts and sessions</w:t>
            </w:r>
          </w:p>
        </w:tc>
        <w:tc>
          <w:tcPr>
            <w:tcW w:type="dxa" w:w="3456"/>
            <w:tcMar>
              <w:top w:w="70" w:type="dxa"/>
              <w:start w:w="85" w:type="dxa"/>
              <w:bottom w:w="70" w:type="dxa"/>
              <w:end w:w="85" w:type="dxa"/>
            </w:tcMar>
            <w:vAlign w:val="top"/>
          </w:tcPr>
          <w:p>
            <w:pPr>
              <w:spacing w:after="0" w:line="240" w:lineRule="auto"/>
            </w:pPr>
            <w:r>
              <w:rPr>
                <w:b w:val="0"/>
                <w:i w:val="0"/>
                <w:color w:val="27333B"/>
                <w:sz w:val="15"/>
              </w:rPr>
              <w:t>Remote property visibility and control of alerts/contacts.</w:t>
            </w:r>
          </w:p>
        </w:tc>
        <w:tc>
          <w:tcPr>
            <w:tcW w:type="dxa" w:w="4104"/>
            <w:tcMar>
              <w:top w:w="70" w:type="dxa"/>
              <w:start w:w="85" w:type="dxa"/>
              <w:bottom w:w="70" w:type="dxa"/>
              <w:end w:w="85" w:type="dxa"/>
            </w:tcMar>
            <w:vAlign w:val="top"/>
          </w:tcPr>
          <w:p>
            <w:pPr>
              <w:spacing w:after="0" w:line="240" w:lineRule="auto"/>
            </w:pPr>
            <w:r>
              <w:rPr>
                <w:b w:val="0"/>
                <w:i w:val="0"/>
                <w:color w:val="27333B"/>
                <w:sz w:val="15"/>
              </w:rPr>
              <w:t>Strong authentication, secure sessions, revocation, audit, anomaly review.</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Agent credentials</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Authorize ingestion and configuration for a specific property edge.</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Per-agent secrets/keys, protected storage, rotation, revocation, no logging.</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Property and device metadata</w:t>
            </w:r>
          </w:p>
        </w:tc>
        <w:tc>
          <w:tcPr>
            <w:tcW w:type="dxa" w:w="3456"/>
            <w:tcMar>
              <w:top w:w="70" w:type="dxa"/>
              <w:start w:w="85" w:type="dxa"/>
              <w:bottom w:w="70" w:type="dxa"/>
              <w:end w:w="85" w:type="dxa"/>
            </w:tcMar>
            <w:vAlign w:val="top"/>
          </w:tcPr>
          <w:p>
            <w:pPr>
              <w:spacing w:after="0" w:line="240" w:lineRule="auto"/>
            </w:pPr>
            <w:r>
              <w:rPr>
                <w:b w:val="0"/>
                <w:i w:val="0"/>
                <w:color w:val="27333B"/>
                <w:sz w:val="15"/>
              </w:rPr>
              <w:t>Can reveal location context, security equipment, routines, and outage windows.</w:t>
            </w:r>
          </w:p>
        </w:tc>
        <w:tc>
          <w:tcPr>
            <w:tcW w:type="dxa" w:w="4104"/>
            <w:tcMar>
              <w:top w:w="70" w:type="dxa"/>
              <w:start w:w="85" w:type="dxa"/>
              <w:bottom w:w="70" w:type="dxa"/>
              <w:end w:w="85" w:type="dxa"/>
            </w:tcMar>
            <w:vAlign w:val="top"/>
          </w:tcPr>
          <w:p>
            <w:pPr>
              <w:spacing w:after="0" w:line="240" w:lineRule="auto"/>
            </w:pPr>
            <w:r>
              <w:rPr>
                <w:b w:val="0"/>
                <w:i w:val="0"/>
                <w:color w:val="27333B"/>
                <w:sz w:val="15"/>
              </w:rPr>
              <w:t>Tenant isolation, encryption, minimization, access logging, retention.</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Trusted-contact phone/email data</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Personal data and abuse target for unwanted messages.</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Consent records, encryption, masking, restricted support access, deletion.</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Incident and evidence history</w:t>
            </w:r>
          </w:p>
        </w:tc>
        <w:tc>
          <w:tcPr>
            <w:tcW w:type="dxa" w:w="3456"/>
            <w:tcMar>
              <w:top w:w="70" w:type="dxa"/>
              <w:start w:w="85" w:type="dxa"/>
              <w:bottom w:w="70" w:type="dxa"/>
              <w:end w:w="85" w:type="dxa"/>
            </w:tcMar>
            <w:vAlign w:val="top"/>
          </w:tcPr>
          <w:p>
            <w:pPr>
              <w:spacing w:after="0" w:line="240" w:lineRule="auto"/>
            </w:pPr>
            <w:r>
              <w:rPr>
                <w:b w:val="0"/>
                <w:i w:val="0"/>
                <w:color w:val="27333B"/>
                <w:sz w:val="15"/>
              </w:rPr>
              <w:t>May reveal when a property was unprotected or unattended.</w:t>
            </w:r>
          </w:p>
        </w:tc>
        <w:tc>
          <w:tcPr>
            <w:tcW w:type="dxa" w:w="4104"/>
            <w:tcMar>
              <w:top w:w="70" w:type="dxa"/>
              <w:start w:w="85" w:type="dxa"/>
              <w:bottom w:w="70" w:type="dxa"/>
              <w:end w:w="85" w:type="dxa"/>
            </w:tcMar>
            <w:vAlign w:val="top"/>
          </w:tcPr>
          <w:p>
            <w:pPr>
              <w:spacing w:after="0" w:line="240" w:lineRule="auto"/>
            </w:pPr>
            <w:r>
              <w:rPr>
                <w:b w:val="0"/>
                <w:i w:val="0"/>
                <w:color w:val="27333B"/>
                <w:sz w:val="15"/>
              </w:rPr>
              <w:t>Tenant isolation, purpose limitation, export controls, retention.</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Camera/DVR credentials</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Could grant access to surveillance equipment.</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Local storage where possible, OS-protected secrets, never general cloud logging.</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Signing keys and update metadata</w:t>
            </w:r>
          </w:p>
        </w:tc>
        <w:tc>
          <w:tcPr>
            <w:tcW w:type="dxa" w:w="3456"/>
            <w:tcMar>
              <w:top w:w="70" w:type="dxa"/>
              <w:start w:w="85" w:type="dxa"/>
              <w:bottom w:w="70" w:type="dxa"/>
              <w:end w:w="85" w:type="dxa"/>
            </w:tcMar>
            <w:vAlign w:val="top"/>
          </w:tcPr>
          <w:p>
            <w:pPr>
              <w:spacing w:after="0" w:line="240" w:lineRule="auto"/>
            </w:pPr>
            <w:r>
              <w:rPr>
                <w:b w:val="0"/>
                <w:i w:val="0"/>
                <w:color w:val="27333B"/>
                <w:sz w:val="15"/>
              </w:rPr>
              <w:t>Compromise enables software supply-chain attack.</w:t>
            </w:r>
          </w:p>
        </w:tc>
        <w:tc>
          <w:tcPr>
            <w:tcW w:type="dxa" w:w="4104"/>
            <w:tcMar>
              <w:top w:w="70" w:type="dxa"/>
              <w:start w:w="85" w:type="dxa"/>
              <w:bottom w:w="70" w:type="dxa"/>
              <w:end w:w="85" w:type="dxa"/>
            </w:tcMar>
            <w:vAlign w:val="top"/>
          </w:tcPr>
          <w:p>
            <w:pPr>
              <w:spacing w:after="0" w:line="240" w:lineRule="auto"/>
            </w:pPr>
            <w:r>
              <w:rPr>
                <w:b w:val="0"/>
                <w:i w:val="0"/>
                <w:color w:val="27333B"/>
                <w:sz w:val="15"/>
              </w:rPr>
              <w:t>Offline/HSM-backed key custody, separation of duties, immutable release records.</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Provider and infrastructure secrets</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Could enable data access, message abuse, or service disruption.</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Central secrets manager, short-lived credentials, rotation, scoped IAM.</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Audit and security telemetry</w:t>
            </w:r>
          </w:p>
        </w:tc>
        <w:tc>
          <w:tcPr>
            <w:tcW w:type="dxa" w:w="3456"/>
            <w:tcMar>
              <w:top w:w="70" w:type="dxa"/>
              <w:start w:w="85" w:type="dxa"/>
              <w:bottom w:w="70" w:type="dxa"/>
              <w:end w:w="85" w:type="dxa"/>
            </w:tcMar>
            <w:vAlign w:val="top"/>
          </w:tcPr>
          <w:p>
            <w:pPr>
              <w:spacing w:after="0" w:line="240" w:lineRule="auto"/>
            </w:pPr>
            <w:r>
              <w:rPr>
                <w:b w:val="0"/>
                <w:i w:val="0"/>
                <w:color w:val="27333B"/>
                <w:sz w:val="15"/>
              </w:rPr>
              <w:t>Needed to detect compromise and reconstruct events.</w:t>
            </w:r>
          </w:p>
        </w:tc>
        <w:tc>
          <w:tcPr>
            <w:tcW w:type="dxa" w:w="4104"/>
            <w:tcMar>
              <w:top w:w="70" w:type="dxa"/>
              <w:start w:w="85" w:type="dxa"/>
              <w:bottom w:w="70" w:type="dxa"/>
              <w:end w:w="85" w:type="dxa"/>
            </w:tcMar>
            <w:vAlign w:val="top"/>
          </w:tcPr>
          <w:p>
            <w:pPr>
              <w:spacing w:after="0" w:line="240" w:lineRule="auto"/>
            </w:pPr>
            <w:r>
              <w:rPr>
                <w:b w:val="0"/>
                <w:i w:val="0"/>
                <w:color w:val="27333B"/>
                <w:sz w:val="15"/>
              </w:rPr>
              <w:t>Tamper-resistant storage, limited access, synchronized time, retention.</w:t>
            </w:r>
          </w:p>
        </w:tc>
      </w:tr>
    </w:tbl>
    <w:p>
      <w:pPr>
        <w:spacing w:after="0"/>
      </w:pPr>
    </w:p>
    <w:p>
      <w:pPr>
        <w:pStyle w:val="Heading2"/>
        <w:keepNext/>
      </w:pPr>
      <w:r>
        <w:t>4.2 Data classes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2E6078"/>
            <w:tcMar>
              <w:top w:w="80" w:type="dxa"/>
              <w:start w:w="90" w:type="dxa"/>
              <w:bottom w:w="80" w:type="dxa"/>
              <w:end w:w="90" w:type="dxa"/>
            </w:tcMar>
          </w:tcPr>
          <w:p>
            <w:pPr>
              <w:spacing w:after="0"/>
              <w:jc w:val="left"/>
            </w:pPr>
            <w:r>
              <w:rPr>
                <w:b/>
                <w:i w:val="0"/>
                <w:color w:val="FFFFFF"/>
                <w:sz w:val="16"/>
              </w:rPr>
              <w:t>Class</w:t>
            </w:r>
          </w:p>
        </w:tc>
        <w:tc>
          <w:tcPr>
            <w:tcW w:type="dxa" w:w="3600"/>
            <w:shd w:fill="2E6078"/>
            <w:tcMar>
              <w:top w:w="80" w:type="dxa"/>
              <w:start w:w="90" w:type="dxa"/>
              <w:bottom w:w="80" w:type="dxa"/>
              <w:end w:w="90" w:type="dxa"/>
            </w:tcMar>
          </w:tcPr>
          <w:p>
            <w:pPr>
              <w:spacing w:after="0"/>
              <w:jc w:val="left"/>
            </w:pPr>
            <w:r>
              <w:rPr>
                <w:b/>
                <w:i w:val="0"/>
                <w:color w:val="FFFFFF"/>
                <w:sz w:val="16"/>
              </w:rPr>
              <w:t>Examples</w:t>
            </w:r>
          </w:p>
        </w:tc>
        <w:tc>
          <w:tcPr>
            <w:tcW w:type="dxa" w:w="2592"/>
            <w:shd w:fill="2E6078"/>
            <w:tcMar>
              <w:top w:w="80" w:type="dxa"/>
              <w:start w:w="90" w:type="dxa"/>
              <w:bottom w:w="80" w:type="dxa"/>
              <w:end w:w="90" w:type="dxa"/>
            </w:tcMar>
          </w:tcPr>
          <w:p>
            <w:pPr>
              <w:spacing w:after="0"/>
              <w:jc w:val="left"/>
            </w:pPr>
            <w:r>
              <w:rPr>
                <w:b/>
                <w:i w:val="0"/>
                <w:color w:val="FFFFFF"/>
                <w:sz w:val="16"/>
              </w:rPr>
              <w:t>Default storage</w:t>
            </w:r>
          </w:p>
        </w:tc>
        <w:tc>
          <w:tcPr>
            <w:tcW w:type="dxa" w:w="1944"/>
            <w:shd w:fill="2E6078"/>
            <w:tcMar>
              <w:top w:w="80" w:type="dxa"/>
              <w:start w:w="90" w:type="dxa"/>
              <w:bottom w:w="80" w:type="dxa"/>
              <w:end w:w="90" w:type="dxa"/>
            </w:tcMar>
          </w:tcPr>
          <w:p>
            <w:pPr>
              <w:spacing w:after="0"/>
              <w:jc w:val="left"/>
            </w:pPr>
            <w:r>
              <w:rPr>
                <w:b/>
                <w:i w:val="0"/>
                <w:color w:val="FFFFFF"/>
                <w:sz w:val="16"/>
              </w:rPr>
              <w:t>Default retention direction</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5"/>
              </w:rPr>
              <w:t>D0 — Public</w:t>
            </w:r>
          </w:p>
        </w:tc>
        <w:tc>
          <w:tcPr>
            <w:tcW w:type="dxa" w:w="3600"/>
            <w:tcMar>
              <w:top w:w="70" w:type="dxa"/>
              <w:start w:w="85" w:type="dxa"/>
              <w:bottom w:w="70" w:type="dxa"/>
              <w:end w:w="85" w:type="dxa"/>
            </w:tcMar>
            <w:vAlign w:val="top"/>
          </w:tcPr>
          <w:p>
            <w:pPr>
              <w:spacing w:after="0" w:line="240" w:lineRule="auto"/>
            </w:pPr>
            <w:r>
              <w:rPr>
                <w:b w:val="0"/>
                <w:i w:val="0"/>
                <w:color w:val="27333B"/>
                <w:sz w:val="15"/>
              </w:rPr>
              <w:t>Marketing copy, product documentation, public status page.</w:t>
            </w:r>
          </w:p>
        </w:tc>
        <w:tc>
          <w:tcPr>
            <w:tcW w:type="dxa" w:w="2592"/>
            <w:tcMar>
              <w:top w:w="70" w:type="dxa"/>
              <w:start w:w="85" w:type="dxa"/>
              <w:bottom w:w="70" w:type="dxa"/>
              <w:end w:w="85" w:type="dxa"/>
            </w:tcMar>
            <w:vAlign w:val="top"/>
          </w:tcPr>
          <w:p>
            <w:pPr>
              <w:spacing w:after="0" w:line="240" w:lineRule="auto"/>
            </w:pPr>
            <w:r>
              <w:rPr>
                <w:b w:val="0"/>
                <w:i w:val="0"/>
                <w:color w:val="27333B"/>
                <w:sz w:val="15"/>
              </w:rPr>
              <w:t>Public systems</w:t>
            </w:r>
          </w:p>
        </w:tc>
        <w:tc>
          <w:tcPr>
            <w:tcW w:type="dxa" w:w="1944"/>
            <w:tcMar>
              <w:top w:w="70" w:type="dxa"/>
              <w:start w:w="85" w:type="dxa"/>
              <w:bottom w:w="70" w:type="dxa"/>
              <w:end w:w="85" w:type="dxa"/>
            </w:tcMar>
            <w:vAlign w:val="top"/>
          </w:tcPr>
          <w:p>
            <w:pPr>
              <w:spacing w:after="0" w:line="240" w:lineRule="auto"/>
            </w:pPr>
            <w:r>
              <w:rPr>
                <w:b w:val="0"/>
                <w:i w:val="0"/>
                <w:color w:val="27333B"/>
                <w:sz w:val="15"/>
              </w:rPr>
              <w:t>As business requires</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5"/>
              </w:rPr>
              <w:t>D1 — Operational low sensitivity</w:t>
            </w:r>
          </w:p>
        </w:tc>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Software version, capability flags, aggregate service metrics without customer identifiers.</w:t>
            </w:r>
          </w:p>
        </w:tc>
        <w:tc>
          <w:tcPr>
            <w:tcW w:type="dxa" w:w="2592"/>
            <w:tcMar>
              <w:top w:w="70" w:type="dxa"/>
              <w:start w:w="85" w:type="dxa"/>
              <w:bottom w:w="70" w:type="dxa"/>
              <w:end w:w="85" w:type="dxa"/>
            </w:tcMar>
            <w:vAlign w:val="top"/>
            <w:shd w:fill="F5F7F8"/>
          </w:tcPr>
          <w:p>
            <w:pPr>
              <w:spacing w:after="0" w:line="240" w:lineRule="auto"/>
            </w:pPr>
            <w:r>
              <w:rPr>
                <w:b w:val="0"/>
                <w:i w:val="0"/>
                <w:color w:val="27333B"/>
                <w:sz w:val="15"/>
              </w:rPr>
              <w:t>Cloud and local</w:t>
            </w:r>
          </w:p>
        </w:tc>
        <w:tc>
          <w:tcPr>
            <w:tcW w:type="dxa" w:w="1944"/>
            <w:tcMar>
              <w:top w:w="70" w:type="dxa"/>
              <w:start w:w="85" w:type="dxa"/>
              <w:bottom w:w="70" w:type="dxa"/>
              <w:end w:w="85" w:type="dxa"/>
            </w:tcMar>
            <w:vAlign w:val="top"/>
            <w:shd w:fill="F5F7F8"/>
          </w:tcPr>
          <w:p>
            <w:pPr>
              <w:spacing w:after="0" w:line="240" w:lineRule="auto"/>
            </w:pPr>
            <w:r>
              <w:rPr>
                <w:b w:val="0"/>
                <w:i w:val="0"/>
                <w:color w:val="27333B"/>
                <w:sz w:val="15"/>
              </w:rPr>
              <w:t>Short to moderate</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5"/>
              </w:rPr>
              <w:t>D2 — Customer operational</w:t>
            </w:r>
          </w:p>
        </w:tc>
        <w:tc>
          <w:tcPr>
            <w:tcW w:type="dxa" w:w="3600"/>
            <w:tcMar>
              <w:top w:w="70" w:type="dxa"/>
              <w:start w:w="85" w:type="dxa"/>
              <w:bottom w:w="70" w:type="dxa"/>
              <w:end w:w="85" w:type="dxa"/>
            </w:tcMar>
            <w:vAlign w:val="top"/>
          </w:tcPr>
          <w:p>
            <w:pPr>
              <w:spacing w:after="0" w:line="240" w:lineRule="auto"/>
            </w:pPr>
            <w:r>
              <w:rPr>
                <w:b w:val="0"/>
                <w:i w:val="0"/>
                <w:color w:val="27333B"/>
                <w:sz w:val="15"/>
              </w:rPr>
              <w:t>Property label, device alias/type, current state, latency summary, incident timestamps.</w:t>
            </w:r>
          </w:p>
        </w:tc>
        <w:tc>
          <w:tcPr>
            <w:tcW w:type="dxa" w:w="2592"/>
            <w:tcMar>
              <w:top w:w="70" w:type="dxa"/>
              <w:start w:w="85" w:type="dxa"/>
              <w:bottom w:w="70" w:type="dxa"/>
              <w:end w:w="85" w:type="dxa"/>
            </w:tcMar>
            <w:vAlign w:val="top"/>
          </w:tcPr>
          <w:p>
            <w:pPr>
              <w:spacing w:after="0" w:line="240" w:lineRule="auto"/>
            </w:pPr>
            <w:r>
              <w:rPr>
                <w:b w:val="0"/>
                <w:i w:val="0"/>
                <w:color w:val="27333B"/>
                <w:sz w:val="15"/>
              </w:rPr>
              <w:t>Cloud system of record; raw detail local</w:t>
            </w:r>
          </w:p>
        </w:tc>
        <w:tc>
          <w:tcPr>
            <w:tcW w:type="dxa" w:w="1944"/>
            <w:tcMar>
              <w:top w:w="70" w:type="dxa"/>
              <w:start w:w="85" w:type="dxa"/>
              <w:bottom w:w="70" w:type="dxa"/>
              <w:end w:w="85" w:type="dxa"/>
            </w:tcMar>
            <w:vAlign w:val="top"/>
          </w:tcPr>
          <w:p>
            <w:pPr>
              <w:spacing w:after="0" w:line="240" w:lineRule="auto"/>
            </w:pPr>
            <w:r>
              <w:rPr>
                <w:b w:val="0"/>
                <w:i w:val="0"/>
                <w:color w:val="27333B"/>
                <w:sz w:val="15"/>
              </w:rPr>
              <w:t>Purpose-based; customer-visible</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5"/>
              </w:rPr>
              <w:t>D3 — Sensitive customer</w:t>
            </w:r>
          </w:p>
        </w:tc>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Phone/email contacts, public IP, detailed device inventory, away-mode status, exported incident reports.</w:t>
            </w:r>
          </w:p>
        </w:tc>
        <w:tc>
          <w:tcPr>
            <w:tcW w:type="dxa" w:w="2592"/>
            <w:tcMar>
              <w:top w:w="70" w:type="dxa"/>
              <w:start w:w="85" w:type="dxa"/>
              <w:bottom w:w="70" w:type="dxa"/>
              <w:end w:w="85" w:type="dxa"/>
            </w:tcMar>
            <w:vAlign w:val="top"/>
            <w:shd w:fill="F5F7F8"/>
          </w:tcPr>
          <w:p>
            <w:pPr>
              <w:spacing w:after="0" w:line="240" w:lineRule="auto"/>
            </w:pPr>
            <w:r>
              <w:rPr>
                <w:b w:val="0"/>
                <w:i w:val="0"/>
                <w:color w:val="27333B"/>
                <w:sz w:val="15"/>
              </w:rPr>
              <w:t>Encrypted cloud; restricted access</w:t>
            </w:r>
          </w:p>
        </w:tc>
        <w:tc>
          <w:tcPr>
            <w:tcW w:type="dxa" w:w="1944"/>
            <w:tcMar>
              <w:top w:w="70" w:type="dxa"/>
              <w:start w:w="85" w:type="dxa"/>
              <w:bottom w:w="70" w:type="dxa"/>
              <w:end w:w="85" w:type="dxa"/>
            </w:tcMar>
            <w:vAlign w:val="top"/>
            <w:shd w:fill="F5F7F8"/>
          </w:tcPr>
          <w:p>
            <w:pPr>
              <w:spacing w:after="0" w:line="240" w:lineRule="auto"/>
            </w:pPr>
            <w:r>
              <w:rPr>
                <w:b w:val="0"/>
                <w:i w:val="0"/>
                <w:color w:val="27333B"/>
                <w:sz w:val="15"/>
              </w:rPr>
              <w:t>Minimize and expire</w:t>
            </w:r>
          </w:p>
        </w:tc>
      </w:tr>
      <w:tr>
        <w:trPr>
          <w:cantSplit/>
        </w:trPr>
        <w:tc>
          <w:tcPr>
            <w:tcW w:type="dxa" w:w="1944"/>
            <w:tcMar>
              <w:top w:w="70" w:type="dxa"/>
              <w:start w:w="85" w:type="dxa"/>
              <w:bottom w:w="70" w:type="dxa"/>
              <w:end w:w="85" w:type="dxa"/>
            </w:tcMar>
            <w:vAlign w:val="top"/>
          </w:tcPr>
          <w:p>
            <w:pPr>
              <w:spacing w:after="0" w:line="240" w:lineRule="auto"/>
            </w:pPr>
            <w:r>
              <w:rPr>
                <w:b/>
                <w:i w:val="0"/>
                <w:color w:val="27333B"/>
                <w:sz w:val="15"/>
              </w:rPr>
              <w:t>D4 — Restricted security</w:t>
            </w:r>
          </w:p>
        </w:tc>
        <w:tc>
          <w:tcPr>
            <w:tcW w:type="dxa" w:w="3600"/>
            <w:tcMar>
              <w:top w:w="70" w:type="dxa"/>
              <w:start w:w="85" w:type="dxa"/>
              <w:bottom w:w="70" w:type="dxa"/>
              <w:end w:w="85" w:type="dxa"/>
            </w:tcMar>
            <w:vAlign w:val="top"/>
          </w:tcPr>
          <w:p>
            <w:pPr>
              <w:spacing w:after="0" w:line="240" w:lineRule="auto"/>
            </w:pPr>
            <w:r>
              <w:rPr>
                <w:b w:val="0"/>
                <w:i w:val="0"/>
                <w:color w:val="27333B"/>
                <w:sz w:val="15"/>
              </w:rPr>
              <w:t>Agent secrets, camera credentials, provider keys, signing material, recovery codes.</w:t>
            </w:r>
          </w:p>
        </w:tc>
        <w:tc>
          <w:tcPr>
            <w:tcW w:type="dxa" w:w="2592"/>
            <w:tcMar>
              <w:top w:w="70" w:type="dxa"/>
              <w:start w:w="85" w:type="dxa"/>
              <w:bottom w:w="70" w:type="dxa"/>
              <w:end w:w="85" w:type="dxa"/>
            </w:tcMar>
            <w:vAlign w:val="top"/>
          </w:tcPr>
          <w:p>
            <w:pPr>
              <w:spacing w:after="0" w:line="240" w:lineRule="auto"/>
            </w:pPr>
            <w:r>
              <w:rPr>
                <w:b w:val="0"/>
                <w:i w:val="0"/>
                <w:color w:val="27333B"/>
                <w:sz w:val="15"/>
              </w:rPr>
              <w:t>Dedicated protected stores; many items local only</w:t>
            </w:r>
          </w:p>
        </w:tc>
        <w:tc>
          <w:tcPr>
            <w:tcW w:type="dxa" w:w="1944"/>
            <w:tcMar>
              <w:top w:w="70" w:type="dxa"/>
              <w:start w:w="85" w:type="dxa"/>
              <w:bottom w:w="70" w:type="dxa"/>
              <w:end w:w="85" w:type="dxa"/>
            </w:tcMar>
            <w:vAlign w:val="top"/>
          </w:tcPr>
          <w:p>
            <w:pPr>
              <w:spacing w:after="0" w:line="240" w:lineRule="auto"/>
            </w:pPr>
            <w:r>
              <w:rPr>
                <w:b w:val="0"/>
                <w:i w:val="0"/>
                <w:color w:val="27333B"/>
                <w:sz w:val="15"/>
              </w:rPr>
              <w:t>Shortest practical; rotate/revoke</w:t>
            </w:r>
          </w:p>
        </w:tc>
      </w:tr>
      <w:tr>
        <w:trPr>
          <w:cantSplit/>
        </w:trPr>
        <w:tc>
          <w:tcPr>
            <w:tcW w:type="dxa" w:w="1944"/>
            <w:tcMar>
              <w:top w:w="70" w:type="dxa"/>
              <w:start w:w="85" w:type="dxa"/>
              <w:bottom w:w="70" w:type="dxa"/>
              <w:end w:w="85" w:type="dxa"/>
            </w:tcMar>
            <w:vAlign w:val="top"/>
            <w:shd w:fill="F5F7F8"/>
          </w:tcPr>
          <w:p>
            <w:pPr>
              <w:spacing w:after="0" w:line="240" w:lineRule="auto"/>
            </w:pPr>
            <w:r>
              <w:rPr>
                <w:b/>
                <w:i w:val="0"/>
                <w:color w:val="27333B"/>
                <w:sz w:val="15"/>
              </w:rPr>
              <w:t>D5 — Surveillance content</w:t>
            </w:r>
          </w:p>
        </w:tc>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Video, audio, images, biometric or behavioral content.</w:t>
            </w:r>
          </w:p>
        </w:tc>
        <w:tc>
          <w:tcPr>
            <w:tcW w:type="dxa" w:w="2592"/>
            <w:tcMar>
              <w:top w:w="70" w:type="dxa"/>
              <w:start w:w="85" w:type="dxa"/>
              <w:bottom w:w="70" w:type="dxa"/>
              <w:end w:w="85" w:type="dxa"/>
            </w:tcMar>
            <w:vAlign w:val="top"/>
            <w:shd w:fill="F5F7F8"/>
          </w:tcPr>
          <w:p>
            <w:pPr>
              <w:spacing w:after="0" w:line="240" w:lineRule="auto"/>
            </w:pPr>
            <w:r>
              <w:rPr>
                <w:b w:val="0"/>
                <w:i w:val="0"/>
                <w:color w:val="27333B"/>
                <w:sz w:val="15"/>
              </w:rPr>
              <w:t>Not collected in MVP</w:t>
            </w:r>
          </w:p>
        </w:tc>
        <w:tc>
          <w:tcPr>
            <w:tcW w:type="dxa" w:w="1944"/>
            <w:tcMar>
              <w:top w:w="70" w:type="dxa"/>
              <w:start w:w="85" w:type="dxa"/>
              <w:bottom w:w="70" w:type="dxa"/>
              <w:end w:w="85" w:type="dxa"/>
            </w:tcMar>
            <w:vAlign w:val="top"/>
            <w:shd w:fill="F5F7F8"/>
          </w:tcPr>
          <w:p>
            <w:pPr>
              <w:spacing w:after="0" w:line="240" w:lineRule="auto"/>
            </w:pPr>
            <w:r>
              <w:rPr>
                <w:b w:val="0"/>
                <w:i w:val="0"/>
                <w:color w:val="27333B"/>
                <w:sz w:val="15"/>
              </w:rPr>
              <w:t>Not applicable</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CLASSIFICATION RULE</w:t>
            </w:r>
          </w:p>
          <w:p>
            <w:pPr>
              <w:spacing w:after="0"/>
            </w:pPr>
            <w:r>
              <w:rPr>
                <w:b w:val="0"/>
                <w:i w:val="0"/>
                <w:color w:val="27333B"/>
                <w:sz w:val="20"/>
              </w:rPr>
              <w:t>A field is classified by the harm caused through disclosure or misuse, not by whether it looks technically ordinary. An outage timestamp, public IP address, or away-mode flag may be sensitive in the context of an unattended property.</w:t>
            </w:r>
          </w:p>
        </w:tc>
      </w:tr>
    </w:tbl>
    <w:p>
      <w:pPr>
        <w:spacing w:after="0"/>
      </w:pPr>
    </w:p>
    <w:p>
      <w:pPr>
        <w:pStyle w:val="Heading2"/>
        <w:keepNext/>
      </w:pPr>
      <w:r>
        <w:t>4.3 Data handling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SEC-001</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Every persisted field MUST have an owner, purpose, classification, retention rule, and access path.</w:t>
            </w:r>
          </w:p>
        </w:tc>
        <w:tc>
          <w:tcPr>
            <w:tcW w:type="dxa" w:w="1728"/>
            <w:tcMar>
              <w:top w:w="70" w:type="dxa"/>
              <w:start w:w="85" w:type="dxa"/>
              <w:bottom w:w="70" w:type="dxa"/>
              <w:end w:w="85" w:type="dxa"/>
            </w:tcMar>
            <w:vAlign w:val="top"/>
          </w:tcPr>
          <w:p>
            <w:pPr>
              <w:spacing w:after="0" w:line="240" w:lineRule="auto"/>
            </w:pPr>
            <w:r>
              <w:rPr>
                <w:b w:val="0"/>
                <w:i w:val="0"/>
                <w:color w:val="27333B"/>
                <w:sz w:val="15"/>
              </w:rPr>
              <w:t>Schema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SEC-002</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D4 secrets MUST NOT appear in application logs, analytics, support bundles, crash reports, or customer exports.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Automated secret scanning</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SEC-003</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D5 surveillance content MUST NOT be collected or uploaded in MVP.</w:t>
            </w:r>
          </w:p>
        </w:tc>
        <w:tc>
          <w:tcPr>
            <w:tcW w:type="dxa" w:w="1728"/>
            <w:tcMar>
              <w:top w:w="70" w:type="dxa"/>
              <w:start w:w="85" w:type="dxa"/>
              <w:bottom w:w="70" w:type="dxa"/>
              <w:end w:w="85" w:type="dxa"/>
            </w:tcMar>
            <w:vAlign w:val="top"/>
          </w:tcPr>
          <w:p>
            <w:pPr>
              <w:spacing w:after="0" w:line="240" w:lineRule="auto"/>
            </w:pPr>
            <w:r>
              <w:rPr>
                <w:b w:val="0"/>
                <w:i w:val="0"/>
                <w:color w:val="27333B"/>
                <w:sz w:val="15"/>
              </w:rPr>
              <w:t>Network and code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SEC-004</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Support interfaces MUST mask D3 contact and network data by default.</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Role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SEC-005</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Deletion and retention jobs MUST be idempotent, observable, and tested against backups and derived stores.</w:t>
            </w:r>
          </w:p>
        </w:tc>
        <w:tc>
          <w:tcPr>
            <w:tcW w:type="dxa" w:w="1728"/>
            <w:tcMar>
              <w:top w:w="70" w:type="dxa"/>
              <w:start w:w="85" w:type="dxa"/>
              <w:bottom w:w="70" w:type="dxa"/>
              <w:end w:w="85" w:type="dxa"/>
            </w:tcMar>
            <w:vAlign w:val="top"/>
          </w:tcPr>
          <w:p>
            <w:pPr>
              <w:spacing w:after="0" w:line="240" w:lineRule="auto"/>
            </w:pPr>
            <w:r>
              <w:rPr>
                <w:b w:val="0"/>
                <w:i w:val="0"/>
                <w:color w:val="27333B"/>
                <w:sz w:val="15"/>
              </w:rPr>
              <w:t>Lifecycle test</w:t>
            </w:r>
          </w:p>
        </w:tc>
      </w:tr>
    </w:tbl>
    <w:p>
      <w:pPr>
        <w:spacing w:after="0"/>
      </w:pPr>
    </w:p>
    <w:p>
      <w:pPr>
        <w:pStyle w:val="Heading1"/>
        <w:keepNext/>
      </w:pPr>
      <w:r>
        <w:t>5. Threat Actors and Misuse Profiles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Actor</w:t>
            </w:r>
          </w:p>
        </w:tc>
        <w:tc>
          <w:tcPr>
            <w:tcW w:type="dxa" w:w="3528"/>
            <w:shd w:fill="2E6078"/>
            <w:tcMar>
              <w:top w:w="80" w:type="dxa"/>
              <w:start w:w="90" w:type="dxa"/>
              <w:bottom w:w="80" w:type="dxa"/>
              <w:end w:w="90" w:type="dxa"/>
            </w:tcMar>
          </w:tcPr>
          <w:p>
            <w:pPr>
              <w:spacing w:after="0"/>
              <w:jc w:val="left"/>
            </w:pPr>
            <w:r>
              <w:rPr>
                <w:b/>
                <w:i w:val="0"/>
                <w:color w:val="FFFFFF"/>
                <w:sz w:val="16"/>
              </w:rPr>
              <w:t>Capability / motivation</w:t>
            </w:r>
          </w:p>
        </w:tc>
        <w:tc>
          <w:tcPr>
            <w:tcW w:type="dxa" w:w="3960"/>
            <w:shd w:fill="2E6078"/>
            <w:tcMar>
              <w:top w:w="80" w:type="dxa"/>
              <w:start w:w="90" w:type="dxa"/>
              <w:bottom w:w="80" w:type="dxa"/>
              <w:end w:w="90" w:type="dxa"/>
            </w:tcMar>
          </w:tcPr>
          <w:p>
            <w:pPr>
              <w:spacing w:after="0"/>
              <w:jc w:val="left"/>
            </w:pPr>
            <w:r>
              <w:rPr>
                <w:b/>
                <w:i w:val="0"/>
                <w:color w:val="FFFFFF"/>
                <w:sz w:val="16"/>
              </w:rPr>
              <w:t>Primary concerns</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Opportunistic internet attacker</w:t>
            </w:r>
          </w:p>
        </w:tc>
        <w:tc>
          <w:tcPr>
            <w:tcW w:type="dxa" w:w="3528"/>
            <w:tcMar>
              <w:top w:w="70" w:type="dxa"/>
              <w:start w:w="85" w:type="dxa"/>
              <w:bottom w:w="70" w:type="dxa"/>
              <w:end w:w="85" w:type="dxa"/>
            </w:tcMar>
            <w:vAlign w:val="top"/>
          </w:tcPr>
          <w:p>
            <w:pPr>
              <w:spacing w:after="0" w:line="240" w:lineRule="auto"/>
            </w:pPr>
            <w:r>
              <w:rPr>
                <w:b w:val="0"/>
                <w:i w:val="0"/>
                <w:color w:val="27333B"/>
                <w:sz w:val="15"/>
              </w:rPr>
              <w:t>Credential stuffing, scanning, commodity malware, API abuse.</w:t>
            </w:r>
          </w:p>
        </w:tc>
        <w:tc>
          <w:tcPr>
            <w:tcW w:type="dxa" w:w="3960"/>
            <w:tcMar>
              <w:top w:w="70" w:type="dxa"/>
              <w:start w:w="85" w:type="dxa"/>
              <w:bottom w:w="70" w:type="dxa"/>
              <w:end w:w="85" w:type="dxa"/>
            </w:tcMar>
            <w:vAlign w:val="top"/>
          </w:tcPr>
          <w:p>
            <w:pPr>
              <w:spacing w:after="0" w:line="240" w:lineRule="auto"/>
            </w:pPr>
            <w:r>
              <w:rPr>
                <w:b w:val="0"/>
                <w:i w:val="0"/>
                <w:color w:val="27333B"/>
                <w:sz w:val="15"/>
              </w:rPr>
              <w:t>Account takeover, denial of service, message abuse, exposed admin tools.</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Targeted property intruder</w:t>
            </w:r>
          </w:p>
        </w:tc>
        <w:tc>
          <w:tcPr>
            <w:tcW w:type="dxa" w:w="3528"/>
            <w:tcMar>
              <w:top w:w="70" w:type="dxa"/>
              <w:start w:w="85" w:type="dxa"/>
              <w:bottom w:w="70" w:type="dxa"/>
              <w:end w:w="85" w:type="dxa"/>
            </w:tcMar>
            <w:vAlign w:val="top"/>
            <w:shd w:fill="F5F7F8"/>
          </w:tcPr>
          <w:p>
            <w:pPr>
              <w:spacing w:after="0" w:line="240" w:lineRule="auto"/>
            </w:pPr>
            <w:r>
              <w:rPr>
                <w:b w:val="0"/>
                <w:i w:val="0"/>
                <w:color w:val="27333B"/>
                <w:sz w:val="15"/>
              </w:rPr>
              <w:t>Wants cameras or connectivity disabled without owner awareness.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Physical disconnection, router reset, local PC shutdown, alert suppression through stolen credentials.</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Malicious or careless local administrator</w:t>
            </w:r>
          </w:p>
        </w:tc>
        <w:tc>
          <w:tcPr>
            <w:tcW w:type="dxa" w:w="3528"/>
            <w:tcMar>
              <w:top w:w="70" w:type="dxa"/>
              <w:start w:w="85" w:type="dxa"/>
              <w:bottom w:w="70" w:type="dxa"/>
              <w:end w:w="85" w:type="dxa"/>
            </w:tcMar>
            <w:vAlign w:val="top"/>
          </w:tcPr>
          <w:p>
            <w:pPr>
              <w:spacing w:after="0" w:line="240" w:lineRule="auto"/>
            </w:pPr>
            <w:r>
              <w:rPr>
                <w:b w:val="0"/>
                <w:i w:val="0"/>
                <w:color w:val="27333B"/>
                <w:sz w:val="15"/>
              </w:rPr>
              <w:t>Full Windows or network administrative access.</w:t>
            </w:r>
          </w:p>
        </w:tc>
        <w:tc>
          <w:tcPr>
            <w:tcW w:type="dxa" w:w="3960"/>
            <w:tcMar>
              <w:top w:w="70" w:type="dxa"/>
              <w:start w:w="85" w:type="dxa"/>
              <w:bottom w:w="70" w:type="dxa"/>
              <w:end w:w="85" w:type="dxa"/>
            </w:tcMar>
            <w:vAlign w:val="top"/>
          </w:tcPr>
          <w:p>
            <w:pPr>
              <w:spacing w:after="0" w:line="240" w:lineRule="auto"/>
            </w:pPr>
            <w:r>
              <w:rPr>
                <w:b w:val="0"/>
                <w:i w:val="0"/>
                <w:color w:val="27333B"/>
                <w:sz w:val="15"/>
              </w:rPr>
              <w:t>Agent disablement, credential extraction attempts, configuration manipulation, evidence deletion.</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Compromised LAN device</w:t>
            </w:r>
          </w:p>
        </w:tc>
        <w:tc>
          <w:tcPr>
            <w:tcW w:type="dxa" w:w="3528"/>
            <w:tcMar>
              <w:top w:w="70" w:type="dxa"/>
              <w:start w:w="85" w:type="dxa"/>
              <w:bottom w:w="70" w:type="dxa"/>
              <w:end w:w="85" w:type="dxa"/>
            </w:tcMar>
            <w:vAlign w:val="top"/>
            <w:shd w:fill="F5F7F8"/>
          </w:tcPr>
          <w:p>
            <w:pPr>
              <w:spacing w:after="0" w:line="240" w:lineRule="auto"/>
            </w:pPr>
            <w:r>
              <w:rPr>
                <w:b w:val="0"/>
                <w:i w:val="0"/>
                <w:color w:val="27333B"/>
                <w:sz w:val="15"/>
              </w:rPr>
              <w:t>Returns malformed protocol data, scans the agent, or attempts lateral movement.</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Parser bugs, command injection, resource exhaustion, credential leakage.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Abusive customer</w:t>
            </w:r>
          </w:p>
        </w:tc>
        <w:tc>
          <w:tcPr>
            <w:tcW w:type="dxa" w:w="3528"/>
            <w:tcMar>
              <w:top w:w="70" w:type="dxa"/>
              <w:start w:w="85" w:type="dxa"/>
              <w:bottom w:w="70" w:type="dxa"/>
              <w:end w:w="85" w:type="dxa"/>
            </w:tcMar>
            <w:vAlign w:val="top"/>
          </w:tcPr>
          <w:p>
            <w:pPr>
              <w:spacing w:after="0" w:line="240" w:lineRule="auto"/>
            </w:pPr>
            <w:r>
              <w:rPr>
                <w:b w:val="0"/>
                <w:i w:val="0"/>
                <w:color w:val="27333B"/>
                <w:sz w:val="15"/>
              </w:rPr>
              <w:t>Uses messages to harass contacts, scans networks without authority, or creates excessive traffic.</w:t>
            </w:r>
          </w:p>
        </w:tc>
        <w:tc>
          <w:tcPr>
            <w:tcW w:type="dxa" w:w="3960"/>
            <w:tcMar>
              <w:top w:w="70" w:type="dxa"/>
              <w:start w:w="85" w:type="dxa"/>
              <w:bottom w:w="70" w:type="dxa"/>
              <w:end w:w="85" w:type="dxa"/>
            </w:tcMar>
            <w:vAlign w:val="top"/>
          </w:tcPr>
          <w:p>
            <w:pPr>
              <w:spacing w:after="0" w:line="240" w:lineRule="auto"/>
            </w:pPr>
            <w:r>
              <w:rPr>
                <w:b w:val="0"/>
                <w:i w:val="0"/>
                <w:color w:val="27333B"/>
                <w:sz w:val="15"/>
              </w:rPr>
              <w:t>SMS abuse, unauthorized monitoring, resource consumption, chargeback/fraud.</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Compromised customer account</w:t>
            </w:r>
          </w:p>
        </w:tc>
        <w:tc>
          <w:tcPr>
            <w:tcW w:type="dxa" w:w="3528"/>
            <w:tcMar>
              <w:top w:w="70" w:type="dxa"/>
              <w:start w:w="85" w:type="dxa"/>
              <w:bottom w:w="70" w:type="dxa"/>
              <w:end w:w="85" w:type="dxa"/>
            </w:tcMar>
            <w:vAlign w:val="top"/>
            <w:shd w:fill="F5F7F8"/>
          </w:tcPr>
          <w:p>
            <w:pPr>
              <w:spacing w:after="0" w:line="240" w:lineRule="auto"/>
            </w:pPr>
            <w:r>
              <w:rPr>
                <w:b w:val="0"/>
                <w:i w:val="0"/>
                <w:color w:val="27333B"/>
                <w:sz w:val="15"/>
              </w:rPr>
              <w:t>Attacker has password/session access but not local property access.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Viewing status, changing contacts, disabling alerts, exporting incident history.</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Malicious insider / overprivileged contractor</w:t>
            </w:r>
          </w:p>
        </w:tc>
        <w:tc>
          <w:tcPr>
            <w:tcW w:type="dxa" w:w="3528"/>
            <w:tcMar>
              <w:top w:w="70" w:type="dxa"/>
              <w:start w:w="85" w:type="dxa"/>
              <w:bottom w:w="70" w:type="dxa"/>
              <w:end w:w="85" w:type="dxa"/>
            </w:tcMar>
            <w:vAlign w:val="top"/>
          </w:tcPr>
          <w:p>
            <w:pPr>
              <w:spacing w:after="0" w:line="240" w:lineRule="auto"/>
            </w:pPr>
            <w:r>
              <w:rPr>
                <w:b w:val="0"/>
                <w:i w:val="0"/>
                <w:color w:val="27333B"/>
                <w:sz w:val="15"/>
              </w:rPr>
              <w:t>Legitimate operational access used improperly.</w:t>
            </w:r>
          </w:p>
        </w:tc>
        <w:tc>
          <w:tcPr>
            <w:tcW w:type="dxa" w:w="3960"/>
            <w:tcMar>
              <w:top w:w="70" w:type="dxa"/>
              <w:start w:w="85" w:type="dxa"/>
              <w:bottom w:w="70" w:type="dxa"/>
              <w:end w:w="85" w:type="dxa"/>
            </w:tcMar>
            <w:vAlign w:val="top"/>
          </w:tcPr>
          <w:p>
            <w:pPr>
              <w:spacing w:after="0" w:line="240" w:lineRule="auto"/>
            </w:pPr>
            <w:r>
              <w:rPr>
                <w:b w:val="0"/>
                <w:i w:val="0"/>
                <w:color w:val="27333B"/>
                <w:sz w:val="15"/>
              </w:rPr>
              <w:t>Cross-tenant access, secret theft, log tampering, customer surveillance.</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Supply-chain attacker</w:t>
            </w:r>
          </w:p>
        </w:tc>
        <w:tc>
          <w:tcPr>
            <w:tcW w:type="dxa" w:w="3528"/>
            <w:tcMar>
              <w:top w:w="70" w:type="dxa"/>
              <w:start w:w="85" w:type="dxa"/>
              <w:bottom w:w="70" w:type="dxa"/>
              <w:end w:w="85" w:type="dxa"/>
            </w:tcMar>
            <w:vAlign w:val="top"/>
            <w:shd w:fill="F5F7F8"/>
          </w:tcPr>
          <w:p>
            <w:pPr>
              <w:spacing w:after="0" w:line="240" w:lineRule="auto"/>
            </w:pPr>
            <w:r>
              <w:rPr>
                <w:b w:val="0"/>
                <w:i w:val="0"/>
                <w:color w:val="27333B"/>
                <w:sz w:val="15"/>
              </w:rPr>
              <w:t>Targets dependencies, build runners, update storage, signing, or developer accounts.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Malicious agent or cloud deployment, stolen signing key, dependency compromise.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External provider compromise</w:t>
            </w:r>
          </w:p>
        </w:tc>
        <w:tc>
          <w:tcPr>
            <w:tcW w:type="dxa" w:w="3528"/>
            <w:tcMar>
              <w:top w:w="70" w:type="dxa"/>
              <w:start w:w="85" w:type="dxa"/>
              <w:bottom w:w="70" w:type="dxa"/>
              <w:end w:w="85" w:type="dxa"/>
            </w:tcMar>
            <w:vAlign w:val="top"/>
          </w:tcPr>
          <w:p>
            <w:pPr>
              <w:spacing w:after="0" w:line="240" w:lineRule="auto"/>
            </w:pPr>
            <w:r>
              <w:rPr>
                <w:b w:val="0"/>
                <w:i w:val="0"/>
                <w:color w:val="27333B"/>
                <w:sz w:val="15"/>
              </w:rPr>
              <w:t>Identity, SMS, email, billing, cloud, or observability provider is breached.</w:t>
            </w:r>
          </w:p>
        </w:tc>
        <w:tc>
          <w:tcPr>
            <w:tcW w:type="dxa" w:w="3960"/>
            <w:tcMar>
              <w:top w:w="70" w:type="dxa"/>
              <w:start w:w="85" w:type="dxa"/>
              <w:bottom w:w="70" w:type="dxa"/>
              <w:end w:w="85" w:type="dxa"/>
            </w:tcMar>
            <w:vAlign w:val="top"/>
          </w:tcPr>
          <w:p>
            <w:pPr>
              <w:spacing w:after="0" w:line="240" w:lineRule="auto"/>
            </w:pPr>
            <w:r>
              <w:rPr>
                <w:b w:val="0"/>
                <w:i w:val="0"/>
                <w:color w:val="27333B"/>
                <w:sz w:val="15"/>
              </w:rPr>
              <w:t>Token theft, callback spoofing, metadata exposure, notification manipulation.</w:t>
            </w:r>
          </w:p>
        </w:tc>
      </w:tr>
    </w:tbl>
    <w:p>
      <w:pPr>
        <w:spacing w:after="0"/>
      </w:pPr>
    </w:p>
    <w:p>
      <w:pPr>
        <w:pStyle w:val="Heading2"/>
        <w:keepNext/>
      </w:pPr>
      <w:r>
        <w:t>5.1 Attacker capability limits</w:t>
      </w:r>
    </w:p>
    <w:p>
      <w:pPr/>
      <w:r>
        <w:t>The model does not assume the system can defeat an attacker with persistent physical possession of the monitoring PC and administrator rights. Instead, it requires rapid cloud-side detection when the agent stops communicating, evidence preservation before and after loss, revocation of stolen agent credentials, and honest classification of unknown causes.</w:t>
      </w:r>
    </w:p>
    <w:p>
      <w:pPr>
        <w:pStyle w:val="Heading1"/>
        <w:keepNext/>
      </w:pPr>
      <w:r>
        <w:t>6. Threat Modeling Method</w:t>
      </w:r>
    </w:p>
    <w:p>
      <w:pPr/>
      <w:r>
        <w:t>Threat analysis combines STRIDE for technical threats, privacy-harm analysis for data use, and abuse-case review for product misuse. Each threat is evaluated against confidentiality, integrity, availability, authenticity, customer safety, privacy, and trust.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Category</w:t>
            </w:r>
          </w:p>
        </w:tc>
        <w:tc>
          <w:tcPr>
            <w:tcW w:type="dxa" w:w="7704"/>
            <w:shd w:fill="2E6078"/>
            <w:tcMar>
              <w:top w:w="80" w:type="dxa"/>
              <w:start w:w="90" w:type="dxa"/>
              <w:bottom w:w="80" w:type="dxa"/>
              <w:end w:w="90" w:type="dxa"/>
            </w:tcMar>
          </w:tcPr>
          <w:p>
            <w:pPr>
              <w:spacing w:after="0"/>
              <w:jc w:val="left"/>
            </w:pPr>
            <w:r>
              <w:rPr>
                <w:b/>
                <w:i w:val="0"/>
                <w:color w:val="FFFFFF"/>
                <w:sz w:val="16"/>
              </w:rPr>
              <w:t>Question applied to this product</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Spoofing</w:t>
            </w:r>
          </w:p>
        </w:tc>
        <w:tc>
          <w:tcPr>
            <w:tcW w:type="dxa" w:w="7704"/>
            <w:tcMar>
              <w:top w:w="70" w:type="dxa"/>
              <w:start w:w="85" w:type="dxa"/>
              <w:bottom w:w="70" w:type="dxa"/>
              <w:end w:w="85" w:type="dxa"/>
            </w:tcMar>
            <w:vAlign w:val="top"/>
          </w:tcPr>
          <w:p>
            <w:pPr>
              <w:spacing w:after="0" w:line="240" w:lineRule="auto"/>
            </w:pPr>
            <w:r>
              <w:rPr>
                <w:b w:val="0"/>
                <w:i w:val="0"/>
                <w:color w:val="27333B"/>
                <w:sz w:val="16"/>
              </w:rPr>
              <w:t>Can an attacker impersonate a user, agent, provider callback, support operator, device, or property?</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Tampering</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Can telemetry, configuration, incidents, contacts, notifications, binaries, or audit records be altered?</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Repudiation</w:t>
            </w:r>
          </w:p>
        </w:tc>
        <w:tc>
          <w:tcPr>
            <w:tcW w:type="dxa" w:w="7704"/>
            <w:tcMar>
              <w:top w:w="70" w:type="dxa"/>
              <w:start w:w="85" w:type="dxa"/>
              <w:bottom w:w="70" w:type="dxa"/>
              <w:end w:w="85" w:type="dxa"/>
            </w:tcMar>
            <w:vAlign w:val="top"/>
          </w:tcPr>
          <w:p>
            <w:pPr>
              <w:spacing w:after="0" w:line="240" w:lineRule="auto"/>
            </w:pPr>
            <w:r>
              <w:rPr>
                <w:b w:val="0"/>
                <w:i w:val="0"/>
                <w:color w:val="27333B"/>
                <w:sz w:val="16"/>
              </w:rPr>
              <w:t>Can a sensitive action occur without reliable attribution and time evidence?</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Information disclosure</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Can property, device, contact, credential, or incident data cross an authorization boundary?</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Denial of service</w:t>
            </w:r>
          </w:p>
        </w:tc>
        <w:tc>
          <w:tcPr>
            <w:tcW w:type="dxa" w:w="7704"/>
            <w:tcMar>
              <w:top w:w="70" w:type="dxa"/>
              <w:start w:w="85" w:type="dxa"/>
              <w:bottom w:w="70" w:type="dxa"/>
              <w:end w:w="85" w:type="dxa"/>
            </w:tcMar>
            <w:vAlign w:val="top"/>
          </w:tcPr>
          <w:p>
            <w:pPr>
              <w:spacing w:after="0" w:line="240" w:lineRule="auto"/>
            </w:pPr>
            <w:r>
              <w:rPr>
                <w:b w:val="0"/>
                <w:i w:val="0"/>
                <w:color w:val="27333B"/>
                <w:sz w:val="16"/>
              </w:rPr>
              <w:t>Can an attacker make monitoring or notifications unavailable or unaffordable?</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Elevation of privilege</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Can a low-privilege user, service, agent, or support role gain broader access?</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6"/>
              </w:rPr>
              <w:t>Privacy harm</w:t>
            </w:r>
          </w:p>
        </w:tc>
        <w:tc>
          <w:tcPr>
            <w:tcW w:type="dxa" w:w="7704"/>
            <w:tcMar>
              <w:top w:w="70" w:type="dxa"/>
              <w:start w:w="85" w:type="dxa"/>
              <w:bottom w:w="70" w:type="dxa"/>
              <w:end w:w="85" w:type="dxa"/>
            </w:tcMar>
            <w:vAlign w:val="top"/>
          </w:tcPr>
          <w:p>
            <w:pPr>
              <w:spacing w:after="0" w:line="240" w:lineRule="auto"/>
            </w:pPr>
            <w:r>
              <w:rPr>
                <w:b w:val="0"/>
                <w:i w:val="0"/>
                <w:color w:val="27333B"/>
                <w:sz w:val="16"/>
              </w:rPr>
              <w:t>Can data collection, inference, retention, or sharing exceed reasonable customer expectations?</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6"/>
              </w:rPr>
              <w:t>Abuse / deception</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6"/>
              </w:rPr>
              <w:t>Can the service be used to harass contacts, produce misleading alerts, or create false confidence?</w:t>
            </w:r>
          </w:p>
        </w:tc>
      </w:tr>
    </w:tbl>
    <w:p>
      <w:pPr>
        <w:spacing w:after="0"/>
      </w:pPr>
    </w:p>
    <w:p>
      <w:pPr>
        <w:pStyle w:val="Heading2"/>
        <w:keepNext/>
      </w:pPr>
      <w:r>
        <w:t>6.1 Risk scoring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2E6078"/>
            <w:tcMar>
              <w:top w:w="80" w:type="dxa"/>
              <w:start w:w="90" w:type="dxa"/>
              <w:bottom w:w="80" w:type="dxa"/>
              <w:end w:w="90" w:type="dxa"/>
            </w:tcMar>
          </w:tcPr>
          <w:p>
            <w:pPr>
              <w:spacing w:after="0"/>
              <w:jc w:val="left"/>
            </w:pPr>
            <w:r>
              <w:rPr>
                <w:b/>
                <w:i w:val="0"/>
                <w:color w:val="FFFFFF"/>
                <w:sz w:val="16"/>
              </w:rPr>
              <w:t>Dimension</w:t>
            </w:r>
          </w:p>
        </w:tc>
        <w:tc>
          <w:tcPr>
            <w:tcW w:type="dxa" w:w="8136"/>
            <w:shd w:fill="2E6078"/>
            <w:tcMar>
              <w:top w:w="80" w:type="dxa"/>
              <w:start w:w="90" w:type="dxa"/>
              <w:bottom w:w="80" w:type="dxa"/>
              <w:end w:w="90" w:type="dxa"/>
            </w:tcMar>
          </w:tcPr>
          <w:p>
            <w:pPr>
              <w:spacing w:after="0"/>
              <w:jc w:val="left"/>
            </w:pPr>
            <w:r>
              <w:rPr>
                <w:b/>
                <w:i w:val="0"/>
                <w:color w:val="FFFFFF"/>
                <w:sz w:val="16"/>
              </w:rPr>
              <w:t>Scale</w:t>
            </w:r>
          </w:p>
        </w:tc>
      </w:tr>
      <w:tr>
        <w:trPr>
          <w:cantSplit/>
        </w:trPr>
        <w:tc>
          <w:tcPr>
            <w:tcW w:type="dxa" w:w="1800"/>
            <w:tcMar>
              <w:top w:w="70" w:type="dxa"/>
              <w:start w:w="85" w:type="dxa"/>
              <w:bottom w:w="70" w:type="dxa"/>
              <w:end w:w="85" w:type="dxa"/>
            </w:tcMar>
            <w:vAlign w:val="top"/>
          </w:tcPr>
          <w:p>
            <w:pPr>
              <w:spacing w:after="0" w:line="240" w:lineRule="auto"/>
            </w:pPr>
            <w:r>
              <w:rPr>
                <w:b w:val="0"/>
                <w:i w:val="0"/>
                <w:color w:val="27333B"/>
                <w:sz w:val="16"/>
              </w:rPr>
              <w:t>Likelihood</w:t>
            </w:r>
          </w:p>
        </w:tc>
        <w:tc>
          <w:tcPr>
            <w:tcW w:type="dxa" w:w="8136"/>
            <w:tcMar>
              <w:top w:w="70" w:type="dxa"/>
              <w:start w:w="85" w:type="dxa"/>
              <w:bottom w:w="70" w:type="dxa"/>
              <w:end w:w="85" w:type="dxa"/>
            </w:tcMar>
            <w:vAlign w:val="top"/>
          </w:tcPr>
          <w:p>
            <w:pPr>
              <w:spacing w:after="0" w:line="240" w:lineRule="auto"/>
            </w:pPr>
            <w:r>
              <w:rPr>
                <w:b w:val="0"/>
                <w:i w:val="0"/>
                <w:color w:val="27333B"/>
                <w:sz w:val="16"/>
              </w:rPr>
              <w:t>1 Rare; 2 Unlikely; 3 Plausible; 4 Likely; 5 Expected without controls</w:t>
            </w:r>
          </w:p>
        </w:tc>
      </w:tr>
      <w:tr>
        <w:trPr>
          <w:cantSplit/>
        </w:trPr>
        <w:tc>
          <w:tcPr>
            <w:tcW w:type="dxa" w:w="1800"/>
            <w:tcMar>
              <w:top w:w="70" w:type="dxa"/>
              <w:start w:w="85" w:type="dxa"/>
              <w:bottom w:w="70" w:type="dxa"/>
              <w:end w:w="85" w:type="dxa"/>
            </w:tcMar>
            <w:vAlign w:val="top"/>
            <w:shd w:fill="F5F7F8"/>
          </w:tcPr>
          <w:p>
            <w:pPr>
              <w:spacing w:after="0" w:line="240" w:lineRule="auto"/>
            </w:pPr>
            <w:r>
              <w:rPr>
                <w:b w:val="0"/>
                <w:i w:val="0"/>
                <w:color w:val="27333B"/>
                <w:sz w:val="16"/>
              </w:rPr>
              <w:t>Impact</w:t>
            </w:r>
          </w:p>
        </w:tc>
        <w:tc>
          <w:tcPr>
            <w:tcW w:type="dxa" w:w="8136"/>
            <w:tcMar>
              <w:top w:w="70" w:type="dxa"/>
              <w:start w:w="85" w:type="dxa"/>
              <w:bottom w:w="70" w:type="dxa"/>
              <w:end w:w="85" w:type="dxa"/>
            </w:tcMar>
            <w:vAlign w:val="top"/>
            <w:shd w:fill="F5F7F8"/>
          </w:tcPr>
          <w:p>
            <w:pPr>
              <w:spacing w:after="0" w:line="240" w:lineRule="auto"/>
            </w:pPr>
            <w:r>
              <w:rPr>
                <w:b w:val="0"/>
                <w:i w:val="0"/>
                <w:color w:val="27333B"/>
                <w:sz w:val="16"/>
              </w:rPr>
              <w:t>1 Minor; 2 Limited; 3 Material; 4 Severe; 5 Catastrophic / multi-tenant / supply-chain</w:t>
            </w:r>
          </w:p>
        </w:tc>
      </w:tr>
      <w:tr>
        <w:trPr>
          <w:cantSplit/>
        </w:trPr>
        <w:tc>
          <w:tcPr>
            <w:tcW w:type="dxa" w:w="1800"/>
            <w:tcMar>
              <w:top w:w="70" w:type="dxa"/>
              <w:start w:w="85" w:type="dxa"/>
              <w:bottom w:w="70" w:type="dxa"/>
              <w:end w:w="85" w:type="dxa"/>
            </w:tcMar>
            <w:vAlign w:val="top"/>
          </w:tcPr>
          <w:p>
            <w:pPr>
              <w:spacing w:after="0" w:line="240" w:lineRule="auto"/>
            </w:pPr>
            <w:r>
              <w:rPr>
                <w:b w:val="0"/>
                <w:i w:val="0"/>
                <w:color w:val="27333B"/>
                <w:sz w:val="16"/>
              </w:rPr>
              <w:t>Risk score</w:t>
            </w:r>
          </w:p>
        </w:tc>
        <w:tc>
          <w:tcPr>
            <w:tcW w:type="dxa" w:w="8136"/>
            <w:tcMar>
              <w:top w:w="70" w:type="dxa"/>
              <w:start w:w="85" w:type="dxa"/>
              <w:bottom w:w="70" w:type="dxa"/>
              <w:end w:w="85" w:type="dxa"/>
            </w:tcMar>
            <w:vAlign w:val="top"/>
          </w:tcPr>
          <w:p>
            <w:pPr>
              <w:spacing w:after="0" w:line="240" w:lineRule="auto"/>
            </w:pPr>
            <w:r>
              <w:rPr>
                <w:b w:val="0"/>
                <w:i w:val="0"/>
                <w:color w:val="27333B"/>
                <w:sz w:val="16"/>
              </w:rPr>
              <w:t>Likelihood × Impact. 15–25 Critical/High; 8–14 Medium; 1–7 Low, adjusted for detectability and blast radius.</w:t>
            </w:r>
          </w:p>
        </w:tc>
      </w:tr>
      <w:tr>
        <w:trPr>
          <w:cantSplit/>
        </w:trPr>
        <w:tc>
          <w:tcPr>
            <w:tcW w:type="dxa" w:w="1800"/>
            <w:tcMar>
              <w:top w:w="70" w:type="dxa"/>
              <w:start w:w="85" w:type="dxa"/>
              <w:bottom w:w="70" w:type="dxa"/>
              <w:end w:w="85" w:type="dxa"/>
            </w:tcMar>
            <w:vAlign w:val="top"/>
            <w:shd w:fill="F5F7F8"/>
          </w:tcPr>
          <w:p>
            <w:pPr>
              <w:spacing w:after="0" w:line="240" w:lineRule="auto"/>
            </w:pPr>
            <w:r>
              <w:rPr>
                <w:b w:val="0"/>
                <w:i w:val="0"/>
                <w:color w:val="27333B"/>
                <w:sz w:val="16"/>
              </w:rPr>
              <w:t>Treatment</w:t>
            </w:r>
          </w:p>
        </w:tc>
        <w:tc>
          <w:tcPr>
            <w:tcW w:type="dxa" w:w="8136"/>
            <w:tcMar>
              <w:top w:w="70" w:type="dxa"/>
              <w:start w:w="85" w:type="dxa"/>
              <w:bottom w:w="70" w:type="dxa"/>
              <w:end w:w="85" w:type="dxa"/>
            </w:tcMar>
            <w:vAlign w:val="top"/>
            <w:shd w:fill="F5F7F8"/>
          </w:tcPr>
          <w:p>
            <w:pPr>
              <w:spacing w:after="0" w:line="240" w:lineRule="auto"/>
            </w:pPr>
            <w:r>
              <w:rPr>
                <w:b w:val="0"/>
                <w:i w:val="0"/>
                <w:color w:val="27333B"/>
                <w:sz w:val="16"/>
              </w:rPr>
              <w:t>Avoid, mitigate, transfer, accept, or defer with owner and deadline.</w:t>
            </w:r>
          </w:p>
        </w:tc>
      </w:tr>
    </w:tbl>
    <w:p>
      <w:pPr>
        <w:spacing w:after="0"/>
      </w:pPr>
    </w:p>
    <w:p>
      <w:pPr>
        <w:pStyle w:val="Heading2"/>
        <w:keepNext/>
      </w:pPr>
      <w:r>
        <w:t>6.2 Review triggers</w:t>
      </w:r>
    </w:p>
    <w:p>
      <w:pPr>
        <w:pStyle w:val="ListBullet"/>
      </w:pPr>
      <w:r>
        <w:t>Adding mobile applications, hardware appliances, cellular fallback, remote commands, or customer-defined integrations.</w:t>
      </w:r>
    </w:p>
    <w:p>
      <w:pPr>
        <w:pStyle w:val="ListBullet"/>
      </w:pPr>
      <w:r>
        <w:t>Uploading camera credentials or any surveillance content to the cloud.</w:t>
      </w:r>
    </w:p>
    <w:p>
      <w:pPr>
        <w:pStyle w:val="ListBullet"/>
      </w:pPr>
      <w:r>
        <w:t>Changing identity, cloud provider, notification provider, payment provider, or update distribution mechanism.</w:t>
      </w:r>
    </w:p>
    <w:p>
      <w:pPr>
        <w:pStyle w:val="ListBullet"/>
      </w:pPr>
      <w:r>
        <w:t>Introducing third-party webhooks, public APIs, remote shell/support features, or marketplace plugins.</w:t>
      </w:r>
    </w:p>
    <w:p>
      <w:pPr>
        <w:pStyle w:val="ListBullet"/>
      </w:pPr>
      <w:r>
        <w:t>Expanding from one customer property to installers/MSPs with delegated multi-tenant administration.</w:t>
      </w:r>
    </w:p>
    <w:p>
      <w:pPr>
        <w:pStyle w:val="ListBullet"/>
      </w:pPr>
      <w:r>
        <w:t>Material security incident, penetration-test finding, or newly discovered attack path.</w:t>
      </w:r>
    </w:p>
    <w:p>
      <w:pPr>
        <w:pStyle w:val="Heading1"/>
        <w:keepNext/>
      </w:pPr>
      <w:r>
        <w:t>7. Attack Surface Inventory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80" w:type="dxa"/>
              <w:start w:w="90" w:type="dxa"/>
              <w:bottom w:w="80" w:type="dxa"/>
              <w:end w:w="90" w:type="dxa"/>
            </w:tcMar>
          </w:tcPr>
          <w:p>
            <w:pPr>
              <w:spacing w:after="0"/>
              <w:jc w:val="left"/>
            </w:pPr>
            <w:r>
              <w:rPr>
                <w:b/>
                <w:i w:val="0"/>
                <w:color w:val="FFFFFF"/>
                <w:sz w:val="16"/>
              </w:rPr>
              <w:t>Surface</w:t>
            </w:r>
          </w:p>
        </w:tc>
        <w:tc>
          <w:tcPr>
            <w:tcW w:type="dxa" w:w="3888"/>
            <w:shd w:fill="2E6078"/>
            <w:tcMar>
              <w:top w:w="80" w:type="dxa"/>
              <w:start w:w="90" w:type="dxa"/>
              <w:bottom w:w="80" w:type="dxa"/>
              <w:end w:w="90" w:type="dxa"/>
            </w:tcMar>
          </w:tcPr>
          <w:p>
            <w:pPr>
              <w:spacing w:after="0"/>
              <w:jc w:val="left"/>
            </w:pPr>
            <w:r>
              <w:rPr>
                <w:b/>
                <w:i w:val="0"/>
                <w:color w:val="FFFFFF"/>
                <w:sz w:val="16"/>
              </w:rPr>
              <w:t>Untrusted inputs / actions</w:t>
            </w:r>
          </w:p>
        </w:tc>
        <w:tc>
          <w:tcPr>
            <w:tcW w:type="dxa" w:w="3960"/>
            <w:shd w:fill="2E6078"/>
            <w:tcMar>
              <w:top w:w="80" w:type="dxa"/>
              <w:start w:w="90" w:type="dxa"/>
              <w:bottom w:w="80" w:type="dxa"/>
              <w:end w:w="90" w:type="dxa"/>
            </w:tcMar>
          </w:tcPr>
          <w:p>
            <w:pPr>
              <w:spacing w:after="0"/>
              <w:jc w:val="left"/>
            </w:pPr>
            <w:r>
              <w:rPr>
                <w:b/>
                <w:i w:val="0"/>
                <w:color w:val="FFFFFF"/>
                <w:sz w:val="16"/>
              </w:rPr>
              <w:t>Primary controls</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4"/>
              </w:rPr>
              <w:t>Windows installer and service</w:t>
            </w:r>
          </w:p>
        </w:tc>
        <w:tc>
          <w:tcPr>
            <w:tcW w:type="dxa" w:w="3888"/>
            <w:tcMar>
              <w:top w:w="70" w:type="dxa"/>
              <w:start w:w="85" w:type="dxa"/>
              <w:bottom w:w="70" w:type="dxa"/>
              <w:end w:w="85" w:type="dxa"/>
            </w:tcMar>
            <w:vAlign w:val="top"/>
          </w:tcPr>
          <w:p>
            <w:pPr>
              <w:spacing w:after="0" w:line="240" w:lineRule="auto"/>
            </w:pPr>
            <w:r>
              <w:rPr>
                <w:b w:val="0"/>
                <w:i w:val="0"/>
                <w:color w:val="27333B"/>
                <w:sz w:val="14"/>
              </w:rPr>
              <w:t>Installer arguments, local ACLs, service control, environment, registry, local IPC.</w:t>
            </w:r>
          </w:p>
        </w:tc>
        <w:tc>
          <w:tcPr>
            <w:tcW w:type="dxa" w:w="3960"/>
            <w:tcMar>
              <w:top w:w="70" w:type="dxa"/>
              <w:start w:w="85" w:type="dxa"/>
              <w:bottom w:w="70" w:type="dxa"/>
              <w:end w:w="85" w:type="dxa"/>
            </w:tcMar>
            <w:vAlign w:val="top"/>
          </w:tcPr>
          <w:p>
            <w:pPr>
              <w:spacing w:after="0" w:line="240" w:lineRule="auto"/>
            </w:pPr>
            <w:r>
              <w:rPr>
                <w:b w:val="0"/>
                <w:i w:val="0"/>
                <w:color w:val="27333B"/>
                <w:sz w:val="14"/>
              </w:rPr>
              <w:t>Signed installer, least-privilege service, ACL review, secure install path, no unsafe command concatenation.</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4"/>
              </w:rPr>
              <w:t>LAN discovery and probes</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4"/>
              </w:rPr>
              <w:t>Hostnames, banners, mDNS/SSDP/UPnP data, TCP responses, RTSP/ONVIF responses.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4"/>
              </w:rPr>
              <w:t>Bounded parsers, strict timeouts, output encoding, no shell invocation, rate limits.</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4"/>
              </w:rPr>
              <w:t>Agent-to-cloud API</w:t>
            </w:r>
          </w:p>
        </w:tc>
        <w:tc>
          <w:tcPr>
            <w:tcW w:type="dxa" w:w="3888"/>
            <w:tcMar>
              <w:top w:w="70" w:type="dxa"/>
              <w:start w:w="85" w:type="dxa"/>
              <w:bottom w:w="70" w:type="dxa"/>
              <w:end w:w="85" w:type="dxa"/>
            </w:tcMar>
            <w:vAlign w:val="top"/>
          </w:tcPr>
          <w:p>
            <w:pPr>
              <w:spacing w:after="0" w:line="240" w:lineRule="auto"/>
            </w:pPr>
            <w:r>
              <w:rPr>
                <w:b w:val="0"/>
                <w:i w:val="0"/>
                <w:color w:val="27333B"/>
                <w:sz w:val="14"/>
              </w:rPr>
              <w:t>Heartbeats, events, replay batches, registration, config version, support bundle metadata.</w:t>
            </w:r>
          </w:p>
        </w:tc>
        <w:tc>
          <w:tcPr>
            <w:tcW w:type="dxa" w:w="3960"/>
            <w:tcMar>
              <w:top w:w="70" w:type="dxa"/>
              <w:start w:w="85" w:type="dxa"/>
              <w:bottom w:w="70" w:type="dxa"/>
              <w:end w:w="85" w:type="dxa"/>
            </w:tcMar>
            <w:vAlign w:val="top"/>
          </w:tcPr>
          <w:p>
            <w:pPr>
              <w:spacing w:after="0" w:line="240" w:lineRule="auto"/>
            </w:pPr>
            <w:r>
              <w:rPr>
                <w:b w:val="0"/>
                <w:i w:val="0"/>
                <w:color w:val="27333B"/>
                <w:sz w:val="14"/>
              </w:rPr>
              <w:t>Per-agent auth, schema validation, size limits, idempotency, rate limits, tenant binding.</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4"/>
              </w:rPr>
              <w:t>Customer web/API</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4"/>
              </w:rPr>
              <w:t>Passwords/sessions, profile changes, contacts, monitor config, exports, billing actions.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4"/>
              </w:rPr>
              <w:t>Managed identity, authorization, CSRF/XSS defenses, step-up auth, audit, throttling.</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4"/>
              </w:rPr>
              <w:t>Provider callbacks</w:t>
            </w:r>
          </w:p>
        </w:tc>
        <w:tc>
          <w:tcPr>
            <w:tcW w:type="dxa" w:w="3888"/>
            <w:tcMar>
              <w:top w:w="70" w:type="dxa"/>
              <w:start w:w="85" w:type="dxa"/>
              <w:bottom w:w="70" w:type="dxa"/>
              <w:end w:w="85" w:type="dxa"/>
            </w:tcMar>
            <w:vAlign w:val="top"/>
          </w:tcPr>
          <w:p>
            <w:pPr>
              <w:spacing w:after="0" w:line="240" w:lineRule="auto"/>
            </w:pPr>
            <w:r>
              <w:rPr>
                <w:b w:val="0"/>
                <w:i w:val="0"/>
                <w:color w:val="27333B"/>
                <w:sz w:val="14"/>
              </w:rPr>
              <w:t>Delivery receipts, identity events, billing webhooks.</w:t>
            </w:r>
          </w:p>
        </w:tc>
        <w:tc>
          <w:tcPr>
            <w:tcW w:type="dxa" w:w="3960"/>
            <w:tcMar>
              <w:top w:w="70" w:type="dxa"/>
              <w:start w:w="85" w:type="dxa"/>
              <w:bottom w:w="70" w:type="dxa"/>
              <w:end w:w="85" w:type="dxa"/>
            </w:tcMar>
            <w:vAlign w:val="top"/>
          </w:tcPr>
          <w:p>
            <w:pPr>
              <w:spacing w:after="0" w:line="240" w:lineRule="auto"/>
            </w:pPr>
            <w:r>
              <w:rPr>
                <w:b w:val="0"/>
                <w:i w:val="0"/>
                <w:color w:val="27333B"/>
                <w:sz w:val="14"/>
              </w:rPr>
              <w:t>Signature verification, replay window, event IDs, least-privilege endpoint.</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4"/>
              </w:rPr>
              <w:t>Notification content</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4"/>
              </w:rPr>
              <w:t>Property/device labels, phone/email destinations, URLs.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4"/>
              </w:rPr>
              <w:t>Template encoding, content minimization, verified destinations, anti-abuse controls.</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4"/>
              </w:rPr>
              <w:t>Update pipeline</w:t>
            </w:r>
          </w:p>
        </w:tc>
        <w:tc>
          <w:tcPr>
            <w:tcW w:type="dxa" w:w="3888"/>
            <w:tcMar>
              <w:top w:w="70" w:type="dxa"/>
              <w:start w:w="85" w:type="dxa"/>
              <w:bottom w:w="70" w:type="dxa"/>
              <w:end w:w="85" w:type="dxa"/>
            </w:tcMar>
            <w:vAlign w:val="top"/>
          </w:tcPr>
          <w:p>
            <w:pPr>
              <w:spacing w:after="0" w:line="240" w:lineRule="auto"/>
            </w:pPr>
            <w:r>
              <w:rPr>
                <w:b w:val="0"/>
                <w:i w:val="0"/>
                <w:color w:val="27333B"/>
                <w:sz w:val="14"/>
              </w:rPr>
              <w:t>Source code, dependencies, CI runners, artifacts, manifests, CDN/storage.</w:t>
            </w:r>
          </w:p>
        </w:tc>
        <w:tc>
          <w:tcPr>
            <w:tcW w:type="dxa" w:w="3960"/>
            <w:tcMar>
              <w:top w:w="70" w:type="dxa"/>
              <w:start w:w="85" w:type="dxa"/>
              <w:bottom w:w="70" w:type="dxa"/>
              <w:end w:w="85" w:type="dxa"/>
            </w:tcMar>
            <w:vAlign w:val="top"/>
          </w:tcPr>
          <w:p>
            <w:pPr>
              <w:spacing w:after="0" w:line="240" w:lineRule="auto"/>
            </w:pPr>
            <w:r>
              <w:rPr>
                <w:b w:val="0"/>
                <w:i w:val="0"/>
                <w:color w:val="27333B"/>
                <w:sz w:val="14"/>
              </w:rPr>
              <w:t>Protected branches, isolated builds, SBOM, signing, provenance, staged rollout, rollback.</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4"/>
              </w:rPr>
              <w:t>Support and admin tools</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4"/>
              </w:rPr>
              <w:t>Search, impersonation, data export, credential reset, incident actions.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4"/>
              </w:rPr>
              <w:t>Separate roles, just-in-time grant, approval for high-risk access, immutable audit.</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CRITICAL DESIGN CONSTRAINT</w:t>
            </w:r>
          </w:p>
          <w:p>
            <w:pPr>
              <w:spacing w:after="0"/>
            </w:pPr>
            <w:r>
              <w:rPr>
                <w:b w:val="0"/>
                <w:i w:val="0"/>
                <w:color w:val="27333B"/>
                <w:sz w:val="20"/>
              </w:rPr>
              <w:t>Device-provided text must be treated as attacker-controlled even on a home LAN. A malicious hostname, RTSP banner, SSDP field, or ONVIF response must not become HTML, a shell command, a log-control sequence, or an unbounded memory allocation.</w:t>
            </w:r>
          </w:p>
        </w:tc>
      </w:tr>
    </w:tbl>
    <w:p>
      <w:pPr>
        <w:spacing w:after="0"/>
      </w:pPr>
    </w:p>
    <w:p>
      <w:pPr>
        <w:pStyle w:val="Heading1"/>
        <w:keepNext/>
      </w:pPr>
      <w:r>
        <w:t>8. Windows Agent Threat Analysis</w:t>
      </w:r>
    </w:p>
    <w:p>
      <w:pPr>
        <w:pStyle w:val="Heading2"/>
        <w:keepNext/>
      </w:pPr>
      <w:r>
        <w:t>8.1 Installation, privilege, and persistence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Threat</w:t>
            </w:r>
          </w:p>
        </w:tc>
        <w:tc>
          <w:tcPr>
            <w:tcW w:type="dxa" w:w="3456"/>
            <w:shd w:fill="2E6078"/>
            <w:tcMar>
              <w:top w:w="80" w:type="dxa"/>
              <w:start w:w="90" w:type="dxa"/>
              <w:bottom w:w="80" w:type="dxa"/>
              <w:end w:w="90" w:type="dxa"/>
            </w:tcMar>
          </w:tcPr>
          <w:p>
            <w:pPr>
              <w:spacing w:after="0"/>
              <w:jc w:val="left"/>
            </w:pPr>
            <w:r>
              <w:rPr>
                <w:b/>
                <w:i w:val="0"/>
                <w:color w:val="FFFFFF"/>
                <w:sz w:val="16"/>
              </w:rPr>
              <w:t>Consequence</w:t>
            </w:r>
          </w:p>
        </w:tc>
        <w:tc>
          <w:tcPr>
            <w:tcW w:type="dxa" w:w="4104"/>
            <w:shd w:fill="2E6078"/>
            <w:tcMar>
              <w:top w:w="80" w:type="dxa"/>
              <w:start w:w="90" w:type="dxa"/>
              <w:bottom w:w="80" w:type="dxa"/>
              <w:end w:w="90" w:type="dxa"/>
            </w:tcMar>
          </w:tcPr>
          <w:p>
            <w:pPr>
              <w:spacing w:after="0"/>
              <w:jc w:val="left"/>
            </w:pPr>
            <w:r>
              <w:rPr>
                <w:b/>
                <w:i w:val="0"/>
                <w:color w:val="FFFFFF"/>
                <w:sz w:val="16"/>
              </w:rPr>
              <w:t>Required treatment</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Unsigned or replaced installer</w:t>
            </w:r>
          </w:p>
        </w:tc>
        <w:tc>
          <w:tcPr>
            <w:tcW w:type="dxa" w:w="3456"/>
            <w:tcMar>
              <w:top w:w="70" w:type="dxa"/>
              <w:start w:w="85" w:type="dxa"/>
              <w:bottom w:w="70" w:type="dxa"/>
              <w:end w:w="85" w:type="dxa"/>
            </w:tcMar>
            <w:vAlign w:val="top"/>
          </w:tcPr>
          <w:p>
            <w:pPr>
              <w:spacing w:after="0" w:line="240" w:lineRule="auto"/>
            </w:pPr>
            <w:r>
              <w:rPr>
                <w:b w:val="0"/>
                <w:i w:val="0"/>
                <w:color w:val="27333B"/>
                <w:sz w:val="15"/>
              </w:rPr>
              <w:t>Malware gains trusted access to customer LAN.</w:t>
            </w:r>
          </w:p>
        </w:tc>
        <w:tc>
          <w:tcPr>
            <w:tcW w:type="dxa" w:w="4104"/>
            <w:tcMar>
              <w:top w:w="70" w:type="dxa"/>
              <w:start w:w="85" w:type="dxa"/>
              <w:bottom w:w="70" w:type="dxa"/>
              <w:end w:w="85" w:type="dxa"/>
            </w:tcMar>
            <w:vAlign w:val="top"/>
          </w:tcPr>
          <w:p>
            <w:pPr>
              <w:spacing w:after="0" w:line="240" w:lineRule="auto"/>
            </w:pPr>
            <w:r>
              <w:rPr>
                <w:b w:val="0"/>
                <w:i w:val="0"/>
                <w:color w:val="27333B"/>
                <w:sz w:val="15"/>
              </w:rPr>
              <w:t>Code-sign installer; publish checksums; verify update metadata; warn on signature failure.</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Overprivileged service account</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Agent compromise becomes full host compromise.</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Run with minimum Windows privileges; isolate privileged operations; document required rights.</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Writable program directory or DLL search path</w:t>
            </w:r>
          </w:p>
        </w:tc>
        <w:tc>
          <w:tcPr>
            <w:tcW w:type="dxa" w:w="3456"/>
            <w:tcMar>
              <w:top w:w="70" w:type="dxa"/>
              <w:start w:w="85" w:type="dxa"/>
              <w:bottom w:w="70" w:type="dxa"/>
              <w:end w:w="85" w:type="dxa"/>
            </w:tcMar>
            <w:vAlign w:val="top"/>
          </w:tcPr>
          <w:p>
            <w:pPr>
              <w:spacing w:after="0" w:line="240" w:lineRule="auto"/>
            </w:pPr>
            <w:r>
              <w:rPr>
                <w:b w:val="0"/>
                <w:i w:val="0"/>
                <w:color w:val="27333B"/>
                <w:sz w:val="15"/>
              </w:rPr>
              <w:t>Local user replaces executable/library.</w:t>
            </w:r>
          </w:p>
        </w:tc>
        <w:tc>
          <w:tcPr>
            <w:tcW w:type="dxa" w:w="4104"/>
            <w:tcMar>
              <w:top w:w="70" w:type="dxa"/>
              <w:start w:w="85" w:type="dxa"/>
              <w:bottom w:w="70" w:type="dxa"/>
              <w:end w:w="85" w:type="dxa"/>
            </w:tcMar>
            <w:vAlign w:val="top"/>
          </w:tcPr>
          <w:p>
            <w:pPr>
              <w:spacing w:after="0" w:line="240" w:lineRule="auto"/>
            </w:pPr>
            <w:r>
              <w:rPr>
                <w:b w:val="0"/>
                <w:i w:val="0"/>
                <w:color w:val="27333B"/>
                <w:sz w:val="15"/>
              </w:rPr>
              <w:t>Program Files ACLs; safe DLL loading; signed binaries; integrity checks where practical.</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Unprotected local IPC or tray interface</w:t>
            </w:r>
          </w:p>
        </w:tc>
        <w:tc>
          <w:tcPr>
            <w:tcW w:type="dxa" w:w="3456"/>
            <w:tcMar>
              <w:top w:w="70" w:type="dxa"/>
              <w:start w:w="85" w:type="dxa"/>
              <w:bottom w:w="70" w:type="dxa"/>
              <w:end w:w="85" w:type="dxa"/>
            </w:tcMar>
            <w:vAlign w:val="top"/>
            <w:shd w:fill="F5F7F8"/>
          </w:tcPr>
          <w:p>
            <w:pPr>
              <w:spacing w:after="0" w:line="240" w:lineRule="auto"/>
            </w:pPr>
            <w:r>
              <w:rPr>
                <w:b w:val="0"/>
                <w:i w:val="0"/>
                <w:color w:val="27333B"/>
                <w:sz w:val="15"/>
              </w:rPr>
              <w:t>Low-privilege user changes config or extracts secrets.</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Authenticated/ACL-restricted named pipe or loopback channel; validate every request.</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Service stop/uninstall without cloud visibility</w:t>
            </w:r>
          </w:p>
        </w:tc>
        <w:tc>
          <w:tcPr>
            <w:tcW w:type="dxa" w:w="3456"/>
            <w:tcMar>
              <w:top w:w="70" w:type="dxa"/>
              <w:start w:w="85" w:type="dxa"/>
              <w:bottom w:w="70" w:type="dxa"/>
              <w:end w:w="85" w:type="dxa"/>
            </w:tcMar>
            <w:vAlign w:val="top"/>
          </w:tcPr>
          <w:p>
            <w:pPr>
              <w:spacing w:after="0" w:line="240" w:lineRule="auto"/>
            </w:pPr>
            <w:r>
              <w:rPr>
                <w:b w:val="0"/>
                <w:i w:val="0"/>
                <w:color w:val="27333B"/>
                <w:sz w:val="15"/>
              </w:rPr>
              <w:t>Monitoring silently disappears.</w:t>
            </w:r>
          </w:p>
        </w:tc>
        <w:tc>
          <w:tcPr>
            <w:tcW w:type="dxa" w:w="4104"/>
            <w:tcMar>
              <w:top w:w="70" w:type="dxa"/>
              <w:start w:w="85" w:type="dxa"/>
              <w:bottom w:w="70" w:type="dxa"/>
              <w:end w:w="85" w:type="dxa"/>
            </w:tcMar>
            <w:vAlign w:val="top"/>
          </w:tcPr>
          <w:p>
            <w:pPr>
              <w:spacing w:after="0" w:line="240" w:lineRule="auto"/>
            </w:pPr>
            <w:r>
              <w:rPr>
                <w:b w:val="0"/>
                <w:i w:val="0"/>
                <w:color w:val="27333B"/>
                <w:sz w:val="15"/>
              </w:rPr>
              <w:t>Cloud heartbeat expiry; planned maintenance state; audit local stop reason when available.</w:t>
            </w:r>
          </w:p>
        </w:tc>
      </w:tr>
    </w:tbl>
    <w:p>
      <w:pPr>
        <w:spacing w:after="0"/>
      </w:pPr>
    </w:p>
    <w:p>
      <w:pPr>
        <w:pStyle w:val="Heading2"/>
        <w:keepNext/>
      </w:pPr>
      <w:r>
        <w:t>8.2 Local secrets and configuration</w:t>
      </w:r>
    </w:p>
    <w:p>
      <w:pPr>
        <w:pStyle w:val="ListBullet"/>
      </w:pPr>
      <w:r>
        <w:t>Agent credentials and locally stored camera/DVR credentials MUST use Windows-protected secret storage or equivalent OS-bound encryption.</w:t>
      </w:r>
    </w:p>
    <w:p>
      <w:pPr>
        <w:pStyle w:val="ListBullet"/>
      </w:pPr>
      <w:r>
        <w:t>Secrets MUST be separated from general configuration, excluded from backups/support bundles unless explicitly encrypted, and never echoed in diagnostics.</w:t>
      </w:r>
    </w:p>
    <w:p>
      <w:pPr>
        <w:pStyle w:val="ListBullet"/>
      </w:pPr>
      <w:r>
        <w:t>Configuration received from cloud MUST be schema-validated, versioned, bounded, and applied transactionally with rollback to last-known-good state.</w:t>
      </w:r>
    </w:p>
    <w:p>
      <w:pPr>
        <w:pStyle w:val="ListBullet"/>
      </w:pPr>
      <w:r>
        <w:t>The agent MUST reject commands or configuration not scoped to its own registered identity and supported capability set.</w:t>
      </w:r>
    </w:p>
    <w:p>
      <w:pPr>
        <w:pStyle w:val="Heading2"/>
        <w:keepNext/>
      </w:pPr>
      <w:r>
        <w:t>8.3 Probe-engine safety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SEC-020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Probe implementations MUST avoid invoking a shell with device-controlled or customer-controlled text.</w:t>
            </w:r>
          </w:p>
        </w:tc>
        <w:tc>
          <w:tcPr>
            <w:tcW w:type="dxa" w:w="1728"/>
            <w:tcMar>
              <w:top w:w="70" w:type="dxa"/>
              <w:start w:w="85" w:type="dxa"/>
              <w:bottom w:w="70" w:type="dxa"/>
              <w:end w:w="85" w:type="dxa"/>
            </w:tcMar>
            <w:vAlign w:val="top"/>
          </w:tcPr>
          <w:p>
            <w:pPr>
              <w:spacing w:after="0" w:line="240" w:lineRule="auto"/>
            </w:pPr>
            <w:r>
              <w:rPr>
                <w:b w:val="0"/>
                <w:i w:val="0"/>
                <w:color w:val="27333B"/>
                <w:sz w:val="15"/>
              </w:rPr>
              <w:t>Static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SEC-021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Every network operation MUST have connect/read deadlines, response-size limits, cancellation, and concurrency limits.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Fault injection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SEC-022</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Malformed device responses MUST fail closed without crashing the service or corrupting the journal.</w:t>
            </w:r>
          </w:p>
        </w:tc>
        <w:tc>
          <w:tcPr>
            <w:tcW w:type="dxa" w:w="1728"/>
            <w:tcMar>
              <w:top w:w="70" w:type="dxa"/>
              <w:start w:w="85" w:type="dxa"/>
              <w:bottom w:w="70" w:type="dxa"/>
              <w:end w:w="85" w:type="dxa"/>
            </w:tcMar>
            <w:vAlign w:val="top"/>
          </w:tcPr>
          <w:p>
            <w:pPr>
              <w:spacing w:after="0" w:line="240" w:lineRule="auto"/>
            </w:pPr>
            <w:r>
              <w:rPr>
                <w:b w:val="0"/>
                <w:i w:val="0"/>
                <w:color w:val="27333B"/>
                <w:sz w:val="15"/>
              </w:rPr>
              <w:t>Fuzz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SEC-023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Discovery rates MUST be bounded to avoid disrupting small networks or resembling unauthorized scanning.</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Traffic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SEC-024</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Device labels and protocol metadata MUST be safely encoded before UI, log, notification, or export rendering.</w:t>
            </w:r>
          </w:p>
        </w:tc>
        <w:tc>
          <w:tcPr>
            <w:tcW w:type="dxa" w:w="1728"/>
            <w:tcMar>
              <w:top w:w="70" w:type="dxa"/>
              <w:start w:w="85" w:type="dxa"/>
              <w:bottom w:w="70" w:type="dxa"/>
              <w:end w:w="85" w:type="dxa"/>
            </w:tcMar>
            <w:vAlign w:val="top"/>
          </w:tcPr>
          <w:p>
            <w:pPr>
              <w:spacing w:after="0" w:line="240" w:lineRule="auto"/>
            </w:pPr>
            <w:r>
              <w:rPr>
                <w:b w:val="0"/>
                <w:i w:val="0"/>
                <w:color w:val="27333B"/>
                <w:sz w:val="15"/>
              </w:rPr>
              <w:t>Injection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SEC-025</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Optional credentialed camera checks MUST use local credential references; cloud configuration MUST NOT contain plaintext credentials.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Config inspection</w:t>
            </w:r>
          </w:p>
        </w:tc>
      </w:tr>
    </w:tbl>
    <w:p>
      <w:pPr>
        <w:spacing w:after="0"/>
      </w:pPr>
    </w:p>
    <w:p>
      <w:pPr>
        <w:pStyle w:val="Heading2"/>
        <w:keepNext/>
      </w:pPr>
      <w:r>
        <w:t>8.4 Local evidence integrity</w:t>
      </w:r>
    </w:p>
    <w:p>
      <w:pPr/>
      <w:r>
        <w:t>The SQLite journal is not a forensic-grade tamper-proof system against a local administrator. It should nevertheless provide crash-safe transactions, monotonically increasing local sequence numbers, timestamps from a monitored clock, checksums or chaining where practical, and durable replay after connectivity returns. Cloud ingestion records the time and agent identity associated with replayed evidence.</w:t>
      </w:r>
    </w:p>
    <w:p>
      <w:pPr>
        <w:pStyle w:val="Heading1"/>
        <w:keepNext/>
      </w:pPr>
      <w:r>
        <w:t>9. Cloud and API Threat Analysis</w:t>
      </w:r>
    </w:p>
    <w:p>
      <w:pPr>
        <w:pStyle w:val="Heading2"/>
        <w:keepNext/>
      </w:pPr>
      <w:r>
        <w:t>9.1 Tenant isolation</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LAUNCH BLOCKER</w:t>
            </w:r>
          </w:p>
          <w:p>
            <w:pPr>
              <w:spacing w:after="0"/>
            </w:pPr>
            <w:r>
              <w:rPr>
                <w:b w:val="0"/>
                <w:i w:val="0"/>
                <w:color w:val="27333B"/>
                <w:sz w:val="20"/>
              </w:rPr>
              <w:t>Cross-tenant authorization defects are unacceptable. Every property-scoped query and mutation must derive organization/property access from authenticated identity and server-side membership, not from an identifier supplied by the browser or agent.</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SEC-030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All customer-data access MUST be tenant-scoped in the service layer and enforced by automated negative authorization tests.</w:t>
            </w:r>
          </w:p>
        </w:tc>
        <w:tc>
          <w:tcPr>
            <w:tcW w:type="dxa" w:w="1728"/>
            <w:tcMar>
              <w:top w:w="70" w:type="dxa"/>
              <w:start w:w="85" w:type="dxa"/>
              <w:bottom w:w="70" w:type="dxa"/>
              <w:end w:w="85" w:type="dxa"/>
            </w:tcMar>
            <w:vAlign w:val="top"/>
          </w:tcPr>
          <w:p>
            <w:pPr>
              <w:spacing w:after="0" w:line="240" w:lineRule="auto"/>
            </w:pPr>
            <w:r>
              <w:rPr>
                <w:b w:val="0"/>
                <w:i w:val="0"/>
                <w:color w:val="27333B"/>
                <w:sz w:val="15"/>
              </w:rPr>
              <w:t>Integration suite</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SEC-031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Agent ingestion MUST bind the authenticated agent identity to its assigned property server-side.</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Spoofing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SEC-032</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Direct object references MUST return no data when the caller lacks property authorization, regardless of object UUID knowledge.</w:t>
            </w:r>
          </w:p>
        </w:tc>
        <w:tc>
          <w:tcPr>
            <w:tcW w:type="dxa" w:w="1728"/>
            <w:tcMar>
              <w:top w:w="70" w:type="dxa"/>
              <w:start w:w="85" w:type="dxa"/>
              <w:bottom w:w="70" w:type="dxa"/>
              <w:end w:w="85" w:type="dxa"/>
            </w:tcMar>
            <w:vAlign w:val="top"/>
          </w:tcPr>
          <w:p>
            <w:pPr>
              <w:spacing w:after="0" w:line="240" w:lineRule="auto"/>
            </w:pPr>
            <w:r>
              <w:rPr>
                <w:b w:val="0"/>
                <w:i w:val="0"/>
                <w:color w:val="27333B"/>
                <w:sz w:val="15"/>
              </w:rPr>
              <w:t>IDOR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SEC-033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Background jobs MUST carry explicit tenant/property context and reject missing or conflicting context.</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Worker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SEC-034</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Database row-level security or equivalent defense-in-depth SHOULD be evaluated for the most sensitive tenant tables.</w:t>
            </w:r>
          </w:p>
        </w:tc>
        <w:tc>
          <w:tcPr>
            <w:tcW w:type="dxa" w:w="1728"/>
            <w:tcMar>
              <w:top w:w="70" w:type="dxa"/>
              <w:start w:w="85" w:type="dxa"/>
              <w:bottom w:w="70" w:type="dxa"/>
              <w:end w:w="85" w:type="dxa"/>
            </w:tcMar>
            <w:vAlign w:val="top"/>
          </w:tcPr>
          <w:p>
            <w:pPr>
              <w:spacing w:after="0" w:line="240" w:lineRule="auto"/>
            </w:pPr>
            <w:r>
              <w:rPr>
                <w:b w:val="0"/>
                <w:i w:val="0"/>
                <w:color w:val="27333B"/>
                <w:sz w:val="15"/>
              </w:rPr>
              <w:t>ADR / test</w:t>
            </w:r>
          </w:p>
        </w:tc>
      </w:tr>
    </w:tbl>
    <w:p>
      <w:pPr>
        <w:spacing w:after="0"/>
      </w:pPr>
    </w:p>
    <w:p>
      <w:pPr>
        <w:pStyle w:val="Heading2"/>
        <w:keepNext/>
      </w:pPr>
      <w:r>
        <w:t>9.2 Input integrity and replay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2E6078"/>
            <w:tcMar>
              <w:top w:w="80" w:type="dxa"/>
              <w:start w:w="90" w:type="dxa"/>
              <w:bottom w:w="80" w:type="dxa"/>
              <w:end w:w="90" w:type="dxa"/>
            </w:tcMar>
          </w:tcPr>
          <w:p>
            <w:pPr>
              <w:spacing w:after="0"/>
              <w:jc w:val="left"/>
            </w:pPr>
            <w:r>
              <w:rPr>
                <w:b/>
                <w:i w:val="0"/>
                <w:color w:val="FFFFFF"/>
                <w:sz w:val="16"/>
              </w:rPr>
              <w:t>Threat</w:t>
            </w:r>
          </w:p>
        </w:tc>
        <w:tc>
          <w:tcPr>
            <w:tcW w:type="dxa" w:w="6696"/>
            <w:shd w:fill="2E6078"/>
            <w:tcMar>
              <w:top w:w="80" w:type="dxa"/>
              <w:start w:w="90" w:type="dxa"/>
              <w:bottom w:w="80" w:type="dxa"/>
              <w:end w:w="90" w:type="dxa"/>
            </w:tcMar>
          </w:tcPr>
          <w:p>
            <w:pPr>
              <w:spacing w:after="0"/>
              <w:jc w:val="left"/>
            </w:pPr>
            <w:r>
              <w:rPr>
                <w:b/>
                <w:i w:val="0"/>
                <w:color w:val="FFFFFF"/>
                <w:sz w:val="16"/>
              </w:rPr>
              <w:t>Control</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Duplicate or reordered agent events</w:t>
            </w:r>
          </w:p>
        </w:tc>
        <w:tc>
          <w:tcPr>
            <w:tcW w:type="dxa" w:w="6696"/>
            <w:tcMar>
              <w:top w:w="70" w:type="dxa"/>
              <w:start w:w="85" w:type="dxa"/>
              <w:bottom w:w="70" w:type="dxa"/>
              <w:end w:w="85" w:type="dxa"/>
            </w:tcMar>
            <w:vAlign w:val="top"/>
          </w:tcPr>
          <w:p>
            <w:pPr>
              <w:spacing w:after="0" w:line="240" w:lineRule="auto"/>
            </w:pPr>
            <w:r>
              <w:rPr>
                <w:b w:val="0"/>
                <w:i w:val="0"/>
                <w:color w:val="27333B"/>
                <w:sz w:val="16"/>
              </w:rPr>
              <w:t>Agent sequence numbers, event IDs, idempotency keys, and monotonic processing rules.</w:t>
            </w:r>
          </w:p>
        </w:tc>
      </w:tr>
      <w:tr>
        <w:trPr>
          <w:cantSplit/>
        </w:trPr>
        <w:tc>
          <w:tcPr>
            <w:tcW w:type="dxa" w:w="3240"/>
            <w:tcMar>
              <w:top w:w="70" w:type="dxa"/>
              <w:start w:w="85" w:type="dxa"/>
              <w:bottom w:w="70" w:type="dxa"/>
              <w:end w:w="85" w:type="dxa"/>
            </w:tcMar>
            <w:vAlign w:val="top"/>
            <w:shd w:fill="F5F7F8"/>
          </w:tcPr>
          <w:p>
            <w:pPr>
              <w:spacing w:after="0" w:line="240" w:lineRule="auto"/>
            </w:pPr>
            <w:r>
              <w:rPr>
                <w:b w:val="0"/>
                <w:i w:val="0"/>
                <w:color w:val="27333B"/>
                <w:sz w:val="16"/>
              </w:rPr>
              <w:t>Fabricated incident from compromised agent</w:t>
            </w:r>
          </w:p>
        </w:tc>
        <w:tc>
          <w:tcPr>
            <w:tcW w:type="dxa" w:w="6696"/>
            <w:tcMar>
              <w:top w:w="70" w:type="dxa"/>
              <w:start w:w="85" w:type="dxa"/>
              <w:bottom w:w="70" w:type="dxa"/>
              <w:end w:w="85" w:type="dxa"/>
            </w:tcMar>
            <w:vAlign w:val="top"/>
            <w:shd w:fill="F5F7F8"/>
          </w:tcPr>
          <w:p>
            <w:pPr>
              <w:spacing w:after="0" w:line="240" w:lineRule="auto"/>
            </w:pPr>
            <w:r>
              <w:rPr>
                <w:b w:val="0"/>
                <w:i w:val="0"/>
                <w:color w:val="27333B"/>
                <w:sz w:val="16"/>
              </w:rPr>
              <w:t>Agent-scoped trust, anomaly detection, bounded impact to one property, visible evidence source, credential revocation.</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Oversized replay batch or decompression bomb</w:t>
            </w:r>
          </w:p>
        </w:tc>
        <w:tc>
          <w:tcPr>
            <w:tcW w:type="dxa" w:w="6696"/>
            <w:tcMar>
              <w:top w:w="70" w:type="dxa"/>
              <w:start w:w="85" w:type="dxa"/>
              <w:bottom w:w="70" w:type="dxa"/>
              <w:end w:w="85" w:type="dxa"/>
            </w:tcMar>
            <w:vAlign w:val="top"/>
          </w:tcPr>
          <w:p>
            <w:pPr>
              <w:spacing w:after="0" w:line="240" w:lineRule="auto"/>
            </w:pPr>
            <w:r>
              <w:rPr>
                <w:b w:val="0"/>
                <w:i w:val="0"/>
                <w:color w:val="27333B"/>
                <w:sz w:val="16"/>
              </w:rPr>
              <w:t>Request/body limits, bounded decompression, quotas, streaming parsing, backpressure.</w:t>
            </w:r>
          </w:p>
        </w:tc>
      </w:tr>
      <w:tr>
        <w:trPr>
          <w:cantSplit/>
        </w:trPr>
        <w:tc>
          <w:tcPr>
            <w:tcW w:type="dxa" w:w="3240"/>
            <w:tcMar>
              <w:top w:w="70" w:type="dxa"/>
              <w:start w:w="85" w:type="dxa"/>
              <w:bottom w:w="70" w:type="dxa"/>
              <w:end w:w="85" w:type="dxa"/>
            </w:tcMar>
            <w:vAlign w:val="top"/>
            <w:shd w:fill="F5F7F8"/>
          </w:tcPr>
          <w:p>
            <w:pPr>
              <w:spacing w:after="0" w:line="240" w:lineRule="auto"/>
            </w:pPr>
            <w:r>
              <w:rPr>
                <w:b w:val="0"/>
                <w:i w:val="0"/>
                <w:color w:val="27333B"/>
                <w:sz w:val="16"/>
              </w:rPr>
              <w:t>Webhook replay or forgery</w:t>
            </w:r>
          </w:p>
        </w:tc>
        <w:tc>
          <w:tcPr>
            <w:tcW w:type="dxa" w:w="6696"/>
            <w:tcMar>
              <w:top w:w="70" w:type="dxa"/>
              <w:start w:w="85" w:type="dxa"/>
              <w:bottom w:w="70" w:type="dxa"/>
              <w:end w:w="85" w:type="dxa"/>
            </w:tcMar>
            <w:vAlign w:val="top"/>
            <w:shd w:fill="F5F7F8"/>
          </w:tcPr>
          <w:p>
            <w:pPr>
              <w:spacing w:after="0" w:line="240" w:lineRule="auto"/>
            </w:pPr>
            <w:r>
              <w:rPr>
                <w:b w:val="0"/>
                <w:i w:val="0"/>
                <w:color w:val="27333B"/>
                <w:sz w:val="16"/>
              </w:rPr>
              <w:t>Provider signature verification, timestamp window, unique provider event ID, idempotent handling.</w:t>
            </w:r>
          </w:p>
        </w:tc>
      </w:tr>
      <w:tr>
        <w:trPr>
          <w:cantSplit/>
        </w:trPr>
        <w:tc>
          <w:tcPr>
            <w:tcW w:type="dxa" w:w="3240"/>
            <w:tcMar>
              <w:top w:w="70" w:type="dxa"/>
              <w:start w:w="85" w:type="dxa"/>
              <w:bottom w:w="70" w:type="dxa"/>
              <w:end w:w="85" w:type="dxa"/>
            </w:tcMar>
            <w:vAlign w:val="top"/>
          </w:tcPr>
          <w:p>
            <w:pPr>
              <w:spacing w:after="0" w:line="240" w:lineRule="auto"/>
            </w:pPr>
            <w:r>
              <w:rPr>
                <w:b w:val="0"/>
                <w:i w:val="0"/>
                <w:color w:val="27333B"/>
                <w:sz w:val="16"/>
              </w:rPr>
              <w:t>Mass assignment / hidden fields</w:t>
            </w:r>
          </w:p>
        </w:tc>
        <w:tc>
          <w:tcPr>
            <w:tcW w:type="dxa" w:w="6696"/>
            <w:tcMar>
              <w:top w:w="70" w:type="dxa"/>
              <w:start w:w="85" w:type="dxa"/>
              <w:bottom w:w="70" w:type="dxa"/>
              <w:end w:w="85" w:type="dxa"/>
            </w:tcMar>
            <w:vAlign w:val="top"/>
          </w:tcPr>
          <w:p>
            <w:pPr>
              <w:spacing w:after="0" w:line="240" w:lineRule="auto"/>
            </w:pPr>
            <w:r>
              <w:rPr>
                <w:b w:val="0"/>
                <w:i w:val="0"/>
                <w:color w:val="27333B"/>
                <w:sz w:val="16"/>
              </w:rPr>
              <w:t>Explicit request schemas and server-owned fields; reject unknown or immutable fields.</w:t>
            </w:r>
          </w:p>
        </w:tc>
      </w:tr>
      <w:tr>
        <w:trPr>
          <w:cantSplit/>
        </w:trPr>
        <w:tc>
          <w:tcPr>
            <w:tcW w:type="dxa" w:w="3240"/>
            <w:tcMar>
              <w:top w:w="70" w:type="dxa"/>
              <w:start w:w="85" w:type="dxa"/>
              <w:bottom w:w="70" w:type="dxa"/>
              <w:end w:w="85" w:type="dxa"/>
            </w:tcMar>
            <w:vAlign w:val="top"/>
            <w:shd w:fill="F5F7F8"/>
          </w:tcPr>
          <w:p>
            <w:pPr>
              <w:spacing w:after="0" w:line="240" w:lineRule="auto"/>
            </w:pPr>
            <w:r>
              <w:rPr>
                <w:b w:val="0"/>
                <w:i w:val="0"/>
                <w:color w:val="27333B"/>
                <w:sz w:val="16"/>
              </w:rPr>
              <w:t>Injection into queries, logs, or templates</w:t>
            </w:r>
          </w:p>
        </w:tc>
        <w:tc>
          <w:tcPr>
            <w:tcW w:type="dxa" w:w="6696"/>
            <w:tcMar>
              <w:top w:w="70" w:type="dxa"/>
              <w:start w:w="85" w:type="dxa"/>
              <w:bottom w:w="70" w:type="dxa"/>
              <w:end w:w="85" w:type="dxa"/>
            </w:tcMar>
            <w:vAlign w:val="top"/>
            <w:shd w:fill="F5F7F8"/>
          </w:tcPr>
          <w:p>
            <w:pPr>
              <w:spacing w:after="0" w:line="240" w:lineRule="auto"/>
            </w:pPr>
            <w:r>
              <w:rPr>
                <w:b w:val="0"/>
                <w:i w:val="0"/>
                <w:color w:val="27333B"/>
                <w:sz w:val="16"/>
              </w:rPr>
              <w:t>Parameterized database access, structured logging, output encoding, template allowlists.</w:t>
            </w:r>
          </w:p>
        </w:tc>
      </w:tr>
    </w:tbl>
    <w:p>
      <w:pPr>
        <w:spacing w:after="0"/>
      </w:pPr>
    </w:p>
    <w:p>
      <w:pPr>
        <w:pStyle w:val="Heading2"/>
        <w:keepNext/>
      </w:pPr>
      <w:r>
        <w:t>9.3 Denial of service and cost abuse</w:t>
      </w:r>
    </w:p>
    <w:p>
      <w:pPr>
        <w:pStyle w:val="ListBullet"/>
      </w:pPr>
      <w:r>
        <w:t>Rate limits must distinguish unauthenticated, user, organization, agent, provider, and support traffic.</w:t>
      </w:r>
    </w:p>
    <w:p>
      <w:pPr>
        <w:pStyle w:val="ListBullet"/>
      </w:pPr>
      <w:r>
        <w:t>Notification queues require per-plan quotas, per-incident deduplication, destination throttles, and emergency provider kill switches.</w:t>
      </w:r>
    </w:p>
    <w:p>
      <w:pPr>
        <w:pStyle w:val="ListBullet"/>
      </w:pPr>
      <w:r>
        <w:t>Heartbeat processing should be lightweight, partitionable, and tolerant of reconnect storms after regional internet restoration.</w:t>
      </w:r>
    </w:p>
    <w:p>
      <w:pPr>
        <w:pStyle w:val="ListBullet"/>
      </w:pPr>
      <w:r>
        <w:t>Expensive operations such as exports, reports, speed tests, and broad discovery should run asynchronously with limits.</w:t>
      </w:r>
    </w:p>
    <w:p>
      <w:pPr>
        <w:pStyle w:val="ListBullet"/>
      </w:pPr>
      <w:r>
        <w:t>Public endpoints must have bot/abuse protection without making legitimate outage recovery depend on brittle challenges.</w:t>
      </w:r>
    </w:p>
    <w:p>
      <w:pPr>
        <w:pStyle w:val="Heading1"/>
        <w:keepNext/>
      </w:pPr>
      <w:r>
        <w:t>10. Account, Dashboard, and Support Threat Analysis</w:t>
      </w:r>
    </w:p>
    <w:p>
      <w:pPr>
        <w:pStyle w:val="Heading2"/>
        <w:keepNext/>
      </w:pPr>
      <w:r>
        <w:t>10.1 Customer identity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2E6078"/>
            <w:tcMar>
              <w:top w:w="80" w:type="dxa"/>
              <w:start w:w="90" w:type="dxa"/>
              <w:bottom w:w="80" w:type="dxa"/>
              <w:end w:w="90" w:type="dxa"/>
            </w:tcMar>
          </w:tcPr>
          <w:p>
            <w:pPr>
              <w:spacing w:after="0"/>
              <w:jc w:val="left"/>
            </w:pPr>
            <w:r>
              <w:rPr>
                <w:b/>
                <w:i w:val="0"/>
                <w:color w:val="FFFFFF"/>
                <w:sz w:val="16"/>
              </w:rPr>
              <w:t>Action</w:t>
            </w:r>
          </w:p>
        </w:tc>
        <w:tc>
          <w:tcPr>
            <w:tcW w:type="dxa" w:w="6912"/>
            <w:shd w:fill="2E6078"/>
            <w:tcMar>
              <w:top w:w="80" w:type="dxa"/>
              <w:start w:w="90" w:type="dxa"/>
              <w:bottom w:w="80" w:type="dxa"/>
              <w:end w:w="90" w:type="dxa"/>
            </w:tcMar>
          </w:tcPr>
          <w:p>
            <w:pPr>
              <w:spacing w:after="0"/>
              <w:jc w:val="left"/>
            </w:pPr>
            <w:r>
              <w:rPr>
                <w:b/>
                <w:i w:val="0"/>
                <w:color w:val="FFFFFF"/>
                <w:sz w:val="16"/>
              </w:rPr>
              <w:t>Required protection</w:t>
            </w:r>
          </w:p>
        </w:tc>
      </w:tr>
      <w:tr>
        <w:trPr>
          <w:cantSplit/>
        </w:trPr>
        <w:tc>
          <w:tcPr>
            <w:tcW w:type="dxa" w:w="3024"/>
            <w:tcMar>
              <w:top w:w="70" w:type="dxa"/>
              <w:start w:w="85" w:type="dxa"/>
              <w:bottom w:w="70" w:type="dxa"/>
              <w:end w:w="85" w:type="dxa"/>
            </w:tcMar>
            <w:vAlign w:val="top"/>
          </w:tcPr>
          <w:p>
            <w:pPr>
              <w:spacing w:after="0" w:line="240" w:lineRule="auto"/>
            </w:pPr>
            <w:r>
              <w:rPr>
                <w:b w:val="0"/>
                <w:i w:val="0"/>
                <w:color w:val="27333B"/>
                <w:sz w:val="16"/>
              </w:rPr>
              <w:t>Sign-in and session creation</w:t>
            </w:r>
          </w:p>
        </w:tc>
        <w:tc>
          <w:tcPr>
            <w:tcW w:type="dxa" w:w="6912"/>
            <w:tcMar>
              <w:top w:w="70" w:type="dxa"/>
              <w:start w:w="85" w:type="dxa"/>
              <w:bottom w:w="70" w:type="dxa"/>
              <w:end w:w="85" w:type="dxa"/>
            </w:tcMar>
            <w:vAlign w:val="top"/>
          </w:tcPr>
          <w:p>
            <w:pPr>
              <w:spacing w:after="0" w:line="240" w:lineRule="auto"/>
            </w:pPr>
            <w:r>
              <w:rPr>
                <w:b w:val="0"/>
                <w:i w:val="0"/>
                <w:color w:val="27333B"/>
                <w:sz w:val="16"/>
              </w:rPr>
              <w:t>Managed identity or hardened implementation; secure cookies; session rotation; brute-force and credential-stuffing protection.</w:t>
            </w:r>
          </w:p>
        </w:tc>
      </w:tr>
      <w:tr>
        <w:trPr>
          <w:cantSplit/>
        </w:trPr>
        <w:tc>
          <w:tcPr>
            <w:tcW w:type="dxa" w:w="3024"/>
            <w:tcMar>
              <w:top w:w="70" w:type="dxa"/>
              <w:start w:w="85" w:type="dxa"/>
              <w:bottom w:w="70" w:type="dxa"/>
              <w:end w:w="85" w:type="dxa"/>
            </w:tcMar>
            <w:vAlign w:val="top"/>
            <w:shd w:fill="F5F7F8"/>
          </w:tcPr>
          <w:p>
            <w:pPr>
              <w:spacing w:after="0" w:line="240" w:lineRule="auto"/>
            </w:pPr>
            <w:r>
              <w:rPr>
                <w:b w:val="0"/>
                <w:i w:val="0"/>
                <w:color w:val="27333B"/>
                <w:sz w:val="16"/>
              </w:rPr>
              <w:t>Change password or identity factors</w:t>
            </w:r>
          </w:p>
        </w:tc>
        <w:tc>
          <w:tcPr>
            <w:tcW w:type="dxa" w:w="6912"/>
            <w:tcMar>
              <w:top w:w="70" w:type="dxa"/>
              <w:start w:w="85" w:type="dxa"/>
              <w:bottom w:w="70" w:type="dxa"/>
              <w:end w:w="85" w:type="dxa"/>
            </w:tcMar>
            <w:vAlign w:val="top"/>
            <w:shd w:fill="F5F7F8"/>
          </w:tcPr>
          <w:p>
            <w:pPr>
              <w:spacing w:after="0" w:line="240" w:lineRule="auto"/>
            </w:pPr>
            <w:r>
              <w:rPr>
                <w:b w:val="0"/>
                <w:i w:val="0"/>
                <w:color w:val="27333B"/>
                <w:sz w:val="16"/>
              </w:rPr>
              <w:t>Recent authentication; revoke relevant sessions; security notification.</w:t>
            </w:r>
          </w:p>
        </w:tc>
      </w:tr>
      <w:tr>
        <w:trPr>
          <w:cantSplit/>
        </w:trPr>
        <w:tc>
          <w:tcPr>
            <w:tcW w:type="dxa" w:w="3024"/>
            <w:tcMar>
              <w:top w:w="70" w:type="dxa"/>
              <w:start w:w="85" w:type="dxa"/>
              <w:bottom w:w="70" w:type="dxa"/>
              <w:end w:w="85" w:type="dxa"/>
            </w:tcMar>
            <w:vAlign w:val="top"/>
          </w:tcPr>
          <w:p>
            <w:pPr>
              <w:spacing w:after="0" w:line="240" w:lineRule="auto"/>
            </w:pPr>
            <w:r>
              <w:rPr>
                <w:b w:val="0"/>
                <w:i w:val="0"/>
                <w:color w:val="27333B"/>
                <w:sz w:val="16"/>
              </w:rPr>
              <w:t>Add/change trusted phone or email</w:t>
            </w:r>
          </w:p>
        </w:tc>
        <w:tc>
          <w:tcPr>
            <w:tcW w:type="dxa" w:w="6912"/>
            <w:tcMar>
              <w:top w:w="70" w:type="dxa"/>
              <w:start w:w="85" w:type="dxa"/>
              <w:bottom w:w="70" w:type="dxa"/>
              <w:end w:w="85" w:type="dxa"/>
            </w:tcMar>
            <w:vAlign w:val="top"/>
          </w:tcPr>
          <w:p>
            <w:pPr>
              <w:spacing w:after="0" w:line="240" w:lineRule="auto"/>
            </w:pPr>
            <w:r>
              <w:rPr>
                <w:b w:val="0"/>
                <w:i w:val="0"/>
                <w:color w:val="27333B"/>
                <w:sz w:val="16"/>
              </w:rPr>
              <w:t>Destination verification, consent, step-up authentication, audit, and cooling-off or notice where practical.</w:t>
            </w:r>
          </w:p>
        </w:tc>
      </w:tr>
      <w:tr>
        <w:trPr>
          <w:cantSplit/>
        </w:trPr>
        <w:tc>
          <w:tcPr>
            <w:tcW w:type="dxa" w:w="3024"/>
            <w:tcMar>
              <w:top w:w="70" w:type="dxa"/>
              <w:start w:w="85" w:type="dxa"/>
              <w:bottom w:w="70" w:type="dxa"/>
              <w:end w:w="85" w:type="dxa"/>
            </w:tcMar>
            <w:vAlign w:val="top"/>
            <w:shd w:fill="F5F7F8"/>
          </w:tcPr>
          <w:p>
            <w:pPr>
              <w:spacing w:after="0" w:line="240" w:lineRule="auto"/>
            </w:pPr>
            <w:r>
              <w:rPr>
                <w:b w:val="0"/>
                <w:i w:val="0"/>
                <w:color w:val="27333B"/>
                <w:sz w:val="16"/>
              </w:rPr>
              <w:t>Disable monitoring or escalation</w:t>
            </w:r>
          </w:p>
        </w:tc>
        <w:tc>
          <w:tcPr>
            <w:tcW w:type="dxa" w:w="6912"/>
            <w:tcMar>
              <w:top w:w="70" w:type="dxa"/>
              <w:start w:w="85" w:type="dxa"/>
              <w:bottom w:w="70" w:type="dxa"/>
              <w:end w:w="85" w:type="dxa"/>
            </w:tcMar>
            <w:vAlign w:val="top"/>
            <w:shd w:fill="F5F7F8"/>
          </w:tcPr>
          <w:p>
            <w:pPr>
              <w:spacing w:after="0" w:line="240" w:lineRule="auto"/>
            </w:pPr>
            <w:r>
              <w:rPr>
                <w:b w:val="0"/>
                <w:i w:val="0"/>
                <w:color w:val="27333B"/>
                <w:sz w:val="16"/>
              </w:rPr>
              <w:t>Prominent confirmation, recent authentication, audit, and notice to existing primary contact.</w:t>
            </w:r>
          </w:p>
        </w:tc>
      </w:tr>
      <w:tr>
        <w:trPr>
          <w:cantSplit/>
        </w:trPr>
        <w:tc>
          <w:tcPr>
            <w:tcW w:type="dxa" w:w="3024"/>
            <w:tcMar>
              <w:top w:w="70" w:type="dxa"/>
              <w:start w:w="85" w:type="dxa"/>
              <w:bottom w:w="70" w:type="dxa"/>
              <w:end w:w="85" w:type="dxa"/>
            </w:tcMar>
            <w:vAlign w:val="top"/>
          </w:tcPr>
          <w:p>
            <w:pPr>
              <w:spacing w:after="0" w:line="240" w:lineRule="auto"/>
            </w:pPr>
            <w:r>
              <w:rPr>
                <w:b w:val="0"/>
                <w:i w:val="0"/>
                <w:color w:val="27333B"/>
                <w:sz w:val="16"/>
              </w:rPr>
              <w:t>Export incidents or account data</w:t>
            </w:r>
          </w:p>
        </w:tc>
        <w:tc>
          <w:tcPr>
            <w:tcW w:type="dxa" w:w="6912"/>
            <w:tcMar>
              <w:top w:w="70" w:type="dxa"/>
              <w:start w:w="85" w:type="dxa"/>
              <w:bottom w:w="70" w:type="dxa"/>
              <w:end w:w="85" w:type="dxa"/>
            </w:tcMar>
            <w:vAlign w:val="top"/>
          </w:tcPr>
          <w:p>
            <w:pPr>
              <w:spacing w:after="0" w:line="240" w:lineRule="auto"/>
            </w:pPr>
            <w:r>
              <w:rPr>
                <w:b w:val="0"/>
                <w:i w:val="0"/>
                <w:color w:val="27333B"/>
                <w:sz w:val="16"/>
              </w:rPr>
              <w:t>Recent authentication; tenant authorization; expiring download; audit; sensitive-field review.</w:t>
            </w:r>
          </w:p>
        </w:tc>
      </w:tr>
      <w:tr>
        <w:trPr>
          <w:cantSplit/>
        </w:trPr>
        <w:tc>
          <w:tcPr>
            <w:tcW w:type="dxa" w:w="3024"/>
            <w:tcMar>
              <w:top w:w="70" w:type="dxa"/>
              <w:start w:w="85" w:type="dxa"/>
              <w:bottom w:w="70" w:type="dxa"/>
              <w:end w:w="85" w:type="dxa"/>
            </w:tcMar>
            <w:vAlign w:val="top"/>
            <w:shd w:fill="F5F7F8"/>
          </w:tcPr>
          <w:p>
            <w:pPr>
              <w:spacing w:after="0" w:line="240" w:lineRule="auto"/>
            </w:pPr>
            <w:r>
              <w:rPr>
                <w:b w:val="0"/>
                <w:i w:val="0"/>
                <w:color w:val="27333B"/>
                <w:sz w:val="16"/>
              </w:rPr>
              <w:t>Delete property/account</w:t>
            </w:r>
          </w:p>
        </w:tc>
        <w:tc>
          <w:tcPr>
            <w:tcW w:type="dxa" w:w="6912"/>
            <w:tcMar>
              <w:top w:w="70" w:type="dxa"/>
              <w:start w:w="85" w:type="dxa"/>
              <w:bottom w:w="70" w:type="dxa"/>
              <w:end w:w="85" w:type="dxa"/>
            </w:tcMar>
            <w:vAlign w:val="top"/>
            <w:shd w:fill="F5F7F8"/>
          </w:tcPr>
          <w:p>
            <w:pPr>
              <w:spacing w:after="0" w:line="240" w:lineRule="auto"/>
            </w:pPr>
            <w:r>
              <w:rPr>
                <w:b w:val="0"/>
                <w:i w:val="0"/>
                <w:color w:val="27333B"/>
                <w:sz w:val="16"/>
              </w:rPr>
              <w:t>Recent authentication; clear consequences; staged deletion/recovery window where appropriate; audit.</w:t>
            </w:r>
          </w:p>
        </w:tc>
      </w:tr>
      <w:tr>
        <w:trPr>
          <w:cantSplit/>
        </w:trPr>
        <w:tc>
          <w:tcPr>
            <w:tcW w:type="dxa" w:w="3024"/>
            <w:tcMar>
              <w:top w:w="70" w:type="dxa"/>
              <w:start w:w="85" w:type="dxa"/>
              <w:bottom w:w="70" w:type="dxa"/>
              <w:end w:w="85" w:type="dxa"/>
            </w:tcMar>
            <w:vAlign w:val="top"/>
          </w:tcPr>
          <w:p>
            <w:pPr>
              <w:spacing w:after="0" w:line="240" w:lineRule="auto"/>
            </w:pPr>
            <w:r>
              <w:rPr>
                <w:b w:val="0"/>
                <w:i w:val="0"/>
                <w:color w:val="27333B"/>
                <w:sz w:val="16"/>
              </w:rPr>
              <w:t>Invite organization member</w:t>
            </w:r>
          </w:p>
        </w:tc>
        <w:tc>
          <w:tcPr>
            <w:tcW w:type="dxa" w:w="6912"/>
            <w:tcMar>
              <w:top w:w="70" w:type="dxa"/>
              <w:start w:w="85" w:type="dxa"/>
              <w:bottom w:w="70" w:type="dxa"/>
              <w:end w:w="85" w:type="dxa"/>
            </w:tcMar>
            <w:vAlign w:val="top"/>
          </w:tcPr>
          <w:p>
            <w:pPr>
              <w:spacing w:after="0" w:line="240" w:lineRule="auto"/>
            </w:pPr>
            <w:r>
              <w:rPr>
                <w:b w:val="0"/>
                <w:i w:val="0"/>
                <w:color w:val="27333B"/>
                <w:sz w:val="16"/>
              </w:rPr>
              <w:t>Role limits, verified invite, expiration, audit, and no privilege greater than inviter may grant.</w:t>
            </w:r>
          </w:p>
        </w:tc>
      </w:tr>
    </w:tbl>
    <w:p>
      <w:pPr>
        <w:spacing w:after="0"/>
      </w:pPr>
    </w:p>
    <w:p>
      <w:pPr>
        <w:pStyle w:val="Heading2"/>
        <w:keepNext/>
      </w:pPr>
      <w:r>
        <w:t>10.2 Browser and frontend controls</w:t>
      </w:r>
    </w:p>
    <w:p>
      <w:pPr>
        <w:pStyle w:val="ListBullet"/>
      </w:pPr>
      <w:r>
        <w:t>Use secure, HttpOnly, SameSite cookies for sessions when browser architecture permits; do not store long-lived bearer tokens in localStorage.</w:t>
      </w:r>
    </w:p>
    <w:p>
      <w:pPr>
        <w:pStyle w:val="ListBullet"/>
      </w:pPr>
      <w:r>
        <w:t>Implement CSRF protections for state-changing cookie-authenticated requests.</w:t>
      </w:r>
    </w:p>
    <w:p>
      <w:pPr>
        <w:pStyle w:val="ListBullet"/>
      </w:pPr>
      <w:r>
        <w:t>Encode all property names, device labels, provider messages, and diagnostic text at output; apply a restrictive Content Security Policy.</w:t>
      </w:r>
    </w:p>
    <w:p>
      <w:pPr>
        <w:pStyle w:val="ListBullet"/>
      </w:pPr>
      <w:r>
        <w:t>Do not embed secrets or high-privilege service credentials in frontend code.</w:t>
      </w:r>
    </w:p>
    <w:p>
      <w:pPr>
        <w:pStyle w:val="ListBullet"/>
      </w:pPr>
      <w:r>
        <w:t>Sensitive pages should avoid unnecessary third-party scripts and prevent referrer leakage.</w:t>
      </w:r>
    </w:p>
    <w:p>
      <w:pPr>
        <w:pStyle w:val="ListBullet"/>
      </w:pPr>
      <w:r>
        <w:t>Logout, session revocation, password reset, and identity-provider changes must have clear and testable behavior.</w:t>
      </w:r>
    </w:p>
    <w:p>
      <w:pPr>
        <w:pStyle w:val="Heading2"/>
        <w:keepNext/>
      </w:pPr>
      <w:r>
        <w:t>10.3 Support access</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SUPPORT RULE</w:t>
            </w:r>
          </w:p>
          <w:p>
            <w:pPr>
              <w:spacing w:after="0"/>
            </w:pPr>
            <w:r>
              <w:rPr>
                <w:b w:val="0"/>
                <w:i w:val="0"/>
                <w:color w:val="27333B"/>
                <w:sz w:val="20"/>
              </w:rPr>
              <w:t>Support personnel should see enough to diagnose delivery and service health, but not automatically browse detailed device inventories, away status, contact values, or incident evidence. Elevated access must be time-limited, justified, audited, and preferably customer-authorized.</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SEC-040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Production admin access MUST use individual identities, MFA, and centrally logged authorization.</w:t>
            </w:r>
          </w:p>
        </w:tc>
        <w:tc>
          <w:tcPr>
            <w:tcW w:type="dxa" w:w="1728"/>
            <w:tcMar>
              <w:top w:w="70" w:type="dxa"/>
              <w:start w:w="85" w:type="dxa"/>
              <w:bottom w:w="70" w:type="dxa"/>
              <w:end w:w="85" w:type="dxa"/>
            </w:tcMar>
            <w:vAlign w:val="top"/>
          </w:tcPr>
          <w:p>
            <w:pPr>
              <w:spacing w:after="0" w:line="240" w:lineRule="auto"/>
            </w:pPr>
            <w:r>
              <w:rPr>
                <w:b w:val="0"/>
                <w:i w:val="0"/>
                <w:color w:val="27333B"/>
                <w:sz w:val="15"/>
              </w:rPr>
              <w:t>Access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SEC-041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Customer-data support access MUST be separate from general support role and use just-in-time elevation.</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Role exercise</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SEC-042</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High-risk actions such as session revocation, contact override, or data export MUST create immutable audit events.</w:t>
            </w:r>
          </w:p>
        </w:tc>
        <w:tc>
          <w:tcPr>
            <w:tcW w:type="dxa" w:w="1728"/>
            <w:tcMar>
              <w:top w:w="70" w:type="dxa"/>
              <w:start w:w="85" w:type="dxa"/>
              <w:bottom w:w="70" w:type="dxa"/>
              <w:end w:w="85" w:type="dxa"/>
            </w:tcMar>
            <w:vAlign w:val="top"/>
          </w:tcPr>
          <w:p>
            <w:pPr>
              <w:spacing w:after="0" w:line="240" w:lineRule="auto"/>
            </w:pPr>
            <w:r>
              <w:rPr>
                <w:b w:val="0"/>
                <w:i w:val="0"/>
                <w:color w:val="27333B"/>
                <w:sz w:val="15"/>
              </w:rPr>
              <w:t>Audit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SEC-043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Support tools MUST not expose agent, provider, camera, or signing secrets.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UI inspection</w:t>
            </w:r>
          </w:p>
        </w:tc>
      </w:tr>
    </w:tbl>
    <w:p>
      <w:pPr>
        <w:spacing w:after="0"/>
      </w:pPr>
    </w:p>
    <w:p>
      <w:pPr>
        <w:pStyle w:val="Heading1"/>
        <w:keepNext/>
      </w:pPr>
      <w:r>
        <w:t>11. Notification and Trusted-Contact Threat Analysis</w:t>
      </w:r>
    </w:p>
    <w:p>
      <w:pPr>
        <w:pStyle w:val="Heading2"/>
        <w:keepNext/>
      </w:pPr>
      <w:r>
        <w:t>11.1 Threats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Threat</w:t>
            </w:r>
          </w:p>
        </w:tc>
        <w:tc>
          <w:tcPr>
            <w:tcW w:type="dxa" w:w="3240"/>
            <w:shd w:fill="2E6078"/>
            <w:tcMar>
              <w:top w:w="80" w:type="dxa"/>
              <w:start w:w="90" w:type="dxa"/>
              <w:bottom w:w="80" w:type="dxa"/>
              <w:end w:w="90" w:type="dxa"/>
            </w:tcMar>
          </w:tcPr>
          <w:p>
            <w:pPr>
              <w:spacing w:after="0"/>
              <w:jc w:val="left"/>
            </w:pPr>
            <w:r>
              <w:rPr>
                <w:b/>
                <w:i w:val="0"/>
                <w:color w:val="FFFFFF"/>
                <w:sz w:val="16"/>
              </w:rPr>
              <w:t>Customer harm</w:t>
            </w:r>
          </w:p>
        </w:tc>
        <w:tc>
          <w:tcPr>
            <w:tcW w:type="dxa" w:w="4320"/>
            <w:shd w:fill="2E6078"/>
            <w:tcMar>
              <w:top w:w="80" w:type="dxa"/>
              <w:start w:w="90" w:type="dxa"/>
              <w:bottom w:w="80" w:type="dxa"/>
              <w:end w:w="90" w:type="dxa"/>
            </w:tcMar>
          </w:tcPr>
          <w:p>
            <w:pPr>
              <w:spacing w:after="0"/>
              <w:jc w:val="left"/>
            </w:pPr>
            <w:r>
              <w:rPr>
                <w:b/>
                <w:i w:val="0"/>
                <w:color w:val="FFFFFF"/>
                <w:sz w:val="16"/>
              </w:rPr>
              <w:t>Mitigation</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Unauthorized contact enrollment</w:t>
            </w:r>
          </w:p>
        </w:tc>
        <w:tc>
          <w:tcPr>
            <w:tcW w:type="dxa" w:w="3240"/>
            <w:tcMar>
              <w:top w:w="70" w:type="dxa"/>
              <w:start w:w="85" w:type="dxa"/>
              <w:bottom w:w="70" w:type="dxa"/>
              <w:end w:w="85" w:type="dxa"/>
            </w:tcMar>
            <w:vAlign w:val="top"/>
          </w:tcPr>
          <w:p>
            <w:pPr>
              <w:spacing w:after="0" w:line="240" w:lineRule="auto"/>
            </w:pPr>
            <w:r>
              <w:rPr>
                <w:b w:val="0"/>
                <w:i w:val="0"/>
                <w:color w:val="27333B"/>
                <w:sz w:val="15"/>
              </w:rPr>
              <w:t>Victim receives unwanted or alarming messages.</w:t>
            </w:r>
          </w:p>
        </w:tc>
        <w:tc>
          <w:tcPr>
            <w:tcW w:type="dxa" w:w="4320"/>
            <w:tcMar>
              <w:top w:w="70" w:type="dxa"/>
              <w:start w:w="85" w:type="dxa"/>
              <w:bottom w:w="70" w:type="dxa"/>
              <w:end w:w="85" w:type="dxa"/>
            </w:tcMar>
            <w:vAlign w:val="top"/>
          </w:tcPr>
          <w:p>
            <w:pPr>
              <w:spacing w:after="0" w:line="240" w:lineRule="auto"/>
            </w:pPr>
            <w:r>
              <w:rPr>
                <w:b w:val="0"/>
                <w:i w:val="0"/>
                <w:color w:val="27333B"/>
                <w:sz w:val="15"/>
              </w:rPr>
              <w:t>Verify destination; record consent; notify account owner; easy opt-out except essential transactional limits.</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SMS pumping / message flood</w:t>
            </w:r>
          </w:p>
        </w:tc>
        <w:tc>
          <w:tcPr>
            <w:tcW w:type="dxa" w:w="3240"/>
            <w:tcMar>
              <w:top w:w="70" w:type="dxa"/>
              <w:start w:w="85" w:type="dxa"/>
              <w:bottom w:w="70" w:type="dxa"/>
              <w:end w:w="85" w:type="dxa"/>
            </w:tcMar>
            <w:vAlign w:val="top"/>
            <w:shd w:fill="F5F7F8"/>
          </w:tcPr>
          <w:p>
            <w:pPr>
              <w:spacing w:after="0" w:line="240" w:lineRule="auto"/>
            </w:pPr>
            <w:r>
              <w:rPr>
                <w:b w:val="0"/>
                <w:i w:val="0"/>
                <w:color w:val="27333B"/>
                <w:sz w:val="15"/>
              </w:rPr>
              <w:t>Cost, harassment, provider suspension.</w:t>
            </w:r>
          </w:p>
        </w:tc>
        <w:tc>
          <w:tcPr>
            <w:tcW w:type="dxa" w:w="4320"/>
            <w:tcMar>
              <w:top w:w="70" w:type="dxa"/>
              <w:start w:w="85" w:type="dxa"/>
              <w:bottom w:w="70" w:type="dxa"/>
              <w:end w:w="85" w:type="dxa"/>
            </w:tcMar>
            <w:vAlign w:val="top"/>
            <w:shd w:fill="F5F7F8"/>
          </w:tcPr>
          <w:p>
            <w:pPr>
              <w:spacing w:after="0" w:line="240" w:lineRule="auto"/>
            </w:pPr>
            <w:r>
              <w:rPr>
                <w:b w:val="0"/>
                <w:i w:val="0"/>
                <w:color w:val="27333B"/>
                <w:sz w:val="15"/>
              </w:rPr>
              <w:t>Quotas, per-destination rate limits, incident deduplication, anomaly alarms, provider spending caps.</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Suppressed delivery</w:t>
            </w:r>
          </w:p>
        </w:tc>
        <w:tc>
          <w:tcPr>
            <w:tcW w:type="dxa" w:w="3240"/>
            <w:tcMar>
              <w:top w:w="70" w:type="dxa"/>
              <w:start w:w="85" w:type="dxa"/>
              <w:bottom w:w="70" w:type="dxa"/>
              <w:end w:w="85" w:type="dxa"/>
            </w:tcMar>
            <w:vAlign w:val="top"/>
          </w:tcPr>
          <w:p>
            <w:pPr>
              <w:spacing w:after="0" w:line="240" w:lineRule="auto"/>
            </w:pPr>
            <w:r>
              <w:rPr>
                <w:b w:val="0"/>
                <w:i w:val="0"/>
                <w:color w:val="27333B"/>
                <w:sz w:val="15"/>
              </w:rPr>
              <w:t>Customer assumes protection while messages fail.</w:t>
            </w:r>
          </w:p>
        </w:tc>
        <w:tc>
          <w:tcPr>
            <w:tcW w:type="dxa" w:w="4320"/>
            <w:tcMar>
              <w:top w:w="70" w:type="dxa"/>
              <w:start w:w="85" w:type="dxa"/>
              <w:bottom w:w="70" w:type="dxa"/>
              <w:end w:w="85" w:type="dxa"/>
            </w:tcMar>
            <w:vAlign w:val="top"/>
          </w:tcPr>
          <w:p>
            <w:pPr>
              <w:spacing w:after="0" w:line="240" w:lineRule="auto"/>
            </w:pPr>
            <w:r>
              <w:rPr>
                <w:b w:val="0"/>
                <w:i w:val="0"/>
                <w:color w:val="27333B"/>
                <w:sz w:val="15"/>
              </w:rPr>
              <w:t>Delivery receipts, fallback channel, test function, notification-health status, escalation.</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Message-content leakage</w:t>
            </w:r>
          </w:p>
        </w:tc>
        <w:tc>
          <w:tcPr>
            <w:tcW w:type="dxa" w:w="3240"/>
            <w:tcMar>
              <w:top w:w="70" w:type="dxa"/>
              <w:start w:w="85" w:type="dxa"/>
              <w:bottom w:w="70" w:type="dxa"/>
              <w:end w:w="85" w:type="dxa"/>
            </w:tcMar>
            <w:vAlign w:val="top"/>
            <w:shd w:fill="F5F7F8"/>
          </w:tcPr>
          <w:p>
            <w:pPr>
              <w:spacing w:after="0" w:line="240" w:lineRule="auto"/>
            </w:pPr>
            <w:r>
              <w:rPr>
                <w:b w:val="0"/>
                <w:i w:val="0"/>
                <w:color w:val="27333B"/>
                <w:sz w:val="15"/>
              </w:rPr>
              <w:t>Lock-screen notification reveals property details.</w:t>
            </w:r>
          </w:p>
        </w:tc>
        <w:tc>
          <w:tcPr>
            <w:tcW w:type="dxa" w:w="4320"/>
            <w:tcMar>
              <w:top w:w="70" w:type="dxa"/>
              <w:start w:w="85" w:type="dxa"/>
              <w:bottom w:w="70" w:type="dxa"/>
              <w:end w:w="85" w:type="dxa"/>
            </w:tcMar>
            <w:vAlign w:val="top"/>
            <w:shd w:fill="F5F7F8"/>
          </w:tcPr>
          <w:p>
            <w:pPr>
              <w:spacing w:after="0" w:line="240" w:lineRule="auto"/>
            </w:pPr>
            <w:r>
              <w:rPr>
                <w:b w:val="0"/>
                <w:i w:val="0"/>
                <w:color w:val="27333B"/>
                <w:sz w:val="15"/>
              </w:rPr>
              <w:t>Minimal default text; user-configurable privacy; secure dashboard link; avoid full address/device inventory.</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Spoofed provider callback</w:t>
            </w:r>
          </w:p>
        </w:tc>
        <w:tc>
          <w:tcPr>
            <w:tcW w:type="dxa" w:w="3240"/>
            <w:tcMar>
              <w:top w:w="70" w:type="dxa"/>
              <w:start w:w="85" w:type="dxa"/>
              <w:bottom w:w="70" w:type="dxa"/>
              <w:end w:w="85" w:type="dxa"/>
            </w:tcMar>
            <w:vAlign w:val="top"/>
          </w:tcPr>
          <w:p>
            <w:pPr>
              <w:spacing w:after="0" w:line="240" w:lineRule="auto"/>
            </w:pPr>
            <w:r>
              <w:rPr>
                <w:b w:val="0"/>
                <w:i w:val="0"/>
                <w:color w:val="27333B"/>
                <w:sz w:val="15"/>
              </w:rPr>
              <w:t>False delivery state or arbitrary workflow activation.</w:t>
            </w:r>
          </w:p>
        </w:tc>
        <w:tc>
          <w:tcPr>
            <w:tcW w:type="dxa" w:w="4320"/>
            <w:tcMar>
              <w:top w:w="70" w:type="dxa"/>
              <w:start w:w="85" w:type="dxa"/>
              <w:bottom w:w="70" w:type="dxa"/>
              <w:end w:w="85" w:type="dxa"/>
            </w:tcMar>
            <w:vAlign w:val="top"/>
          </w:tcPr>
          <w:p>
            <w:pPr>
              <w:spacing w:after="0" w:line="240" w:lineRule="auto"/>
            </w:pPr>
            <w:r>
              <w:rPr>
                <w:b w:val="0"/>
                <w:i w:val="0"/>
                <w:color w:val="27333B"/>
                <w:sz w:val="15"/>
              </w:rPr>
              <w:t>Verify signatures/timestamps; idempotency; least-privilege callback handler.</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Unsafe links</w:t>
            </w:r>
          </w:p>
        </w:tc>
        <w:tc>
          <w:tcPr>
            <w:tcW w:type="dxa" w:w="3240"/>
            <w:tcMar>
              <w:top w:w="70" w:type="dxa"/>
              <w:start w:w="85" w:type="dxa"/>
              <w:bottom w:w="70" w:type="dxa"/>
              <w:end w:w="85" w:type="dxa"/>
            </w:tcMar>
            <w:vAlign w:val="top"/>
            <w:shd w:fill="F5F7F8"/>
          </w:tcPr>
          <w:p>
            <w:pPr>
              <w:spacing w:after="0" w:line="240" w:lineRule="auto"/>
            </w:pPr>
            <w:r>
              <w:rPr>
                <w:b w:val="0"/>
                <w:i w:val="0"/>
                <w:color w:val="27333B"/>
                <w:sz w:val="15"/>
              </w:rPr>
              <w:t>Phishing risk or token disclosure.</w:t>
            </w:r>
          </w:p>
        </w:tc>
        <w:tc>
          <w:tcPr>
            <w:tcW w:type="dxa" w:w="4320"/>
            <w:tcMar>
              <w:top w:w="70" w:type="dxa"/>
              <w:start w:w="85" w:type="dxa"/>
              <w:bottom w:w="70" w:type="dxa"/>
              <w:end w:w="85" w:type="dxa"/>
            </w:tcMar>
            <w:vAlign w:val="top"/>
            <w:shd w:fill="F5F7F8"/>
          </w:tcPr>
          <w:p>
            <w:pPr>
              <w:spacing w:after="0" w:line="240" w:lineRule="auto"/>
            </w:pPr>
            <w:r>
              <w:rPr>
                <w:b w:val="0"/>
                <w:i w:val="0"/>
                <w:color w:val="27333B"/>
                <w:sz w:val="15"/>
              </w:rPr>
              <w:t>Use owned domains, short-lived opaque links, no credentials in URLs, consistent message format.</w:t>
            </w:r>
          </w:p>
        </w:tc>
      </w:tr>
    </w:tbl>
    <w:p>
      <w:pPr>
        <w:spacing w:after="0"/>
      </w:pPr>
    </w:p>
    <w:p>
      <w:pPr>
        <w:pStyle w:val="Heading2"/>
        <w:keepNext/>
      </w:pPr>
      <w:r>
        <w:t>11.2 Consent and destination lifecycle</w:t>
      </w:r>
    </w:p>
    <w:p>
      <w:pPr>
        <w:spacing w:after="40"/>
        <w:ind w:left="346" w:hanging="346"/>
      </w:pPr>
      <w:r>
        <w:rPr>
          <w:b w:val="0"/>
          <w:i w:val="0"/>
          <w:color w:val="27333B"/>
          <w:sz w:val="20"/>
        </w:rPr>
        <w:t>1.</w:t>
      </w:r>
      <w:r>
        <w:rPr>
          <w:b w:val="0"/>
          <w:i w:val="0"/>
          <w:color w:val="27333B"/>
          <w:sz w:val="20"/>
        </w:rPr>
        <w:t xml:space="preserve">  Account owner enters a destination and intended role.</w:t>
      </w:r>
    </w:p>
    <w:p>
      <w:pPr>
        <w:spacing w:after="40"/>
        <w:ind w:left="346" w:hanging="346"/>
      </w:pPr>
      <w:r>
        <w:rPr>
          <w:b w:val="0"/>
          <w:i w:val="0"/>
          <w:color w:val="27333B"/>
          <w:sz w:val="20"/>
        </w:rPr>
        <w:t>2.</w:t>
      </w:r>
      <w:r>
        <w:rPr>
          <w:b w:val="0"/>
          <w:i w:val="0"/>
          <w:color w:val="27333B"/>
          <w:sz w:val="20"/>
        </w:rPr>
        <w:t xml:space="preserve">  System sends a verification challenge or consent message.</w:t>
      </w:r>
    </w:p>
    <w:p>
      <w:pPr>
        <w:spacing w:after="40"/>
        <w:ind w:left="346" w:hanging="346"/>
      </w:pPr>
      <w:r>
        <w:rPr>
          <w:b w:val="0"/>
          <w:i w:val="0"/>
          <w:color w:val="27333B"/>
          <w:sz w:val="20"/>
        </w:rPr>
        <w:t>3.</w:t>
      </w:r>
      <w:r>
        <w:rPr>
          <w:b w:val="0"/>
          <w:i w:val="0"/>
          <w:color w:val="27333B"/>
          <w:sz w:val="20"/>
        </w:rPr>
        <w:t xml:space="preserve">  Destination confirms; system records timestamp, method, purpose, and applicable terms version.</w:t>
      </w:r>
    </w:p>
    <w:p>
      <w:pPr>
        <w:spacing w:after="40"/>
        <w:ind w:left="346" w:hanging="346"/>
      </w:pPr>
      <w:r>
        <w:rPr>
          <w:b w:val="0"/>
          <w:i w:val="0"/>
          <w:color w:val="27333B"/>
          <w:sz w:val="20"/>
        </w:rPr>
        <w:t>4.</w:t>
      </w:r>
      <w:r>
        <w:rPr>
          <w:b w:val="0"/>
          <w:i w:val="0"/>
          <w:color w:val="27333B"/>
          <w:sz w:val="20"/>
        </w:rPr>
        <w:t xml:space="preserve">  Owner selects eligible event types and escalation timing.</w:t>
      </w:r>
    </w:p>
    <w:p>
      <w:pPr>
        <w:spacing w:after="40"/>
        <w:ind w:left="346" w:hanging="346"/>
      </w:pPr>
      <w:r>
        <w:rPr>
          <w:b w:val="0"/>
          <w:i w:val="0"/>
          <w:color w:val="27333B"/>
          <w:sz w:val="20"/>
        </w:rPr>
        <w:t>5.</w:t>
      </w:r>
      <w:r>
        <w:rPr>
          <w:b w:val="0"/>
          <w:i w:val="0"/>
          <w:color w:val="27333B"/>
          <w:sz w:val="20"/>
        </w:rPr>
        <w:t xml:space="preserve">  Sensitive changes trigger notice to existing verified destinations.</w:t>
      </w:r>
    </w:p>
    <w:p>
      <w:pPr>
        <w:spacing w:after="40"/>
        <w:ind w:left="346" w:hanging="346"/>
      </w:pPr>
      <w:r>
        <w:rPr>
          <w:b w:val="0"/>
          <w:i w:val="0"/>
          <w:color w:val="27333B"/>
          <w:sz w:val="20"/>
        </w:rPr>
        <w:t>6.</w:t>
      </w:r>
      <w:r>
        <w:rPr>
          <w:b w:val="0"/>
          <w:i w:val="0"/>
          <w:color w:val="27333B"/>
          <w:sz w:val="20"/>
        </w:rPr>
        <w:t xml:space="preserve">  Opt-out, removal, number recycling, provider failure, or account deletion deactivates future messaging as appropriate.</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NOTIFICATION LANGUAGE</w:t>
            </w:r>
          </w:p>
          <w:p>
            <w:pPr>
              <w:spacing w:after="0"/>
            </w:pPr>
            <w:r>
              <w:rPr>
                <w:b w:val="0"/>
                <w:i w:val="0"/>
                <w:color w:val="27333B"/>
                <w:sz w:val="20"/>
              </w:rPr>
              <w:t>Alerts should identify the monitored property only as specifically as necessary. A lock-screen SMS should not announce that a named residence is vacant, list all disabled cameras, or reveal a precise address by default.</w:t>
            </w:r>
          </w:p>
        </w:tc>
      </w:tr>
    </w:tbl>
    <w:p>
      <w:pPr>
        <w:spacing w:after="0"/>
      </w:pPr>
    </w:p>
    <w:p>
      <w:pPr>
        <w:pStyle w:val="Heading1"/>
        <w:keepNext/>
      </w:pPr>
      <w:r>
        <w:t>12. Software Supply Chain and Update Security</w:t>
      </w:r>
    </w:p>
    <w:p>
      <w:pPr/>
      <w:r>
        <w:t>Because the agent runs continuously inside customer networks, the update system is a top-tier trust boundary. A compromised signing or release pipeline can turn a safety product into a distribution channel for malware.</w:t>
      </w:r>
    </w:p>
    <w:p>
      <w:pPr>
        <w:spacing w:after="80"/>
        <w:jc w:val="center"/>
      </w:pPr>
      <w:r>
        <w:drawing>
          <wp:inline xmlns:a="http://schemas.openxmlformats.org/drawingml/2006/main" xmlns:pic="http://schemas.openxmlformats.org/drawingml/2006/picture">
            <wp:extent cx="6309360" cy="3406988"/>
            <wp:docPr id="2" name="Picture 2"/>
            <wp:cNvGraphicFramePr>
              <a:graphicFrameLocks noChangeAspect="1"/>
            </wp:cNvGraphicFramePr>
            <a:graphic>
              <a:graphicData uri="http://schemas.openxmlformats.org/drawingml/2006/picture">
                <pic:pic>
                  <pic:nvPicPr>
                    <pic:cNvPr id="0" name="defense_layers.png"/>
                    <pic:cNvPicPr/>
                  </pic:nvPicPr>
                  <pic:blipFill>
                    <a:blip r:embed="rId15"/>
                    <a:stretch>
                      <a:fillRect/>
                    </a:stretch>
                  </pic:blipFill>
                  <pic:spPr>
                    <a:xfrm>
                      <a:off x="0" y="0"/>
                      <a:ext cx="6309360" cy="3406988"/>
                    </a:xfrm>
                    <a:prstGeom prst="rect"/>
                  </pic:spPr>
                </pic:pic>
              </a:graphicData>
            </a:graphic>
          </wp:inline>
        </w:drawing>
      </w:r>
    </w:p>
    <w:p>
      <w:pPr>
        <w:pStyle w:val="Caption"/>
        <w:spacing w:after="160"/>
        <w:jc w:val="center"/>
      </w:pPr>
      <w:r>
        <w:t>Figure 2. Defense-in-depth controls from customer-facing clarity through local network restraint and recovery.</w:t>
      </w:r>
    </w:p>
    <w:p>
      <w:pPr>
        <w:pStyle w:val="Heading2"/>
        <w:keepNext/>
      </w:pPr>
      <w:r>
        <w:t>12.1 Required update properties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SEC-050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Every production installer and update package MUST be code-signed with a protected organizational certificate.</w:t>
            </w:r>
          </w:p>
        </w:tc>
        <w:tc>
          <w:tcPr>
            <w:tcW w:type="dxa" w:w="1728"/>
            <w:tcMar>
              <w:top w:w="70" w:type="dxa"/>
              <w:start w:w="85" w:type="dxa"/>
              <w:bottom w:w="70" w:type="dxa"/>
              <w:end w:w="85" w:type="dxa"/>
            </w:tcMar>
            <w:vAlign w:val="top"/>
          </w:tcPr>
          <w:p>
            <w:pPr>
              <w:spacing w:after="0" w:line="240" w:lineRule="auto"/>
            </w:pPr>
            <w:r>
              <w:rPr>
                <w:b w:val="0"/>
                <w:i w:val="0"/>
                <w:color w:val="27333B"/>
                <w:sz w:val="15"/>
              </w:rPr>
              <w:t>Signature verification</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SEC-051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The agent MUST verify signed update metadata and artifact integrity before installation.</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Tamper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SEC-052</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Signing credentials MUST be isolated from routine developer workstations and CI jobs.</w:t>
            </w:r>
          </w:p>
        </w:tc>
        <w:tc>
          <w:tcPr>
            <w:tcW w:type="dxa" w:w="1728"/>
            <w:tcMar>
              <w:top w:w="70" w:type="dxa"/>
              <w:start w:w="85" w:type="dxa"/>
              <w:bottom w:w="70" w:type="dxa"/>
              <w:end w:w="85" w:type="dxa"/>
            </w:tcMar>
            <w:vAlign w:val="top"/>
          </w:tcPr>
          <w:p>
            <w:pPr>
              <w:spacing w:after="0" w:line="240" w:lineRule="auto"/>
            </w:pPr>
            <w:r>
              <w:rPr>
                <w:b w:val="0"/>
                <w:i w:val="0"/>
                <w:color w:val="27333B"/>
                <w:sz w:val="15"/>
              </w:rPr>
              <w:t>Key custody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SEC-053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Release rollout MUST support staged cohorts, pause, rollback, and emergency revocation.</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Release drill</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SEC-054</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Builds SHOULD produce an SBOM and reproducible or verifiable provenance artifacts.</w:t>
            </w:r>
          </w:p>
        </w:tc>
        <w:tc>
          <w:tcPr>
            <w:tcW w:type="dxa" w:w="1728"/>
            <w:tcMar>
              <w:top w:w="70" w:type="dxa"/>
              <w:start w:w="85" w:type="dxa"/>
              <w:bottom w:w="70" w:type="dxa"/>
              <w:end w:w="85" w:type="dxa"/>
            </w:tcMar>
            <w:vAlign w:val="top"/>
          </w:tcPr>
          <w:p>
            <w:pPr>
              <w:spacing w:after="0" w:line="240" w:lineRule="auto"/>
            </w:pPr>
            <w:r>
              <w:rPr>
                <w:b w:val="0"/>
                <w:i w:val="0"/>
                <w:color w:val="27333B"/>
                <w:sz w:val="15"/>
              </w:rPr>
              <w:t>CI evidence</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SEC-055</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Dependencies MUST be pinned/locked, scanned, and reviewed for license and security risk.</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Pipeline review</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SEC-056</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Protected branches, mandatory review, and least-privilege CI identities MUST guard production releases.</w:t>
            </w:r>
          </w:p>
        </w:tc>
        <w:tc>
          <w:tcPr>
            <w:tcW w:type="dxa" w:w="1728"/>
            <w:tcMar>
              <w:top w:w="70" w:type="dxa"/>
              <w:start w:w="85" w:type="dxa"/>
              <w:bottom w:w="70" w:type="dxa"/>
              <w:end w:w="85" w:type="dxa"/>
            </w:tcMar>
            <w:vAlign w:val="top"/>
          </w:tcPr>
          <w:p>
            <w:pPr>
              <w:spacing w:after="0" w:line="240" w:lineRule="auto"/>
            </w:pPr>
            <w:r>
              <w:rPr>
                <w:b w:val="0"/>
                <w:i w:val="0"/>
                <w:color w:val="27333B"/>
                <w:sz w:val="15"/>
              </w:rPr>
              <w:t>Repository audit</w:t>
            </w:r>
          </w:p>
        </w:tc>
      </w:tr>
    </w:tbl>
    <w:p>
      <w:pPr>
        <w:spacing w:after="0"/>
      </w:pPr>
    </w:p>
    <w:p>
      <w:pPr>
        <w:pStyle w:val="Heading2"/>
        <w:keepNext/>
      </w:pPr>
      <w:r>
        <w:t>12.2 Emergency update controls</w:t>
      </w:r>
    </w:p>
    <w:p>
      <w:pPr>
        <w:pStyle w:val="ListBullet"/>
      </w:pPr>
      <w:r>
        <w:t>Ability to halt update publication without stopping normal monitoring.</w:t>
      </w:r>
    </w:p>
    <w:p>
      <w:pPr>
        <w:pStyle w:val="ListBullet"/>
      </w:pPr>
      <w:r>
        <w:t>Ability to mark a specific version blocked and direct affected agents to a known-good version.</w:t>
      </w:r>
    </w:p>
    <w:p>
      <w:pPr>
        <w:pStyle w:val="ListBullet"/>
      </w:pPr>
      <w:r>
        <w:t>Independent communication channel for customer notice if the application platform is suspected compromised.</w:t>
      </w:r>
    </w:p>
    <w:p>
      <w:pPr>
        <w:pStyle w:val="ListBullet"/>
      </w:pPr>
      <w:r>
        <w:t>Documented certificate/key compromise procedure, including replacement and trust migration.</w:t>
      </w:r>
    </w:p>
    <w:p>
      <w:pPr>
        <w:pStyle w:val="ListBullet"/>
      </w:pPr>
      <w:r>
        <w:t>Retention of immutable release manifests, approvals, artifact hashes, and signer identity.</w:t>
      </w:r>
    </w:p>
    <w:p>
      <w:pPr>
        <w:pStyle w:val="Heading1"/>
        <w:keepNext/>
      </w:pPr>
      <w:r>
        <w:t>13. Privacy-by-Design Model</w:t>
      </w:r>
    </w:p>
    <w:p>
      <w:pPr>
        <w:spacing w:after="80"/>
        <w:jc w:val="center"/>
      </w:pPr>
      <w:r>
        <w:drawing>
          <wp:inline xmlns:a="http://schemas.openxmlformats.org/drawingml/2006/main" xmlns:pic="http://schemas.openxmlformats.org/drawingml/2006/picture">
            <wp:extent cx="6400800" cy="3317404"/>
            <wp:docPr id="3" name="Picture 3"/>
            <wp:cNvGraphicFramePr>
              <a:graphicFrameLocks noChangeAspect="1"/>
            </wp:cNvGraphicFramePr>
            <a:graphic>
              <a:graphicData uri="http://schemas.openxmlformats.org/drawingml/2006/picture">
                <pic:pic>
                  <pic:nvPicPr>
                    <pic:cNvPr id="0" name="data_lifecycle.png"/>
                    <pic:cNvPicPr/>
                  </pic:nvPicPr>
                  <pic:blipFill>
                    <a:blip r:embed="rId16"/>
                    <a:stretch>
                      <a:fillRect/>
                    </a:stretch>
                  </pic:blipFill>
                  <pic:spPr>
                    <a:xfrm>
                      <a:off x="0" y="0"/>
                      <a:ext cx="6400800" cy="3317404"/>
                    </a:xfrm>
                    <a:prstGeom prst="rect"/>
                  </pic:spPr>
                </pic:pic>
              </a:graphicData>
            </a:graphic>
          </wp:inline>
        </w:drawing>
      </w:r>
    </w:p>
    <w:p>
      <w:pPr>
        <w:pStyle w:val="Caption"/>
        <w:spacing w:after="160"/>
        <w:jc w:val="center"/>
      </w:pPr>
      <w:r>
        <w:t>Figure 3. Privacy-preserving flow from local observation through purpose-limited deletion.</w:t>
      </w:r>
    </w:p>
    <w:p>
      <w:pPr>
        <w:pStyle w:val="Heading2"/>
        <w:keepNext/>
      </w:pPr>
      <w:r>
        <w:t>13.1 Purpose limitations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E6078"/>
            <w:tcMar>
              <w:top w:w="80" w:type="dxa"/>
              <w:start w:w="90" w:type="dxa"/>
              <w:bottom w:w="80" w:type="dxa"/>
              <w:end w:w="90" w:type="dxa"/>
            </w:tcMar>
          </w:tcPr>
          <w:p>
            <w:pPr>
              <w:spacing w:after="0"/>
              <w:jc w:val="left"/>
            </w:pPr>
            <w:r>
              <w:rPr>
                <w:b/>
                <w:i w:val="0"/>
                <w:color w:val="FFFFFF"/>
                <w:sz w:val="16"/>
              </w:rPr>
              <w:t>Data purpose</w:t>
            </w:r>
          </w:p>
        </w:tc>
        <w:tc>
          <w:tcPr>
            <w:tcW w:type="dxa" w:w="3816"/>
            <w:shd w:fill="2E6078"/>
            <w:tcMar>
              <w:top w:w="80" w:type="dxa"/>
              <w:start w:w="90" w:type="dxa"/>
              <w:bottom w:w="80" w:type="dxa"/>
              <w:end w:w="90" w:type="dxa"/>
            </w:tcMar>
          </w:tcPr>
          <w:p>
            <w:pPr>
              <w:spacing w:after="0"/>
              <w:jc w:val="left"/>
            </w:pPr>
            <w:r>
              <w:rPr>
                <w:b/>
                <w:i w:val="0"/>
                <w:color w:val="FFFFFF"/>
                <w:sz w:val="16"/>
              </w:rPr>
              <w:t>Allowed use</w:t>
            </w:r>
          </w:p>
        </w:tc>
        <w:tc>
          <w:tcPr>
            <w:tcW w:type="dxa" w:w="4176"/>
            <w:shd w:fill="2E6078"/>
            <w:tcMar>
              <w:top w:w="80" w:type="dxa"/>
              <w:start w:w="90" w:type="dxa"/>
              <w:bottom w:w="80" w:type="dxa"/>
              <w:end w:w="90" w:type="dxa"/>
            </w:tcMar>
          </w:tcPr>
          <w:p>
            <w:pPr>
              <w:spacing w:after="0"/>
              <w:jc w:val="left"/>
            </w:pPr>
            <w:r>
              <w:rPr>
                <w:b/>
                <w:i w:val="0"/>
                <w:color w:val="FFFFFF"/>
                <w:sz w:val="16"/>
              </w:rPr>
              <w:t>Disallowed expansion without new review/consent</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5"/>
              </w:rPr>
              <w:t>Service operation</w:t>
            </w:r>
          </w:p>
        </w:tc>
        <w:tc>
          <w:tcPr>
            <w:tcW w:type="dxa" w:w="3816"/>
            <w:tcMar>
              <w:top w:w="70" w:type="dxa"/>
              <w:start w:w="85" w:type="dxa"/>
              <w:bottom w:w="70" w:type="dxa"/>
              <w:end w:w="85" w:type="dxa"/>
            </w:tcMar>
            <w:vAlign w:val="top"/>
          </w:tcPr>
          <w:p>
            <w:pPr>
              <w:spacing w:after="0" w:line="240" w:lineRule="auto"/>
            </w:pPr>
            <w:r>
              <w:rPr>
                <w:b w:val="0"/>
                <w:i w:val="0"/>
                <w:color w:val="27333B"/>
                <w:sz w:val="15"/>
              </w:rPr>
              <w:t>Determine agent/device state, correlate incidents, deliver alerts, show history.</w:t>
            </w:r>
          </w:p>
        </w:tc>
        <w:tc>
          <w:tcPr>
            <w:tcW w:type="dxa" w:w="4176"/>
            <w:tcMar>
              <w:top w:w="70" w:type="dxa"/>
              <w:start w:w="85" w:type="dxa"/>
              <w:bottom w:w="70" w:type="dxa"/>
              <w:end w:w="85" w:type="dxa"/>
            </w:tcMar>
            <w:vAlign w:val="top"/>
          </w:tcPr>
          <w:p>
            <w:pPr>
              <w:spacing w:after="0" w:line="240" w:lineRule="auto"/>
            </w:pPr>
            <w:r>
              <w:rPr>
                <w:b w:val="0"/>
                <w:i w:val="0"/>
                <w:color w:val="27333B"/>
                <w:sz w:val="15"/>
              </w:rPr>
              <w:t>Advertising profiles, unrelated behavioral analytics, sale of customer data.</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5"/>
              </w:rPr>
              <w:t>Reliability improvement</w:t>
            </w:r>
          </w:p>
        </w:tc>
        <w:tc>
          <w:tcPr>
            <w:tcW w:type="dxa" w:w="3816"/>
            <w:tcMar>
              <w:top w:w="70" w:type="dxa"/>
              <w:start w:w="85" w:type="dxa"/>
              <w:bottom w:w="70" w:type="dxa"/>
              <w:end w:w="85" w:type="dxa"/>
            </w:tcMar>
            <w:vAlign w:val="top"/>
            <w:shd w:fill="F5F7F8"/>
          </w:tcPr>
          <w:p>
            <w:pPr>
              <w:spacing w:after="0" w:line="240" w:lineRule="auto"/>
            </w:pPr>
            <w:r>
              <w:rPr>
                <w:b w:val="0"/>
                <w:i w:val="0"/>
                <w:color w:val="27333B"/>
                <w:sz w:val="15"/>
              </w:rPr>
              <w:t>Aggregate failure rates, latency, crash signatures, delivery performance.</w:t>
            </w:r>
          </w:p>
        </w:tc>
        <w:tc>
          <w:tcPr>
            <w:tcW w:type="dxa" w:w="4176"/>
            <w:tcMar>
              <w:top w:w="70" w:type="dxa"/>
              <w:start w:w="85" w:type="dxa"/>
              <w:bottom w:w="70" w:type="dxa"/>
              <w:end w:w="85" w:type="dxa"/>
            </w:tcMar>
            <w:vAlign w:val="top"/>
            <w:shd w:fill="F5F7F8"/>
          </w:tcPr>
          <w:p>
            <w:pPr>
              <w:spacing w:after="0" w:line="240" w:lineRule="auto"/>
            </w:pPr>
            <w:r>
              <w:rPr>
                <w:b w:val="0"/>
                <w:i w:val="0"/>
                <w:color w:val="27333B"/>
                <w:sz w:val="15"/>
              </w:rPr>
              <w:t>Retaining detailed customer network data indefinitely for speculative analysis.</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5"/>
              </w:rPr>
              <w:t>Security and abuse prevention</w:t>
            </w:r>
          </w:p>
        </w:tc>
        <w:tc>
          <w:tcPr>
            <w:tcW w:type="dxa" w:w="3816"/>
            <w:tcMar>
              <w:top w:w="70" w:type="dxa"/>
              <w:start w:w="85" w:type="dxa"/>
              <w:bottom w:w="70" w:type="dxa"/>
              <w:end w:w="85" w:type="dxa"/>
            </w:tcMar>
            <w:vAlign w:val="top"/>
          </w:tcPr>
          <w:p>
            <w:pPr>
              <w:spacing w:after="0" w:line="240" w:lineRule="auto"/>
            </w:pPr>
            <w:r>
              <w:rPr>
                <w:b w:val="0"/>
                <w:i w:val="0"/>
                <w:color w:val="27333B"/>
                <w:sz w:val="15"/>
              </w:rPr>
              <w:t>Detect account compromise, scraping, message abuse, malicious agents, and platform attacks.</w:t>
            </w:r>
          </w:p>
        </w:tc>
        <w:tc>
          <w:tcPr>
            <w:tcW w:type="dxa" w:w="4176"/>
            <w:tcMar>
              <w:top w:w="70" w:type="dxa"/>
              <w:start w:w="85" w:type="dxa"/>
              <w:bottom w:w="70" w:type="dxa"/>
              <w:end w:w="85" w:type="dxa"/>
            </w:tcMar>
            <w:vAlign w:val="top"/>
          </w:tcPr>
          <w:p>
            <w:pPr>
              <w:spacing w:after="0" w:line="240" w:lineRule="auto"/>
            </w:pPr>
            <w:r>
              <w:rPr>
                <w:b w:val="0"/>
                <w:i w:val="0"/>
                <w:color w:val="27333B"/>
                <w:sz w:val="15"/>
              </w:rPr>
              <w:t>Using security telemetry to infer occupancy or lifestyle for unrelated purposes.</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5"/>
              </w:rPr>
              <w:t>Billing and entitlement</w:t>
            </w:r>
          </w:p>
        </w:tc>
        <w:tc>
          <w:tcPr>
            <w:tcW w:type="dxa" w:w="3816"/>
            <w:tcMar>
              <w:top w:w="70" w:type="dxa"/>
              <w:start w:w="85" w:type="dxa"/>
              <w:bottom w:w="70" w:type="dxa"/>
              <w:end w:w="85" w:type="dxa"/>
            </w:tcMar>
            <w:vAlign w:val="top"/>
            <w:shd w:fill="F5F7F8"/>
          </w:tcPr>
          <w:p>
            <w:pPr>
              <w:spacing w:after="0" w:line="240" w:lineRule="auto"/>
            </w:pPr>
            <w:r>
              <w:rPr>
                <w:b w:val="0"/>
                <w:i w:val="0"/>
                <w:color w:val="27333B"/>
                <w:sz w:val="15"/>
              </w:rPr>
              <w:t>Track plan, SMS usage, quotas, invoices, and fraud signals.</w:t>
            </w:r>
          </w:p>
        </w:tc>
        <w:tc>
          <w:tcPr>
            <w:tcW w:type="dxa" w:w="4176"/>
            <w:tcMar>
              <w:top w:w="70" w:type="dxa"/>
              <w:start w:w="85" w:type="dxa"/>
              <w:bottom w:w="70" w:type="dxa"/>
              <w:end w:w="85" w:type="dxa"/>
            </w:tcMar>
            <w:vAlign w:val="top"/>
            <w:shd w:fill="F5F7F8"/>
          </w:tcPr>
          <w:p>
            <w:pPr>
              <w:spacing w:after="0" w:line="240" w:lineRule="auto"/>
            </w:pPr>
            <w:r>
              <w:rPr>
                <w:b w:val="0"/>
                <w:i w:val="0"/>
                <w:color w:val="27333B"/>
                <w:sz w:val="15"/>
              </w:rPr>
              <w:t>Combining billing data with property behavior beyond legitimate business need.</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5"/>
              </w:rPr>
              <w:t>Customer support</w:t>
            </w:r>
          </w:p>
        </w:tc>
        <w:tc>
          <w:tcPr>
            <w:tcW w:type="dxa" w:w="3816"/>
            <w:tcMar>
              <w:top w:w="70" w:type="dxa"/>
              <w:start w:w="85" w:type="dxa"/>
              <w:bottom w:w="70" w:type="dxa"/>
              <w:end w:w="85" w:type="dxa"/>
            </w:tcMar>
            <w:vAlign w:val="top"/>
          </w:tcPr>
          <w:p>
            <w:pPr>
              <w:spacing w:after="0" w:line="240" w:lineRule="auto"/>
            </w:pPr>
            <w:r>
              <w:rPr>
                <w:b w:val="0"/>
                <w:i w:val="0"/>
                <w:color w:val="27333B"/>
                <w:sz w:val="15"/>
              </w:rPr>
              <w:t>Diagnose reported issues with least data necessary and recorded access.</w:t>
            </w:r>
          </w:p>
        </w:tc>
        <w:tc>
          <w:tcPr>
            <w:tcW w:type="dxa" w:w="4176"/>
            <w:tcMar>
              <w:top w:w="70" w:type="dxa"/>
              <w:start w:w="85" w:type="dxa"/>
              <w:bottom w:w="70" w:type="dxa"/>
              <w:end w:w="85" w:type="dxa"/>
            </w:tcMar>
            <w:vAlign w:val="top"/>
          </w:tcPr>
          <w:p>
            <w:pPr>
              <w:spacing w:after="0" w:line="240" w:lineRule="auto"/>
            </w:pPr>
            <w:r>
              <w:rPr>
                <w:b w:val="0"/>
                <w:i w:val="0"/>
                <w:color w:val="27333B"/>
                <w:sz w:val="15"/>
              </w:rPr>
              <w:t>Unrestricted browsing of customer properties or contacts.</w:t>
            </w:r>
          </w:p>
        </w:tc>
      </w:tr>
    </w:tbl>
    <w:p>
      <w:pPr>
        <w:spacing w:after="0"/>
      </w:pPr>
    </w:p>
    <w:p>
      <w:pPr>
        <w:pStyle w:val="Heading2"/>
        <w:keepNext/>
      </w:pPr>
      <w:r>
        <w:t>13.2 Privacy risks unique to the product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Risk</w:t>
            </w:r>
          </w:p>
        </w:tc>
        <w:tc>
          <w:tcPr>
            <w:tcW w:type="dxa" w:w="3600"/>
            <w:shd w:fill="2E6078"/>
            <w:tcMar>
              <w:top w:w="80" w:type="dxa"/>
              <w:start w:w="90" w:type="dxa"/>
              <w:bottom w:w="80" w:type="dxa"/>
              <w:end w:w="90" w:type="dxa"/>
            </w:tcMar>
          </w:tcPr>
          <w:p>
            <w:pPr>
              <w:spacing w:after="0"/>
              <w:jc w:val="left"/>
            </w:pPr>
            <w:r>
              <w:rPr>
                <w:b/>
                <w:i w:val="0"/>
                <w:color w:val="FFFFFF"/>
                <w:sz w:val="16"/>
              </w:rPr>
              <w:t>Example</w:t>
            </w:r>
          </w:p>
        </w:tc>
        <w:tc>
          <w:tcPr>
            <w:tcW w:type="dxa" w:w="4104"/>
            <w:shd w:fill="2E6078"/>
            <w:tcMar>
              <w:top w:w="80" w:type="dxa"/>
              <w:start w:w="90" w:type="dxa"/>
              <w:bottom w:w="80" w:type="dxa"/>
              <w:end w:w="90" w:type="dxa"/>
            </w:tcMar>
          </w:tcPr>
          <w:p>
            <w:pPr>
              <w:spacing w:after="0"/>
              <w:jc w:val="left"/>
            </w:pPr>
            <w:r>
              <w:rPr>
                <w:b/>
                <w:i w:val="0"/>
                <w:color w:val="FFFFFF"/>
                <w:sz w:val="16"/>
              </w:rPr>
              <w:t>Required response</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Occupancy inference</w:t>
            </w:r>
          </w:p>
        </w:tc>
        <w:tc>
          <w:tcPr>
            <w:tcW w:type="dxa" w:w="3600"/>
            <w:tcMar>
              <w:top w:w="70" w:type="dxa"/>
              <w:start w:w="85" w:type="dxa"/>
              <w:bottom w:w="70" w:type="dxa"/>
              <w:end w:w="85" w:type="dxa"/>
            </w:tcMar>
            <w:vAlign w:val="top"/>
          </w:tcPr>
          <w:p>
            <w:pPr>
              <w:spacing w:after="0" w:line="240" w:lineRule="auto"/>
            </w:pPr>
            <w:r>
              <w:rPr>
                <w:b w:val="0"/>
                <w:i w:val="0"/>
                <w:color w:val="27333B"/>
                <w:sz w:val="15"/>
              </w:rPr>
              <w:t>Away Mode or recurring device patterns suggest when a property is unattended.</w:t>
            </w:r>
          </w:p>
        </w:tc>
        <w:tc>
          <w:tcPr>
            <w:tcW w:type="dxa" w:w="4104"/>
            <w:tcMar>
              <w:top w:w="70" w:type="dxa"/>
              <w:start w:w="85" w:type="dxa"/>
              <w:bottom w:w="70" w:type="dxa"/>
              <w:end w:w="85" w:type="dxa"/>
            </w:tcMar>
            <w:vAlign w:val="top"/>
          </w:tcPr>
          <w:p>
            <w:pPr>
              <w:spacing w:after="0" w:line="240" w:lineRule="auto"/>
            </w:pPr>
            <w:r>
              <w:rPr>
                <w:b w:val="0"/>
                <w:i w:val="0"/>
                <w:color w:val="27333B"/>
                <w:sz w:val="15"/>
              </w:rPr>
              <w:t>Restrict access; minimize notification text; avoid unnecessary analytics; shorter retention.</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Security-layout inference</w:t>
            </w:r>
          </w:p>
        </w:tc>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Device inventory exposes camera, DVR, router, and switch topology.</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Collect only monitored inventory; tenant isolation; masked support access; export warning.</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Contact harm</w:t>
            </w:r>
          </w:p>
        </w:tc>
        <w:tc>
          <w:tcPr>
            <w:tcW w:type="dxa" w:w="3600"/>
            <w:tcMar>
              <w:top w:w="70" w:type="dxa"/>
              <w:start w:w="85" w:type="dxa"/>
              <w:bottom w:w="70" w:type="dxa"/>
              <w:end w:w="85" w:type="dxa"/>
            </w:tcMar>
            <w:vAlign w:val="top"/>
          </w:tcPr>
          <w:p>
            <w:pPr>
              <w:spacing w:after="0" w:line="240" w:lineRule="auto"/>
            </w:pPr>
            <w:r>
              <w:rPr>
                <w:b w:val="0"/>
                <w:i w:val="0"/>
                <w:color w:val="27333B"/>
                <w:sz w:val="15"/>
              </w:rPr>
              <w:t>Trusted contact receives alarming messages without informed consent.</w:t>
            </w:r>
          </w:p>
        </w:tc>
        <w:tc>
          <w:tcPr>
            <w:tcW w:type="dxa" w:w="4104"/>
            <w:tcMar>
              <w:top w:w="70" w:type="dxa"/>
              <w:start w:w="85" w:type="dxa"/>
              <w:bottom w:w="70" w:type="dxa"/>
              <w:end w:w="85" w:type="dxa"/>
            </w:tcMar>
            <w:vAlign w:val="top"/>
          </w:tcPr>
          <w:p>
            <w:pPr>
              <w:spacing w:after="0" w:line="240" w:lineRule="auto"/>
            </w:pPr>
            <w:r>
              <w:rPr>
                <w:b w:val="0"/>
                <w:i w:val="0"/>
                <w:color w:val="27333B"/>
                <w:sz w:val="15"/>
              </w:rPr>
              <w:t>Verification, consent record, clear sender identity, opt-out and removal.</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Unexpected content collection</w:t>
            </w:r>
          </w:p>
        </w:tc>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A diagnostic feature begins capturing frames, audio, URLs, or protocol payloads.</w:t>
            </w:r>
          </w:p>
        </w:tc>
        <w:tc>
          <w:tcPr>
            <w:tcW w:type="dxa" w:w="4104"/>
            <w:tcMar>
              <w:top w:w="70" w:type="dxa"/>
              <w:start w:w="85" w:type="dxa"/>
              <w:bottom w:w="70" w:type="dxa"/>
              <w:end w:w="85" w:type="dxa"/>
            </w:tcMar>
            <w:vAlign w:val="top"/>
            <w:shd w:fill="F5F7F8"/>
          </w:tcPr>
          <w:p>
            <w:pPr>
              <w:spacing w:after="0" w:line="240" w:lineRule="auto"/>
            </w:pPr>
            <w:r>
              <w:rPr>
                <w:b w:val="0"/>
                <w:i w:val="0"/>
                <w:color w:val="27333B"/>
                <w:sz w:val="15"/>
              </w:rPr>
              <w:t>Prohibit by default; privacy review; explicit opt-in; separate storage and retention if ever introduced.</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Sensitive labels</w:t>
            </w:r>
          </w:p>
        </w:tc>
        <w:tc>
          <w:tcPr>
            <w:tcW w:type="dxa" w:w="3600"/>
            <w:tcMar>
              <w:top w:w="70" w:type="dxa"/>
              <w:start w:w="85" w:type="dxa"/>
              <w:bottom w:w="70" w:type="dxa"/>
              <w:end w:w="85" w:type="dxa"/>
            </w:tcMar>
            <w:vAlign w:val="top"/>
          </w:tcPr>
          <w:p>
            <w:pPr>
              <w:spacing w:after="0" w:line="240" w:lineRule="auto"/>
            </w:pPr>
            <w:r>
              <w:rPr>
                <w:b w:val="0"/>
                <w:i w:val="0"/>
                <w:color w:val="27333B"/>
                <w:sz w:val="15"/>
              </w:rPr>
              <w:t>Customer names a device “Nursery Camera” or property with a full address.</w:t>
            </w:r>
          </w:p>
        </w:tc>
        <w:tc>
          <w:tcPr>
            <w:tcW w:type="dxa" w:w="4104"/>
            <w:tcMar>
              <w:top w:w="70" w:type="dxa"/>
              <w:start w:w="85" w:type="dxa"/>
              <w:bottom w:w="70" w:type="dxa"/>
              <w:end w:w="85" w:type="dxa"/>
            </w:tcMar>
            <w:vAlign w:val="top"/>
          </w:tcPr>
          <w:p>
            <w:pPr>
              <w:spacing w:after="0" w:line="240" w:lineRule="auto"/>
            </w:pPr>
            <w:r>
              <w:rPr>
                <w:b w:val="0"/>
                <w:i w:val="0"/>
                <w:color w:val="27333B"/>
                <w:sz w:val="15"/>
              </w:rPr>
              <w:t>Treat labels as sensitive; minimize lock-screen use; safely encode; permit aliases.</w:t>
            </w:r>
          </w:p>
        </w:tc>
      </w:tr>
    </w:tbl>
    <w:p>
      <w:pPr>
        <w:spacing w:after="0"/>
      </w:pPr>
    </w:p>
    <w:p>
      <w:pPr>
        <w:pStyle w:val="Heading2"/>
        <w:keepNext/>
      </w:pPr>
      <w:r>
        <w:t>13.3 Privacy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PRIV-001</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Cloud collection MUST be limited to fields required for an approved product, security, billing, or support purpose.</w:t>
            </w:r>
          </w:p>
        </w:tc>
        <w:tc>
          <w:tcPr>
            <w:tcW w:type="dxa" w:w="1728"/>
            <w:tcMar>
              <w:top w:w="70" w:type="dxa"/>
              <w:start w:w="85" w:type="dxa"/>
              <w:bottom w:w="70" w:type="dxa"/>
              <w:end w:w="85" w:type="dxa"/>
            </w:tcMar>
            <w:vAlign w:val="top"/>
          </w:tcPr>
          <w:p>
            <w:pPr>
              <w:spacing w:after="0" w:line="240" w:lineRule="auto"/>
            </w:pPr>
            <w:r>
              <w:rPr>
                <w:b w:val="0"/>
                <w:i w:val="0"/>
                <w:color w:val="27333B"/>
                <w:sz w:val="15"/>
              </w:rPr>
              <w:t>Data inventory</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PRIV-002</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Raw video, audio, still images, and biometric content MUST NOT be collected in MVP.</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Traffic inspection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PRIV-003</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Camera/DVR credentials MUST remain local by default and MUST NOT be included in general telemetry.</w:t>
            </w:r>
          </w:p>
        </w:tc>
        <w:tc>
          <w:tcPr>
            <w:tcW w:type="dxa" w:w="1728"/>
            <w:tcMar>
              <w:top w:w="70" w:type="dxa"/>
              <w:start w:w="85" w:type="dxa"/>
              <w:bottom w:w="70" w:type="dxa"/>
              <w:end w:w="85" w:type="dxa"/>
            </w:tcMar>
            <w:vAlign w:val="top"/>
          </w:tcPr>
          <w:p>
            <w:pPr>
              <w:spacing w:after="0" w:line="240" w:lineRule="auto"/>
            </w:pPr>
            <w:r>
              <w:rPr>
                <w:b w:val="0"/>
                <w:i w:val="0"/>
                <w:color w:val="27333B"/>
                <w:sz w:val="15"/>
              </w:rPr>
              <w:t>Secret scan</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PRIV-004</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Customers MUST be able to view, correct where applicable, export, and delete their property/account data subject to documented exceptions.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Lifecycle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PRIV-005</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Retention MUST differ by data purpose; “keep forever” is not an acceptable default.</w:t>
            </w:r>
          </w:p>
        </w:tc>
        <w:tc>
          <w:tcPr>
            <w:tcW w:type="dxa" w:w="1728"/>
            <w:tcMar>
              <w:top w:w="70" w:type="dxa"/>
              <w:start w:w="85" w:type="dxa"/>
              <w:bottom w:w="70" w:type="dxa"/>
              <w:end w:w="85" w:type="dxa"/>
            </w:tcMar>
            <w:vAlign w:val="top"/>
          </w:tcPr>
          <w:p>
            <w:pPr>
              <w:spacing w:after="0" w:line="240" w:lineRule="auto"/>
            </w:pPr>
            <w:r>
              <w:rPr>
                <w:b w:val="0"/>
                <w:i w:val="0"/>
                <w:color w:val="27333B"/>
                <w:sz w:val="15"/>
              </w:rPr>
              <w:t>Retention job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PRIV-006</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Product analytics MUST avoid raw device labels, full IP addresses, contact details, and detailed incident evidence unless necessary.</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Analytics schema review</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PRIV-007</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Privacy notices MUST accurately describe local versus cloud processing and provider disclosures.</w:t>
            </w:r>
          </w:p>
        </w:tc>
        <w:tc>
          <w:tcPr>
            <w:tcW w:type="dxa" w:w="1728"/>
            <w:tcMar>
              <w:top w:w="70" w:type="dxa"/>
              <w:start w:w="85" w:type="dxa"/>
              <w:bottom w:w="70" w:type="dxa"/>
              <w:end w:w="85" w:type="dxa"/>
            </w:tcMar>
            <w:vAlign w:val="top"/>
          </w:tcPr>
          <w:p>
            <w:pPr>
              <w:spacing w:after="0" w:line="240" w:lineRule="auto"/>
            </w:pPr>
            <w:r>
              <w:rPr>
                <w:b w:val="0"/>
                <w:i w:val="0"/>
                <w:color w:val="27333B"/>
                <w:sz w:val="15"/>
              </w:rPr>
              <w:t>Content/legal review</w:t>
            </w:r>
          </w:p>
        </w:tc>
      </w:tr>
    </w:tbl>
    <w:p>
      <w:pPr>
        <w:spacing w:after="0"/>
      </w:pPr>
    </w:p>
    <w:p>
      <w:pPr>
        <w:pStyle w:val="Heading1"/>
        <w:keepNext/>
      </w:pPr>
      <w:r>
        <w:t>14. Identity, Authentication, and Authorization</w:t>
      </w:r>
    </w:p>
    <w:p>
      <w:pPr>
        <w:pStyle w:val="Heading2"/>
        <w:keepNext/>
      </w:pPr>
      <w:r>
        <w:t>14.1 Human identity</w:t>
      </w:r>
    </w:p>
    <w:p>
      <w:pPr>
        <w:pStyle w:val="ListBullet"/>
      </w:pPr>
      <w:r>
        <w:t>Use a mature identity provider or a thoroughly reviewed implementation. MFA should be available before public launch and required for privileged operational accounts.</w:t>
      </w:r>
    </w:p>
    <w:p>
      <w:pPr>
        <w:pStyle w:val="ListBullet"/>
      </w:pPr>
      <w:r>
        <w:t>Password-reset and account-recovery flows must not reveal account existence unnecessarily or permit support to bypass identity proofing casually.</w:t>
      </w:r>
    </w:p>
    <w:p>
      <w:pPr>
        <w:pStyle w:val="ListBullet"/>
      </w:pPr>
      <w:r>
        <w:t>Sessions must have server-side revocation, rotation after authentication changes, inactivity/absolute limits appropriate to risk, and secure cookie configuration.</w:t>
      </w:r>
    </w:p>
    <w:p>
      <w:pPr>
        <w:pStyle w:val="ListBullet"/>
      </w:pPr>
      <w:r>
        <w:t>Sensitive mutations require recent authentication or step-up verification: contact changes, alert suppression, organization ownership transfer, exports, and deletion.</w:t>
      </w:r>
    </w:p>
    <w:p>
      <w:pPr>
        <w:pStyle w:val="Heading2"/>
        <w:keepNext/>
      </w:pPr>
      <w:r>
        <w:t>14.2 Workload identity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E6078"/>
            <w:tcMar>
              <w:top w:w="80" w:type="dxa"/>
              <w:start w:w="90" w:type="dxa"/>
              <w:bottom w:w="80" w:type="dxa"/>
              <w:end w:w="90" w:type="dxa"/>
            </w:tcMar>
          </w:tcPr>
          <w:p>
            <w:pPr>
              <w:spacing w:after="0"/>
              <w:jc w:val="left"/>
            </w:pPr>
            <w:r>
              <w:rPr>
                <w:b/>
                <w:i w:val="0"/>
                <w:color w:val="FFFFFF"/>
                <w:sz w:val="16"/>
              </w:rPr>
              <w:t>Identity</w:t>
            </w:r>
          </w:p>
        </w:tc>
        <w:tc>
          <w:tcPr>
            <w:tcW w:type="dxa" w:w="3888"/>
            <w:shd w:fill="2E6078"/>
            <w:tcMar>
              <w:top w:w="80" w:type="dxa"/>
              <w:start w:w="90" w:type="dxa"/>
              <w:bottom w:w="80" w:type="dxa"/>
              <w:end w:w="90" w:type="dxa"/>
            </w:tcMar>
          </w:tcPr>
          <w:p>
            <w:pPr>
              <w:spacing w:after="0"/>
              <w:jc w:val="left"/>
            </w:pPr>
            <w:r>
              <w:rPr>
                <w:b/>
                <w:i w:val="0"/>
                <w:color w:val="FFFFFF"/>
                <w:sz w:val="16"/>
              </w:rPr>
              <w:t>Scope</w:t>
            </w:r>
          </w:p>
        </w:tc>
        <w:tc>
          <w:tcPr>
            <w:tcW w:type="dxa" w:w="4032"/>
            <w:shd w:fill="2E6078"/>
            <w:tcMar>
              <w:top w:w="80" w:type="dxa"/>
              <w:start w:w="90" w:type="dxa"/>
              <w:bottom w:w="80" w:type="dxa"/>
              <w:end w:w="90" w:type="dxa"/>
            </w:tcMar>
          </w:tcPr>
          <w:p>
            <w:pPr>
              <w:spacing w:after="0"/>
              <w:jc w:val="left"/>
            </w:pPr>
            <w:r>
              <w:rPr>
                <w:b/>
                <w:i w:val="0"/>
                <w:color w:val="FFFFFF"/>
                <w:sz w:val="16"/>
              </w:rPr>
              <w:t>Lifecycle</w:t>
            </w:r>
          </w:p>
        </w:tc>
      </w:tr>
      <w:tr>
        <w:trPr>
          <w:cantSplit/>
        </w:trPr>
        <w:tc>
          <w:tcPr>
            <w:tcW w:type="dxa" w:w="2016"/>
            <w:tcMar>
              <w:top w:w="70" w:type="dxa"/>
              <w:start w:w="85" w:type="dxa"/>
              <w:bottom w:w="70" w:type="dxa"/>
              <w:end w:w="85" w:type="dxa"/>
            </w:tcMar>
            <w:vAlign w:val="top"/>
          </w:tcPr>
          <w:p>
            <w:pPr>
              <w:spacing w:after="0" w:line="240" w:lineRule="auto"/>
            </w:pPr>
            <w:r>
              <w:rPr>
                <w:b w:val="0"/>
                <w:i w:val="0"/>
                <w:color w:val="27333B"/>
                <w:sz w:val="16"/>
              </w:rPr>
              <w:t>Agent credential</w:t>
            </w:r>
          </w:p>
        </w:tc>
        <w:tc>
          <w:tcPr>
            <w:tcW w:type="dxa" w:w="3888"/>
            <w:tcMar>
              <w:top w:w="70" w:type="dxa"/>
              <w:start w:w="85" w:type="dxa"/>
              <w:bottom w:w="70" w:type="dxa"/>
              <w:end w:w="85" w:type="dxa"/>
            </w:tcMar>
            <w:vAlign w:val="top"/>
          </w:tcPr>
          <w:p>
            <w:pPr>
              <w:spacing w:after="0" w:line="240" w:lineRule="auto"/>
            </w:pPr>
            <w:r>
              <w:rPr>
                <w:b w:val="0"/>
                <w:i w:val="0"/>
                <w:color w:val="27333B"/>
                <w:sz w:val="16"/>
              </w:rPr>
              <w:t>One agent registration and assigned property; ingest/config only.</w:t>
            </w:r>
          </w:p>
        </w:tc>
        <w:tc>
          <w:tcPr>
            <w:tcW w:type="dxa" w:w="4032"/>
            <w:tcMar>
              <w:top w:w="70" w:type="dxa"/>
              <w:start w:w="85" w:type="dxa"/>
              <w:bottom w:w="70" w:type="dxa"/>
              <w:end w:w="85" w:type="dxa"/>
            </w:tcMar>
            <w:vAlign w:val="top"/>
          </w:tcPr>
          <w:p>
            <w:pPr>
              <w:spacing w:after="0" w:line="240" w:lineRule="auto"/>
            </w:pPr>
            <w:r>
              <w:rPr>
                <w:b w:val="0"/>
                <w:i w:val="0"/>
                <w:color w:val="27333B"/>
                <w:sz w:val="16"/>
              </w:rPr>
              <w:t>Created at enrollment, stored OS-protected, rotated, revoked on uninstall/reassignment/compromise.</w:t>
            </w:r>
          </w:p>
        </w:tc>
      </w:tr>
      <w:tr>
        <w:trPr>
          <w:cantSplit/>
        </w:trPr>
        <w:tc>
          <w:tcPr>
            <w:tcW w:type="dxa" w:w="2016"/>
            <w:tcMar>
              <w:top w:w="70" w:type="dxa"/>
              <w:start w:w="85" w:type="dxa"/>
              <w:bottom w:w="70" w:type="dxa"/>
              <w:end w:w="85" w:type="dxa"/>
            </w:tcMar>
            <w:vAlign w:val="top"/>
            <w:shd w:fill="F5F7F8"/>
          </w:tcPr>
          <w:p>
            <w:pPr>
              <w:spacing w:after="0" w:line="240" w:lineRule="auto"/>
            </w:pPr>
            <w:r>
              <w:rPr>
                <w:b w:val="0"/>
                <w:i w:val="0"/>
                <w:color w:val="27333B"/>
                <w:sz w:val="16"/>
              </w:rPr>
              <w:t>Cloud service identity</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6"/>
              </w:rPr>
              <w:t>Specific service resources and operations.</w:t>
            </w:r>
          </w:p>
        </w:tc>
        <w:tc>
          <w:tcPr>
            <w:tcW w:type="dxa" w:w="4032"/>
            <w:tcMar>
              <w:top w:w="70" w:type="dxa"/>
              <w:start w:w="85" w:type="dxa"/>
              <w:bottom w:w="70" w:type="dxa"/>
              <w:end w:w="85" w:type="dxa"/>
            </w:tcMar>
            <w:vAlign w:val="top"/>
            <w:shd w:fill="F5F7F8"/>
          </w:tcPr>
          <w:p>
            <w:pPr>
              <w:spacing w:after="0" w:line="240" w:lineRule="auto"/>
            </w:pPr>
            <w:r>
              <w:rPr>
                <w:b w:val="0"/>
                <w:i w:val="0"/>
                <w:color w:val="27333B"/>
                <w:sz w:val="16"/>
              </w:rPr>
              <w:t>Short-lived platform credentials where possible; managed IAM; no shared developer keys.</w:t>
            </w:r>
          </w:p>
        </w:tc>
      </w:tr>
      <w:tr>
        <w:trPr>
          <w:cantSplit/>
        </w:trPr>
        <w:tc>
          <w:tcPr>
            <w:tcW w:type="dxa" w:w="2016"/>
            <w:tcMar>
              <w:top w:w="70" w:type="dxa"/>
              <w:start w:w="85" w:type="dxa"/>
              <w:bottom w:w="70" w:type="dxa"/>
              <w:end w:w="85" w:type="dxa"/>
            </w:tcMar>
            <w:vAlign w:val="top"/>
          </w:tcPr>
          <w:p>
            <w:pPr>
              <w:spacing w:after="0" w:line="240" w:lineRule="auto"/>
            </w:pPr>
            <w:r>
              <w:rPr>
                <w:b w:val="0"/>
                <w:i w:val="0"/>
                <w:color w:val="27333B"/>
                <w:sz w:val="16"/>
              </w:rPr>
              <w:t>CI/CD identity</w:t>
            </w:r>
          </w:p>
        </w:tc>
        <w:tc>
          <w:tcPr>
            <w:tcW w:type="dxa" w:w="3888"/>
            <w:tcMar>
              <w:top w:w="70" w:type="dxa"/>
              <w:start w:w="85" w:type="dxa"/>
              <w:bottom w:w="70" w:type="dxa"/>
              <w:end w:w="85" w:type="dxa"/>
            </w:tcMar>
            <w:vAlign w:val="top"/>
          </w:tcPr>
          <w:p>
            <w:pPr>
              <w:spacing w:after="0" w:line="240" w:lineRule="auto"/>
            </w:pPr>
            <w:r>
              <w:rPr>
                <w:b w:val="0"/>
                <w:i w:val="0"/>
                <w:color w:val="27333B"/>
                <w:sz w:val="16"/>
              </w:rPr>
              <w:t>Build, artifact, deployment, or signing step only.</w:t>
            </w:r>
          </w:p>
        </w:tc>
        <w:tc>
          <w:tcPr>
            <w:tcW w:type="dxa" w:w="4032"/>
            <w:tcMar>
              <w:top w:w="70" w:type="dxa"/>
              <w:start w:w="85" w:type="dxa"/>
              <w:bottom w:w="70" w:type="dxa"/>
              <w:end w:w="85" w:type="dxa"/>
            </w:tcMar>
            <w:vAlign w:val="top"/>
          </w:tcPr>
          <w:p>
            <w:pPr>
              <w:spacing w:after="0" w:line="240" w:lineRule="auto"/>
            </w:pPr>
            <w:r>
              <w:rPr>
                <w:b w:val="0"/>
                <w:i w:val="0"/>
                <w:color w:val="27333B"/>
                <w:sz w:val="16"/>
              </w:rPr>
              <w:t>Environment-scoped; protected; audited; removed from developer runtime.</w:t>
            </w:r>
          </w:p>
        </w:tc>
      </w:tr>
      <w:tr>
        <w:trPr>
          <w:cantSplit/>
        </w:trPr>
        <w:tc>
          <w:tcPr>
            <w:tcW w:type="dxa" w:w="2016"/>
            <w:tcMar>
              <w:top w:w="70" w:type="dxa"/>
              <w:start w:w="85" w:type="dxa"/>
              <w:bottom w:w="70" w:type="dxa"/>
              <w:end w:w="85" w:type="dxa"/>
            </w:tcMar>
            <w:vAlign w:val="top"/>
            <w:shd w:fill="F5F7F8"/>
          </w:tcPr>
          <w:p>
            <w:pPr>
              <w:spacing w:after="0" w:line="240" w:lineRule="auto"/>
            </w:pPr>
            <w:r>
              <w:rPr>
                <w:b w:val="0"/>
                <w:i w:val="0"/>
                <w:color w:val="27333B"/>
                <w:sz w:val="16"/>
              </w:rPr>
              <w:t>Provider credential</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6"/>
              </w:rPr>
              <w:t>Specific provider account, environment, and API capability.</w:t>
            </w:r>
          </w:p>
        </w:tc>
        <w:tc>
          <w:tcPr>
            <w:tcW w:type="dxa" w:w="4032"/>
            <w:tcMar>
              <w:top w:w="70" w:type="dxa"/>
              <w:start w:w="85" w:type="dxa"/>
              <w:bottom w:w="70" w:type="dxa"/>
              <w:end w:w="85" w:type="dxa"/>
            </w:tcMar>
            <w:vAlign w:val="top"/>
            <w:shd w:fill="F5F7F8"/>
          </w:tcPr>
          <w:p>
            <w:pPr>
              <w:spacing w:after="0" w:line="240" w:lineRule="auto"/>
            </w:pPr>
            <w:r>
              <w:rPr>
                <w:b w:val="0"/>
                <w:i w:val="0"/>
                <w:color w:val="27333B"/>
                <w:sz w:val="16"/>
              </w:rPr>
              <w:t>Secrets manager; rotation; spending/usage alerts; test and production separation.</w:t>
            </w:r>
          </w:p>
        </w:tc>
      </w:tr>
    </w:tbl>
    <w:p>
      <w:pPr>
        <w:spacing w:after="0"/>
      </w:pPr>
    </w:p>
    <w:p>
      <w:pPr>
        <w:pStyle w:val="Heading2"/>
        <w:keepNext/>
      </w:pPr>
      <w:r>
        <w:t>14.3 Authorization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E6078"/>
            <w:tcMar>
              <w:top w:w="80" w:type="dxa"/>
              <w:start w:w="90" w:type="dxa"/>
              <w:bottom w:w="80" w:type="dxa"/>
              <w:end w:w="90" w:type="dxa"/>
            </w:tcMar>
          </w:tcPr>
          <w:p>
            <w:pPr>
              <w:spacing w:after="0"/>
              <w:jc w:val="left"/>
            </w:pPr>
            <w:r>
              <w:rPr>
                <w:b/>
                <w:i w:val="0"/>
                <w:color w:val="FFFFFF"/>
                <w:sz w:val="16"/>
              </w:rPr>
              <w:t>Role</w:t>
            </w:r>
          </w:p>
        </w:tc>
        <w:tc>
          <w:tcPr>
            <w:tcW w:type="dxa" w:w="3960"/>
            <w:shd w:fill="2E6078"/>
            <w:tcMar>
              <w:top w:w="80" w:type="dxa"/>
              <w:start w:w="90" w:type="dxa"/>
              <w:bottom w:w="80" w:type="dxa"/>
              <w:end w:w="90" w:type="dxa"/>
            </w:tcMar>
          </w:tcPr>
          <w:p>
            <w:pPr>
              <w:spacing w:after="0"/>
              <w:jc w:val="left"/>
            </w:pPr>
            <w:r>
              <w:rPr>
                <w:b/>
                <w:i w:val="0"/>
                <w:color w:val="FFFFFF"/>
                <w:sz w:val="16"/>
              </w:rPr>
              <w:t>Typical permissions</w:t>
            </w:r>
          </w:p>
        </w:tc>
        <w:tc>
          <w:tcPr>
            <w:tcW w:type="dxa" w:w="3960"/>
            <w:shd w:fill="2E6078"/>
            <w:tcMar>
              <w:top w:w="80" w:type="dxa"/>
              <w:start w:w="90" w:type="dxa"/>
              <w:bottom w:w="80" w:type="dxa"/>
              <w:end w:w="90" w:type="dxa"/>
            </w:tcMar>
          </w:tcPr>
          <w:p>
            <w:pPr>
              <w:spacing w:after="0"/>
              <w:jc w:val="left"/>
            </w:pPr>
            <w:r>
              <w:rPr>
                <w:b/>
                <w:i w:val="0"/>
                <w:color w:val="FFFFFF"/>
                <w:sz w:val="16"/>
              </w:rPr>
              <w:t>Explicit restrictions</w:t>
            </w:r>
          </w:p>
        </w:tc>
      </w:tr>
      <w:tr>
        <w:trPr>
          <w:cantSplit/>
        </w:trPr>
        <w:tc>
          <w:tcPr>
            <w:tcW w:type="dxa" w:w="2016"/>
            <w:tcMar>
              <w:top w:w="70" w:type="dxa"/>
              <w:start w:w="85" w:type="dxa"/>
              <w:bottom w:w="70" w:type="dxa"/>
              <w:end w:w="85" w:type="dxa"/>
            </w:tcMar>
            <w:vAlign w:val="top"/>
          </w:tcPr>
          <w:p>
            <w:pPr>
              <w:spacing w:after="0" w:line="240" w:lineRule="auto"/>
            </w:pPr>
            <w:r>
              <w:rPr>
                <w:b w:val="0"/>
                <w:i w:val="0"/>
                <w:color w:val="27333B"/>
                <w:sz w:val="15"/>
              </w:rPr>
              <w:t>Organization owner</w:t>
            </w:r>
          </w:p>
        </w:tc>
        <w:tc>
          <w:tcPr>
            <w:tcW w:type="dxa" w:w="3960"/>
            <w:tcMar>
              <w:top w:w="70" w:type="dxa"/>
              <w:start w:w="85" w:type="dxa"/>
              <w:bottom w:w="70" w:type="dxa"/>
              <w:end w:w="85" w:type="dxa"/>
            </w:tcMar>
            <w:vAlign w:val="top"/>
          </w:tcPr>
          <w:p>
            <w:pPr>
              <w:spacing w:after="0" w:line="240" w:lineRule="auto"/>
            </w:pPr>
            <w:r>
              <w:rPr>
                <w:b w:val="0"/>
                <w:i w:val="0"/>
                <w:color w:val="27333B"/>
                <w:sz w:val="15"/>
              </w:rPr>
              <w:t>Manage organization, properties, members, plan, and high-risk settings.</w:t>
            </w:r>
          </w:p>
        </w:tc>
        <w:tc>
          <w:tcPr>
            <w:tcW w:type="dxa" w:w="3960"/>
            <w:tcMar>
              <w:top w:w="70" w:type="dxa"/>
              <w:start w:w="85" w:type="dxa"/>
              <w:bottom w:w="70" w:type="dxa"/>
              <w:end w:w="85" w:type="dxa"/>
            </w:tcMar>
            <w:vAlign w:val="top"/>
          </w:tcPr>
          <w:p>
            <w:pPr>
              <w:spacing w:after="0" w:line="240" w:lineRule="auto"/>
            </w:pPr>
            <w:r>
              <w:rPr>
                <w:b w:val="0"/>
                <w:i w:val="0"/>
                <w:color w:val="27333B"/>
                <w:sz w:val="15"/>
              </w:rPr>
              <w:t>Cannot retrieve restricted platform secrets or other organizations.</w:t>
            </w:r>
          </w:p>
        </w:tc>
      </w:tr>
      <w:tr>
        <w:trPr>
          <w:cantSplit/>
        </w:trPr>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Property admin</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Manage assigned property monitors, policies, contacts, and incidents.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No unrelated property or organization ownership actions.</w:t>
            </w:r>
          </w:p>
        </w:tc>
      </w:tr>
      <w:tr>
        <w:trPr>
          <w:cantSplit/>
        </w:trPr>
        <w:tc>
          <w:tcPr>
            <w:tcW w:type="dxa" w:w="2016"/>
            <w:tcMar>
              <w:top w:w="70" w:type="dxa"/>
              <w:start w:w="85" w:type="dxa"/>
              <w:bottom w:w="70" w:type="dxa"/>
              <w:end w:w="85" w:type="dxa"/>
            </w:tcMar>
            <w:vAlign w:val="top"/>
          </w:tcPr>
          <w:p>
            <w:pPr>
              <w:spacing w:after="0" w:line="240" w:lineRule="auto"/>
            </w:pPr>
            <w:r>
              <w:rPr>
                <w:b w:val="0"/>
                <w:i w:val="0"/>
                <w:color w:val="27333B"/>
                <w:sz w:val="15"/>
              </w:rPr>
              <w:t>Viewer / responder</w:t>
            </w:r>
          </w:p>
        </w:tc>
        <w:tc>
          <w:tcPr>
            <w:tcW w:type="dxa" w:w="3960"/>
            <w:tcMar>
              <w:top w:w="70" w:type="dxa"/>
              <w:start w:w="85" w:type="dxa"/>
              <w:bottom w:w="70" w:type="dxa"/>
              <w:end w:w="85" w:type="dxa"/>
            </w:tcMar>
            <w:vAlign w:val="top"/>
          </w:tcPr>
          <w:p>
            <w:pPr>
              <w:spacing w:after="0" w:line="240" w:lineRule="auto"/>
            </w:pPr>
            <w:r>
              <w:rPr>
                <w:b w:val="0"/>
                <w:i w:val="0"/>
                <w:color w:val="27333B"/>
                <w:sz w:val="15"/>
              </w:rPr>
              <w:t>View assigned status and acknowledge incidents.</w:t>
            </w:r>
          </w:p>
        </w:tc>
        <w:tc>
          <w:tcPr>
            <w:tcW w:type="dxa" w:w="3960"/>
            <w:tcMar>
              <w:top w:w="70" w:type="dxa"/>
              <w:start w:w="85" w:type="dxa"/>
              <w:bottom w:w="70" w:type="dxa"/>
              <w:end w:w="85" w:type="dxa"/>
            </w:tcMar>
            <w:vAlign w:val="top"/>
          </w:tcPr>
          <w:p>
            <w:pPr>
              <w:spacing w:after="0" w:line="240" w:lineRule="auto"/>
            </w:pPr>
            <w:r>
              <w:rPr>
                <w:b w:val="0"/>
                <w:i w:val="0"/>
                <w:color w:val="27333B"/>
                <w:sz w:val="15"/>
              </w:rPr>
              <w:t>No sensitive configuration, contacts, billing, exports, or deletion unless granted.</w:t>
            </w:r>
          </w:p>
        </w:tc>
      </w:tr>
      <w:tr>
        <w:trPr>
          <w:cantSplit/>
        </w:trPr>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Support</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View service health and masked account metadata.</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No default detailed property browsing; no secret access; no silent impersonation.</w:t>
            </w:r>
          </w:p>
        </w:tc>
      </w:tr>
      <w:tr>
        <w:trPr>
          <w:cantSplit/>
        </w:trPr>
        <w:tc>
          <w:tcPr>
            <w:tcW w:type="dxa" w:w="2016"/>
            <w:tcMar>
              <w:top w:w="70" w:type="dxa"/>
              <w:start w:w="85" w:type="dxa"/>
              <w:bottom w:w="70" w:type="dxa"/>
              <w:end w:w="85" w:type="dxa"/>
            </w:tcMar>
            <w:vAlign w:val="top"/>
          </w:tcPr>
          <w:p>
            <w:pPr>
              <w:spacing w:after="0" w:line="240" w:lineRule="auto"/>
            </w:pPr>
            <w:r>
              <w:rPr>
                <w:b w:val="0"/>
                <w:i w:val="0"/>
                <w:color w:val="27333B"/>
                <w:sz w:val="15"/>
              </w:rPr>
              <w:t>Security/operations admin</w:t>
            </w:r>
          </w:p>
        </w:tc>
        <w:tc>
          <w:tcPr>
            <w:tcW w:type="dxa" w:w="3960"/>
            <w:tcMar>
              <w:top w:w="70" w:type="dxa"/>
              <w:start w:w="85" w:type="dxa"/>
              <w:bottom w:w="70" w:type="dxa"/>
              <w:end w:w="85" w:type="dxa"/>
            </w:tcMar>
            <w:vAlign w:val="top"/>
          </w:tcPr>
          <w:p>
            <w:pPr>
              <w:spacing w:after="0" w:line="240" w:lineRule="auto"/>
            </w:pPr>
            <w:r>
              <w:rPr>
                <w:b w:val="0"/>
                <w:i w:val="0"/>
                <w:color w:val="27333B"/>
                <w:sz w:val="15"/>
              </w:rPr>
              <w:t>Time-limited production operations under audit.</w:t>
            </w:r>
          </w:p>
        </w:tc>
        <w:tc>
          <w:tcPr>
            <w:tcW w:type="dxa" w:w="3960"/>
            <w:tcMar>
              <w:top w:w="70" w:type="dxa"/>
              <w:start w:w="85" w:type="dxa"/>
              <w:bottom w:w="70" w:type="dxa"/>
              <w:end w:w="85" w:type="dxa"/>
            </w:tcMar>
            <w:vAlign w:val="top"/>
          </w:tcPr>
          <w:p>
            <w:pPr>
              <w:spacing w:after="0" w:line="240" w:lineRule="auto"/>
            </w:pPr>
            <w:r>
              <w:rPr>
                <w:b w:val="0"/>
                <w:i w:val="0"/>
                <w:color w:val="27333B"/>
                <w:sz w:val="15"/>
              </w:rPr>
              <w:t>No routine customer browsing or software-signing authority.</w:t>
            </w:r>
          </w:p>
        </w:tc>
      </w:tr>
    </w:tbl>
    <w:p>
      <w:pPr>
        <w:spacing w:after="0"/>
      </w:pPr>
    </w:p>
    <w:p>
      <w:pPr>
        <w:pStyle w:val="Heading1"/>
        <w:keepNext/>
      </w:pPr>
      <w:r>
        <w:t>15. Cryptography and Secret Management</w:t>
      </w:r>
    </w:p>
    <w:p>
      <w:pPr>
        <w:pStyle w:val="Heading2"/>
        <w:keepNext/>
      </w:pPr>
      <w:r>
        <w:t>15.1 Transport and storage</w:t>
      </w:r>
    </w:p>
    <w:p>
      <w:pPr>
        <w:pStyle w:val="ListBullet"/>
      </w:pPr>
      <w:r>
        <w:t>All agent, dashboard, provider, and administrative communication must use current TLS configurations with certificate validation.</w:t>
      </w:r>
    </w:p>
    <w:p>
      <w:pPr>
        <w:pStyle w:val="ListBullet"/>
      </w:pPr>
      <w:r>
        <w:t>Sensitive cloud databases, backups, queues, and object storage must use provider-supported encryption at rest; application-level encryption should be evaluated for D4 or especially sensitive D3 fields.</w:t>
      </w:r>
    </w:p>
    <w:p>
      <w:pPr>
        <w:pStyle w:val="ListBullet"/>
      </w:pPr>
      <w:r>
        <w:t>The product must not design custom cryptographic algorithms or invent a proprietary key-exchange protocol.</w:t>
      </w:r>
    </w:p>
    <w:p>
      <w:pPr>
        <w:pStyle w:val="ListBullet"/>
      </w:pPr>
      <w:r>
        <w:t>Agent secret storage should use Windows DPAPI, Credential Manager, TPM-backed keys, or an equivalent reviewed mechanism appropriate to deployment.</w:t>
      </w:r>
    </w:p>
    <w:p>
      <w:pPr>
        <w:pStyle w:val="Heading2"/>
        <w:keepNext/>
      </w:pPr>
      <w:r>
        <w:t>15.2 Secret inventory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E6078"/>
            <w:tcMar>
              <w:top w:w="80" w:type="dxa"/>
              <w:start w:w="90" w:type="dxa"/>
              <w:bottom w:w="80" w:type="dxa"/>
              <w:end w:w="90" w:type="dxa"/>
            </w:tcMar>
          </w:tcPr>
          <w:p>
            <w:pPr>
              <w:spacing w:after="0"/>
              <w:jc w:val="left"/>
            </w:pPr>
            <w:r>
              <w:rPr>
                <w:b/>
                <w:i w:val="0"/>
                <w:color w:val="FFFFFF"/>
                <w:sz w:val="16"/>
              </w:rPr>
              <w:t>Secret</w:t>
            </w:r>
          </w:p>
        </w:tc>
        <w:tc>
          <w:tcPr>
            <w:tcW w:type="dxa" w:w="3960"/>
            <w:shd w:fill="2E6078"/>
            <w:tcMar>
              <w:top w:w="80" w:type="dxa"/>
              <w:start w:w="90" w:type="dxa"/>
              <w:bottom w:w="80" w:type="dxa"/>
              <w:end w:w="90" w:type="dxa"/>
            </w:tcMar>
          </w:tcPr>
          <w:p>
            <w:pPr>
              <w:spacing w:after="0"/>
              <w:jc w:val="left"/>
            </w:pPr>
            <w:r>
              <w:rPr>
                <w:b/>
                <w:i w:val="0"/>
                <w:color w:val="FFFFFF"/>
                <w:sz w:val="16"/>
              </w:rPr>
              <w:t>Preferred custody</w:t>
            </w:r>
          </w:p>
        </w:tc>
        <w:tc>
          <w:tcPr>
            <w:tcW w:type="dxa" w:w="3888"/>
            <w:shd w:fill="2E6078"/>
            <w:tcMar>
              <w:top w:w="80" w:type="dxa"/>
              <w:start w:w="90" w:type="dxa"/>
              <w:bottom w:w="80" w:type="dxa"/>
              <w:end w:w="90" w:type="dxa"/>
            </w:tcMar>
          </w:tcPr>
          <w:p>
            <w:pPr>
              <w:spacing w:after="0"/>
              <w:jc w:val="left"/>
            </w:pPr>
            <w:r>
              <w:rPr>
                <w:b/>
                <w:i w:val="0"/>
                <w:color w:val="FFFFFF"/>
                <w:sz w:val="16"/>
              </w:rPr>
              <w:t>Rotation / revocation expectation</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Agent enrollment token</w:t>
            </w:r>
          </w:p>
        </w:tc>
        <w:tc>
          <w:tcPr>
            <w:tcW w:type="dxa" w:w="3960"/>
            <w:tcMar>
              <w:top w:w="70" w:type="dxa"/>
              <w:start w:w="85" w:type="dxa"/>
              <w:bottom w:w="70" w:type="dxa"/>
              <w:end w:w="85" w:type="dxa"/>
            </w:tcMar>
            <w:vAlign w:val="top"/>
          </w:tcPr>
          <w:p>
            <w:pPr>
              <w:spacing w:after="0" w:line="240" w:lineRule="auto"/>
            </w:pPr>
            <w:r>
              <w:rPr>
                <w:b w:val="0"/>
                <w:i w:val="0"/>
                <w:color w:val="27333B"/>
                <w:sz w:val="15"/>
              </w:rPr>
              <w:t>Short-lived, one-time, cloud-generated.</w:t>
            </w:r>
          </w:p>
        </w:tc>
        <w:tc>
          <w:tcPr>
            <w:tcW w:type="dxa" w:w="3888"/>
            <w:tcMar>
              <w:top w:w="70" w:type="dxa"/>
              <w:start w:w="85" w:type="dxa"/>
              <w:bottom w:w="70" w:type="dxa"/>
              <w:end w:w="85" w:type="dxa"/>
            </w:tcMar>
            <w:vAlign w:val="top"/>
          </w:tcPr>
          <w:p>
            <w:pPr>
              <w:spacing w:after="0" w:line="240" w:lineRule="auto"/>
            </w:pPr>
            <w:r>
              <w:rPr>
                <w:b w:val="0"/>
                <w:i w:val="0"/>
                <w:color w:val="27333B"/>
                <w:sz w:val="15"/>
              </w:rPr>
              <w:t>Expires quickly; single use; no reuse across properties.</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5"/>
              </w:rPr>
              <w:t>Agent long-term credential</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OS-protected local store + server record/public key.</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Periodic or event-driven rotation; immediate revocation supported.</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Camera/DVR password</w:t>
            </w:r>
          </w:p>
        </w:tc>
        <w:tc>
          <w:tcPr>
            <w:tcW w:type="dxa" w:w="3960"/>
            <w:tcMar>
              <w:top w:w="70" w:type="dxa"/>
              <w:start w:w="85" w:type="dxa"/>
              <w:bottom w:w="70" w:type="dxa"/>
              <w:end w:w="85" w:type="dxa"/>
            </w:tcMar>
            <w:vAlign w:val="top"/>
          </w:tcPr>
          <w:p>
            <w:pPr>
              <w:spacing w:after="0" w:line="240" w:lineRule="auto"/>
            </w:pPr>
            <w:r>
              <w:rPr>
                <w:b w:val="0"/>
                <w:i w:val="0"/>
                <w:color w:val="27333B"/>
                <w:sz w:val="15"/>
              </w:rPr>
              <w:t>Local protected store only by default.</w:t>
            </w:r>
          </w:p>
        </w:tc>
        <w:tc>
          <w:tcPr>
            <w:tcW w:type="dxa" w:w="3888"/>
            <w:tcMar>
              <w:top w:w="70" w:type="dxa"/>
              <w:start w:w="85" w:type="dxa"/>
              <w:bottom w:w="70" w:type="dxa"/>
              <w:end w:w="85" w:type="dxa"/>
            </w:tcMar>
            <w:vAlign w:val="top"/>
          </w:tcPr>
          <w:p>
            <w:pPr>
              <w:spacing w:after="0" w:line="240" w:lineRule="auto"/>
            </w:pPr>
            <w:r>
              <w:rPr>
                <w:b w:val="0"/>
                <w:i w:val="0"/>
                <w:color w:val="27333B"/>
                <w:sz w:val="15"/>
              </w:rPr>
              <w:t>Customer-controlled; removable; never logged/exported.</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5"/>
              </w:rPr>
              <w:t>Database/service credentials</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Cloud workload identity or managed secret store.</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Automated short-lived credentials where possible.</w:t>
            </w:r>
          </w:p>
        </w:tc>
      </w:tr>
      <w:tr>
        <w:trPr>
          <w:cantSplit/>
        </w:trPr>
        <w:tc>
          <w:tcPr>
            <w:tcW w:type="dxa" w:w="2088"/>
            <w:tcMar>
              <w:top w:w="70" w:type="dxa"/>
              <w:start w:w="85" w:type="dxa"/>
              <w:bottom w:w="70" w:type="dxa"/>
              <w:end w:w="85" w:type="dxa"/>
            </w:tcMar>
            <w:vAlign w:val="top"/>
          </w:tcPr>
          <w:p>
            <w:pPr>
              <w:spacing w:after="0" w:line="240" w:lineRule="auto"/>
            </w:pPr>
            <w:r>
              <w:rPr>
                <w:b w:val="0"/>
                <w:i w:val="0"/>
                <w:color w:val="27333B"/>
                <w:sz w:val="15"/>
              </w:rPr>
              <w:t>SMS/email/push provider keys</w:t>
            </w:r>
          </w:p>
        </w:tc>
        <w:tc>
          <w:tcPr>
            <w:tcW w:type="dxa" w:w="3960"/>
            <w:tcMar>
              <w:top w:w="70" w:type="dxa"/>
              <w:start w:w="85" w:type="dxa"/>
              <w:bottom w:w="70" w:type="dxa"/>
              <w:end w:w="85" w:type="dxa"/>
            </w:tcMar>
            <w:vAlign w:val="top"/>
          </w:tcPr>
          <w:p>
            <w:pPr>
              <w:spacing w:after="0" w:line="240" w:lineRule="auto"/>
            </w:pPr>
            <w:r>
              <w:rPr>
                <w:b w:val="0"/>
                <w:i w:val="0"/>
                <w:color w:val="27333B"/>
                <w:sz w:val="15"/>
              </w:rPr>
              <w:t>Central secret manager, environment scoped.</w:t>
            </w:r>
          </w:p>
        </w:tc>
        <w:tc>
          <w:tcPr>
            <w:tcW w:type="dxa" w:w="3888"/>
            <w:tcMar>
              <w:top w:w="70" w:type="dxa"/>
              <w:start w:w="85" w:type="dxa"/>
              <w:bottom w:w="70" w:type="dxa"/>
              <w:end w:w="85" w:type="dxa"/>
            </w:tcMar>
            <w:vAlign w:val="top"/>
          </w:tcPr>
          <w:p>
            <w:pPr>
              <w:spacing w:after="0" w:line="240" w:lineRule="auto"/>
            </w:pPr>
            <w:r>
              <w:rPr>
                <w:b w:val="0"/>
                <w:i w:val="0"/>
                <w:color w:val="27333B"/>
                <w:sz w:val="15"/>
              </w:rPr>
              <w:t>Scheduled and incident-driven rotation; spending and anomaly alerts.</w:t>
            </w:r>
          </w:p>
        </w:tc>
      </w:tr>
      <w:tr>
        <w:trPr>
          <w:cantSplit/>
        </w:trPr>
        <w:tc>
          <w:tcPr>
            <w:tcW w:type="dxa" w:w="2088"/>
            <w:tcMar>
              <w:top w:w="70" w:type="dxa"/>
              <w:start w:w="85" w:type="dxa"/>
              <w:bottom w:w="70" w:type="dxa"/>
              <w:end w:w="85" w:type="dxa"/>
            </w:tcMar>
            <w:vAlign w:val="top"/>
            <w:shd w:fill="F5F7F8"/>
          </w:tcPr>
          <w:p>
            <w:pPr>
              <w:spacing w:after="0" w:line="240" w:lineRule="auto"/>
            </w:pPr>
            <w:r>
              <w:rPr>
                <w:b w:val="0"/>
                <w:i w:val="0"/>
                <w:color w:val="27333B"/>
                <w:sz w:val="15"/>
              </w:rPr>
              <w:t>Code-signing key</w:t>
            </w:r>
          </w:p>
        </w:tc>
        <w:tc>
          <w:tcPr>
            <w:tcW w:type="dxa" w:w="3960"/>
            <w:tcMar>
              <w:top w:w="70" w:type="dxa"/>
              <w:start w:w="85" w:type="dxa"/>
              <w:bottom w:w="70" w:type="dxa"/>
              <w:end w:w="85" w:type="dxa"/>
            </w:tcMar>
            <w:vAlign w:val="top"/>
            <w:shd w:fill="F5F7F8"/>
          </w:tcPr>
          <w:p>
            <w:pPr>
              <w:spacing w:after="0" w:line="240" w:lineRule="auto"/>
            </w:pPr>
            <w:r>
              <w:rPr>
                <w:b w:val="0"/>
                <w:i w:val="0"/>
                <w:color w:val="27333B"/>
                <w:sz w:val="15"/>
              </w:rPr>
              <w:t>HSM or strongly isolated signing service.</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Separate custody, auditable use, compromise playbook.</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SEC-070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Secrets MUST NOT be committed to source control, baked into images, printed in CI logs, or included in client applications.</w:t>
            </w:r>
          </w:p>
        </w:tc>
        <w:tc>
          <w:tcPr>
            <w:tcW w:type="dxa" w:w="1728"/>
            <w:tcMar>
              <w:top w:w="70" w:type="dxa"/>
              <w:start w:w="85" w:type="dxa"/>
              <w:bottom w:w="70" w:type="dxa"/>
              <w:end w:w="85" w:type="dxa"/>
            </w:tcMar>
            <w:vAlign w:val="top"/>
          </w:tcPr>
          <w:p>
            <w:pPr>
              <w:spacing w:after="0" w:line="240" w:lineRule="auto"/>
            </w:pPr>
            <w:r>
              <w:rPr>
                <w:b w:val="0"/>
                <w:i w:val="0"/>
                <w:color w:val="27333B"/>
                <w:sz w:val="15"/>
              </w:rPr>
              <w:t>Automated scanning</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SEC-071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Production and non-production secrets MUST be isolated.</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Environment review</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SEC-072</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Secret access MUST be individually attributable and logged for privileged operations.</w:t>
            </w:r>
          </w:p>
        </w:tc>
        <w:tc>
          <w:tcPr>
            <w:tcW w:type="dxa" w:w="1728"/>
            <w:tcMar>
              <w:top w:w="70" w:type="dxa"/>
              <w:start w:w="85" w:type="dxa"/>
              <w:bottom w:w="70" w:type="dxa"/>
              <w:end w:w="85" w:type="dxa"/>
            </w:tcMar>
            <w:vAlign w:val="top"/>
          </w:tcPr>
          <w:p>
            <w:pPr>
              <w:spacing w:after="0" w:line="240" w:lineRule="auto"/>
            </w:pPr>
            <w:r>
              <w:rPr>
                <w:b w:val="0"/>
                <w:i w:val="0"/>
                <w:color w:val="27333B"/>
                <w:sz w:val="15"/>
              </w:rPr>
              <w:t>Audit review</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SEC-073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Credential rotation MUST be tested as an operational procedure, not only documented.</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Rotation drill</w:t>
            </w:r>
          </w:p>
        </w:tc>
      </w:tr>
    </w:tbl>
    <w:p>
      <w:pPr>
        <w:spacing w:after="0"/>
      </w:pPr>
    </w:p>
    <w:p>
      <w:pPr>
        <w:pStyle w:val="Heading1"/>
        <w:keepNext/>
      </w:pPr>
      <w:r>
        <w:t>16. Logging, Detection, Audit, and Observability</w:t>
      </w:r>
    </w:p>
    <w:p>
      <w:pPr>
        <w:pStyle w:val="Heading2"/>
        <w:keepNext/>
      </w:pPr>
      <w:r>
        <w:t>16.1 Logging principles</w:t>
      </w:r>
    </w:p>
    <w:p>
      <w:pPr>
        <w:pStyle w:val="ListBullet"/>
      </w:pPr>
      <w:r>
        <w:t>Use structured logs with event type, correlation ID, tenant/property reference where appropriate, actor identity, result, and reason code.</w:t>
      </w:r>
    </w:p>
    <w:p>
      <w:pPr>
        <w:pStyle w:val="ListBullet"/>
      </w:pPr>
      <w:r>
        <w:t>Never log authentication tokens, passwords, camera URLs containing credentials, full payment data, or unrestricted request bodies.</w:t>
      </w:r>
    </w:p>
    <w:p>
      <w:pPr>
        <w:pStyle w:val="ListBullet"/>
      </w:pPr>
      <w:r>
        <w:t>Mask phone/email/public-IP data in routine logs and support views unless the exact value is necessary for a privileged task.</w:t>
      </w:r>
    </w:p>
    <w:p>
      <w:pPr>
        <w:pStyle w:val="ListBullet"/>
      </w:pPr>
      <w:r>
        <w:t>Synchronize system clocks and record both event occurrence time and ingestion time for replayed evidence.</w:t>
      </w:r>
    </w:p>
    <w:p>
      <w:pPr>
        <w:pStyle w:val="ListBullet"/>
      </w:pPr>
      <w:r>
        <w:t>Separate customer-visible incident evidence from internal security telemetry and operational debugging logs.</w:t>
      </w:r>
    </w:p>
    <w:p>
      <w:pPr>
        <w:pStyle w:val="Heading2"/>
        <w:keepNext/>
      </w:pPr>
      <w:r>
        <w:t>16.2 Security detections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Detection</w:t>
            </w:r>
          </w:p>
        </w:tc>
        <w:tc>
          <w:tcPr>
            <w:tcW w:type="dxa" w:w="3888"/>
            <w:shd w:fill="2E6078"/>
            <w:tcMar>
              <w:top w:w="80" w:type="dxa"/>
              <w:start w:w="90" w:type="dxa"/>
              <w:bottom w:w="80" w:type="dxa"/>
              <w:end w:w="90" w:type="dxa"/>
            </w:tcMar>
          </w:tcPr>
          <w:p>
            <w:pPr>
              <w:spacing w:after="0"/>
              <w:jc w:val="left"/>
            </w:pPr>
            <w:r>
              <w:rPr>
                <w:b/>
                <w:i w:val="0"/>
                <w:color w:val="FFFFFF"/>
                <w:sz w:val="16"/>
              </w:rPr>
              <w:t>Example trigger</w:t>
            </w:r>
          </w:p>
        </w:tc>
        <w:tc>
          <w:tcPr>
            <w:tcW w:type="dxa" w:w="3816"/>
            <w:shd w:fill="2E6078"/>
            <w:tcMar>
              <w:top w:w="80" w:type="dxa"/>
              <w:start w:w="90" w:type="dxa"/>
              <w:bottom w:w="80" w:type="dxa"/>
              <w:end w:w="90" w:type="dxa"/>
            </w:tcMar>
          </w:tcPr>
          <w:p>
            <w:pPr>
              <w:spacing w:after="0"/>
              <w:jc w:val="left"/>
            </w:pPr>
            <w:r>
              <w:rPr>
                <w:b/>
                <w:i w:val="0"/>
                <w:color w:val="FFFFFF"/>
                <w:sz w:val="16"/>
              </w:rPr>
              <w:t>Response</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Account takeover indicators</w:t>
            </w:r>
          </w:p>
        </w:tc>
        <w:tc>
          <w:tcPr>
            <w:tcW w:type="dxa" w:w="3888"/>
            <w:tcMar>
              <w:top w:w="70" w:type="dxa"/>
              <w:start w:w="85" w:type="dxa"/>
              <w:bottom w:w="70" w:type="dxa"/>
              <w:end w:w="85" w:type="dxa"/>
            </w:tcMar>
            <w:vAlign w:val="top"/>
          </w:tcPr>
          <w:p>
            <w:pPr>
              <w:spacing w:after="0" w:line="240" w:lineRule="auto"/>
            </w:pPr>
            <w:r>
              <w:rPr>
                <w:b w:val="0"/>
                <w:i w:val="0"/>
                <w:color w:val="27333B"/>
                <w:sz w:val="15"/>
              </w:rPr>
              <w:t>Impossible travel, repeated failed login, new device plus contact change, unusual export.</w:t>
            </w:r>
          </w:p>
        </w:tc>
        <w:tc>
          <w:tcPr>
            <w:tcW w:type="dxa" w:w="3816"/>
            <w:tcMar>
              <w:top w:w="70" w:type="dxa"/>
              <w:start w:w="85" w:type="dxa"/>
              <w:bottom w:w="70" w:type="dxa"/>
              <w:end w:w="85" w:type="dxa"/>
            </w:tcMar>
            <w:vAlign w:val="top"/>
          </w:tcPr>
          <w:p>
            <w:pPr>
              <w:spacing w:after="0" w:line="240" w:lineRule="auto"/>
            </w:pPr>
            <w:r>
              <w:rPr>
                <w:b w:val="0"/>
                <w:i w:val="0"/>
                <w:color w:val="27333B"/>
                <w:sz w:val="15"/>
              </w:rPr>
              <w:t>Step-up, session revocation, customer notice, investigation.</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Agent credential abuse</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One credential from implausible locations, unexpected version/capability, excessive events.</w:t>
            </w:r>
          </w:p>
        </w:tc>
        <w:tc>
          <w:tcPr>
            <w:tcW w:type="dxa" w:w="3816"/>
            <w:tcMar>
              <w:top w:w="70" w:type="dxa"/>
              <w:start w:w="85" w:type="dxa"/>
              <w:bottom w:w="70" w:type="dxa"/>
              <w:end w:w="85" w:type="dxa"/>
            </w:tcMar>
            <w:vAlign w:val="top"/>
            <w:shd w:fill="F5F7F8"/>
          </w:tcPr>
          <w:p>
            <w:pPr>
              <w:spacing w:after="0" w:line="240" w:lineRule="auto"/>
            </w:pPr>
            <w:r>
              <w:rPr>
                <w:b w:val="0"/>
                <w:i w:val="0"/>
                <w:color w:val="27333B"/>
                <w:sz w:val="15"/>
              </w:rPr>
              <w:t>Quarantine agent identity, preserve evidence, require re-enrollment.</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Cross-tenant access anomaly</w:t>
            </w:r>
          </w:p>
        </w:tc>
        <w:tc>
          <w:tcPr>
            <w:tcW w:type="dxa" w:w="3888"/>
            <w:tcMar>
              <w:top w:w="70" w:type="dxa"/>
              <w:start w:w="85" w:type="dxa"/>
              <w:bottom w:w="70" w:type="dxa"/>
              <w:end w:w="85" w:type="dxa"/>
            </w:tcMar>
            <w:vAlign w:val="top"/>
          </w:tcPr>
          <w:p>
            <w:pPr>
              <w:spacing w:after="0" w:line="240" w:lineRule="auto"/>
            </w:pPr>
            <w:r>
              <w:rPr>
                <w:b w:val="0"/>
                <w:i w:val="0"/>
                <w:color w:val="27333B"/>
                <w:sz w:val="15"/>
              </w:rPr>
              <w:t>Authorization denial spike or query returns mixed tenant IDs.</w:t>
            </w:r>
          </w:p>
        </w:tc>
        <w:tc>
          <w:tcPr>
            <w:tcW w:type="dxa" w:w="3816"/>
            <w:tcMar>
              <w:top w:w="70" w:type="dxa"/>
              <w:start w:w="85" w:type="dxa"/>
              <w:bottom w:w="70" w:type="dxa"/>
              <w:end w:w="85" w:type="dxa"/>
            </w:tcMar>
            <w:vAlign w:val="top"/>
          </w:tcPr>
          <w:p>
            <w:pPr>
              <w:spacing w:after="0" w:line="240" w:lineRule="auto"/>
            </w:pPr>
            <w:r>
              <w:rPr>
                <w:b w:val="0"/>
                <w:i w:val="0"/>
                <w:color w:val="27333B"/>
                <w:sz w:val="15"/>
              </w:rPr>
              <w:t>Page security/on-call; contain deployment; investigate as potential breach.</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Notification abuse</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Message volume spike, repeated destination enrollment, provider fraud signal.</w:t>
            </w:r>
          </w:p>
        </w:tc>
        <w:tc>
          <w:tcPr>
            <w:tcW w:type="dxa" w:w="3816"/>
            <w:tcMar>
              <w:top w:w="70" w:type="dxa"/>
              <w:start w:w="85" w:type="dxa"/>
              <w:bottom w:w="70" w:type="dxa"/>
              <w:end w:w="85" w:type="dxa"/>
            </w:tcMar>
            <w:vAlign w:val="top"/>
            <w:shd w:fill="F5F7F8"/>
          </w:tcPr>
          <w:p>
            <w:pPr>
              <w:spacing w:after="0" w:line="240" w:lineRule="auto"/>
            </w:pPr>
            <w:r>
              <w:rPr>
                <w:b w:val="0"/>
                <w:i w:val="0"/>
                <w:color w:val="27333B"/>
                <w:sz w:val="15"/>
              </w:rPr>
              <w:t>Throttle/disable destination or account; spending cap; review.</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Support/admin misuse</w:t>
            </w:r>
          </w:p>
        </w:tc>
        <w:tc>
          <w:tcPr>
            <w:tcW w:type="dxa" w:w="3888"/>
            <w:tcMar>
              <w:top w:w="70" w:type="dxa"/>
              <w:start w:w="85" w:type="dxa"/>
              <w:bottom w:w="70" w:type="dxa"/>
              <w:end w:w="85" w:type="dxa"/>
            </w:tcMar>
            <w:vAlign w:val="top"/>
          </w:tcPr>
          <w:p>
            <w:pPr>
              <w:spacing w:after="0" w:line="240" w:lineRule="auto"/>
            </w:pPr>
            <w:r>
              <w:rPr>
                <w:b w:val="0"/>
                <w:i w:val="0"/>
                <w:color w:val="27333B"/>
                <w:sz w:val="15"/>
              </w:rPr>
              <w:t>Unusual customer searches, bulk exports, off-hours elevation.</w:t>
            </w:r>
          </w:p>
        </w:tc>
        <w:tc>
          <w:tcPr>
            <w:tcW w:type="dxa" w:w="3816"/>
            <w:tcMar>
              <w:top w:w="70" w:type="dxa"/>
              <w:start w:w="85" w:type="dxa"/>
              <w:bottom w:w="70" w:type="dxa"/>
              <w:end w:w="85" w:type="dxa"/>
            </w:tcMar>
            <w:vAlign w:val="top"/>
          </w:tcPr>
          <w:p>
            <w:pPr>
              <w:spacing w:after="0" w:line="240" w:lineRule="auto"/>
            </w:pPr>
            <w:r>
              <w:rPr>
                <w:b w:val="0"/>
                <w:i w:val="0"/>
                <w:color w:val="27333B"/>
                <w:sz w:val="15"/>
              </w:rPr>
              <w:t>Revoke access, preserve audit, security review.</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Supply-chain anomaly</w:t>
            </w:r>
          </w:p>
        </w:tc>
        <w:tc>
          <w:tcPr>
            <w:tcW w:type="dxa" w:w="3888"/>
            <w:tcMar>
              <w:top w:w="70" w:type="dxa"/>
              <w:start w:w="85" w:type="dxa"/>
              <w:bottom w:w="70" w:type="dxa"/>
              <w:end w:w="85" w:type="dxa"/>
            </w:tcMar>
            <w:vAlign w:val="top"/>
            <w:shd w:fill="F5F7F8"/>
          </w:tcPr>
          <w:p>
            <w:pPr>
              <w:spacing w:after="0" w:line="240" w:lineRule="auto"/>
            </w:pPr>
            <w:r>
              <w:rPr>
                <w:b w:val="0"/>
                <w:i w:val="0"/>
                <w:color w:val="27333B"/>
                <w:sz w:val="15"/>
              </w:rPr>
              <w:t>Unexpected artifact hash, signing event, dependency change, runner behavior.</w:t>
            </w:r>
          </w:p>
        </w:tc>
        <w:tc>
          <w:tcPr>
            <w:tcW w:type="dxa" w:w="3816"/>
            <w:tcMar>
              <w:top w:w="70" w:type="dxa"/>
              <w:start w:w="85" w:type="dxa"/>
              <w:bottom w:w="70" w:type="dxa"/>
              <w:end w:w="85" w:type="dxa"/>
            </w:tcMar>
            <w:vAlign w:val="top"/>
            <w:shd w:fill="F5F7F8"/>
          </w:tcPr>
          <w:p>
            <w:pPr>
              <w:spacing w:after="0" w:line="240" w:lineRule="auto"/>
            </w:pPr>
            <w:r>
              <w:rPr>
                <w:b w:val="0"/>
                <w:i w:val="0"/>
                <w:color w:val="27333B"/>
                <w:sz w:val="15"/>
              </w:rPr>
              <w:t>Stop release; revoke artifact; rotate credentials; incident process.</w:t>
            </w:r>
          </w:p>
        </w:tc>
      </w:tr>
    </w:tbl>
    <w:p>
      <w:pPr>
        <w:spacing w:after="0"/>
      </w:pPr>
    </w:p>
    <w:p>
      <w:pPr>
        <w:pStyle w:val="Heading2"/>
        <w:keepNext/>
      </w:pPr>
      <w:r>
        <w:t>16.3 Audit events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2E6078"/>
            <w:tcMar>
              <w:top w:w="80" w:type="dxa"/>
              <w:start w:w="90" w:type="dxa"/>
              <w:bottom w:w="80" w:type="dxa"/>
              <w:end w:w="90" w:type="dxa"/>
            </w:tcMar>
          </w:tcPr>
          <w:p>
            <w:pPr>
              <w:spacing w:after="0"/>
              <w:jc w:val="left"/>
            </w:pPr>
            <w:r>
              <w:rPr>
                <w:b/>
                <w:i w:val="0"/>
                <w:color w:val="FFFFFF"/>
                <w:sz w:val="16"/>
              </w:rPr>
              <w:t>Event family</w:t>
            </w:r>
          </w:p>
        </w:tc>
        <w:tc>
          <w:tcPr>
            <w:tcW w:type="dxa" w:w="6984"/>
            <w:shd w:fill="2E6078"/>
            <w:tcMar>
              <w:top w:w="80" w:type="dxa"/>
              <w:start w:w="90" w:type="dxa"/>
              <w:bottom w:w="80" w:type="dxa"/>
              <w:end w:w="90" w:type="dxa"/>
            </w:tcMar>
          </w:tcPr>
          <w:p>
            <w:pPr>
              <w:spacing w:after="0"/>
              <w:jc w:val="left"/>
            </w:pPr>
            <w:r>
              <w:rPr>
                <w:b/>
                <w:i w:val="0"/>
                <w:color w:val="FFFFFF"/>
                <w:sz w:val="16"/>
              </w:rPr>
              <w:t>Minimum fields</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6"/>
              </w:rPr>
              <w:t>Authentication</w:t>
            </w:r>
          </w:p>
        </w:tc>
        <w:tc>
          <w:tcPr>
            <w:tcW w:type="dxa" w:w="6984"/>
            <w:tcMar>
              <w:top w:w="70" w:type="dxa"/>
              <w:start w:w="85" w:type="dxa"/>
              <w:bottom w:w="70" w:type="dxa"/>
              <w:end w:w="85" w:type="dxa"/>
            </w:tcMar>
            <w:vAlign w:val="top"/>
          </w:tcPr>
          <w:p>
            <w:pPr>
              <w:spacing w:after="0" w:line="240" w:lineRule="auto"/>
            </w:pPr>
            <w:r>
              <w:rPr>
                <w:b w:val="0"/>
                <w:i w:val="0"/>
                <w:color w:val="27333B"/>
                <w:sz w:val="16"/>
              </w:rPr>
              <w:t>Actor, method, result, session/device context, time, risk signal.</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6"/>
              </w:rPr>
              <w:t>Authorization-sensitive action</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6"/>
              </w:rPr>
              <w:t>Actor, organization/property, action, target, before/after summary, result, reason.</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6"/>
              </w:rPr>
              <w:t>Contact/consent change</w:t>
            </w:r>
          </w:p>
        </w:tc>
        <w:tc>
          <w:tcPr>
            <w:tcW w:type="dxa" w:w="6984"/>
            <w:tcMar>
              <w:top w:w="70" w:type="dxa"/>
              <w:start w:w="85" w:type="dxa"/>
              <w:bottom w:w="70" w:type="dxa"/>
              <w:end w:w="85" w:type="dxa"/>
            </w:tcMar>
            <w:vAlign w:val="top"/>
          </w:tcPr>
          <w:p>
            <w:pPr>
              <w:spacing w:after="0" w:line="240" w:lineRule="auto"/>
            </w:pPr>
            <w:r>
              <w:rPr>
                <w:b w:val="0"/>
                <w:i w:val="0"/>
                <w:color w:val="27333B"/>
                <w:sz w:val="16"/>
              </w:rPr>
              <w:t>Destination reference/masked value, verification state, consent version, actor, time.</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6"/>
              </w:rPr>
              <w:t>Monitoring suppression/config change</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6"/>
              </w:rPr>
              <w:t>Policy/target, old/new state, actor, channel, reason.</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6"/>
              </w:rPr>
              <w:t>Support/admin elevation</w:t>
            </w:r>
          </w:p>
        </w:tc>
        <w:tc>
          <w:tcPr>
            <w:tcW w:type="dxa" w:w="6984"/>
            <w:tcMar>
              <w:top w:w="70" w:type="dxa"/>
              <w:start w:w="85" w:type="dxa"/>
              <w:bottom w:w="70" w:type="dxa"/>
              <w:end w:w="85" w:type="dxa"/>
            </w:tcMar>
            <w:vAlign w:val="top"/>
          </w:tcPr>
          <w:p>
            <w:pPr>
              <w:spacing w:after="0" w:line="240" w:lineRule="auto"/>
            </w:pPr>
            <w:r>
              <w:rPr>
                <w:b w:val="0"/>
                <w:i w:val="0"/>
                <w:color w:val="27333B"/>
                <w:sz w:val="16"/>
              </w:rPr>
              <w:t>Requestor, approver if used, scope, purpose, start/end, actions performed.</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6"/>
              </w:rPr>
              <w:t>Agent lifecycle</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6"/>
              </w:rPr>
              <w:t>Enrollment, assignment, credential rotation, revocation, version, uninstall/stop when observed.</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6"/>
              </w:rPr>
              <w:t>Release lifecycle</w:t>
            </w:r>
          </w:p>
        </w:tc>
        <w:tc>
          <w:tcPr>
            <w:tcW w:type="dxa" w:w="6984"/>
            <w:tcMar>
              <w:top w:w="70" w:type="dxa"/>
              <w:start w:w="85" w:type="dxa"/>
              <w:bottom w:w="70" w:type="dxa"/>
              <w:end w:w="85" w:type="dxa"/>
            </w:tcMar>
            <w:vAlign w:val="top"/>
          </w:tcPr>
          <w:p>
            <w:pPr>
              <w:spacing w:after="0" w:line="240" w:lineRule="auto"/>
            </w:pPr>
            <w:r>
              <w:rPr>
                <w:b w:val="0"/>
                <w:i w:val="0"/>
                <w:color w:val="27333B"/>
                <w:sz w:val="16"/>
              </w:rPr>
              <w:t>Commit/build, artifact hashes, approvals, signer, rollout cohort, pause/rollback.</w:t>
            </w:r>
          </w:p>
        </w:tc>
      </w:tr>
    </w:tbl>
    <w:p>
      <w:pPr>
        <w:spacing w:after="0"/>
      </w:pPr>
    </w:p>
    <w:p>
      <w:pPr>
        <w:pStyle w:val="Heading1"/>
        <w:keepNext/>
      </w:pPr>
      <w:r>
        <w:t>17. Secure Development Lifecycle</w:t>
      </w:r>
    </w:p>
    <w:p>
      <w:pPr>
        <w:pStyle w:val="Heading2"/>
        <w:keepNext/>
      </w:pPr>
      <w:r>
        <w:t>17.1 Engineering controls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SEC-080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Code changes to authentication, authorization, crypto, update, billing, notifications, and data deletion MUST receive review by an appropriately qualified second person.</w:t>
            </w:r>
          </w:p>
        </w:tc>
        <w:tc>
          <w:tcPr>
            <w:tcW w:type="dxa" w:w="1728"/>
            <w:tcMar>
              <w:top w:w="70" w:type="dxa"/>
              <w:start w:w="85" w:type="dxa"/>
              <w:bottom w:w="70" w:type="dxa"/>
              <w:end w:w="85" w:type="dxa"/>
            </w:tcMar>
            <w:vAlign w:val="top"/>
          </w:tcPr>
          <w:p>
            <w:pPr>
              <w:spacing w:after="0" w:line="240" w:lineRule="auto"/>
            </w:pPr>
            <w:r>
              <w:rPr>
                <w:b w:val="0"/>
                <w:i w:val="0"/>
                <w:color w:val="27333B"/>
                <w:sz w:val="15"/>
              </w:rPr>
              <w:t>Repository policy</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SEC-081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Automated tests MUST include cross-tenant negative authorization, idempotency, replay, and malformed-input cases.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CI gate</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SEC-082</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Static analysis, dependency scanning, secret scanning, and artifact vulnerability scanning MUST run in CI.</w:t>
            </w:r>
          </w:p>
        </w:tc>
        <w:tc>
          <w:tcPr>
            <w:tcW w:type="dxa" w:w="1728"/>
            <w:tcMar>
              <w:top w:w="70" w:type="dxa"/>
              <w:start w:w="85" w:type="dxa"/>
              <w:bottom w:w="70" w:type="dxa"/>
              <w:end w:w="85" w:type="dxa"/>
            </w:tcMar>
            <w:vAlign w:val="top"/>
          </w:tcPr>
          <w:p>
            <w:pPr>
              <w:spacing w:after="0" w:line="240" w:lineRule="auto"/>
            </w:pPr>
            <w:r>
              <w:rPr>
                <w:b w:val="0"/>
                <w:i w:val="0"/>
                <w:color w:val="27333B"/>
                <w:sz w:val="15"/>
              </w:rPr>
              <w:t>CI evidence</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SEC-083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Critical parsers and network-response handlers SHOULD receive fuzz or property-based testing.</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Test report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SEC-084</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Production infrastructure MUST be defined as code and reviewed; console-only drift SHOULD be detected.</w:t>
            </w:r>
          </w:p>
        </w:tc>
        <w:tc>
          <w:tcPr>
            <w:tcW w:type="dxa" w:w="1728"/>
            <w:tcMar>
              <w:top w:w="70" w:type="dxa"/>
              <w:start w:w="85" w:type="dxa"/>
              <w:bottom w:w="70" w:type="dxa"/>
              <w:end w:w="85" w:type="dxa"/>
            </w:tcMar>
            <w:vAlign w:val="top"/>
          </w:tcPr>
          <w:p>
            <w:pPr>
              <w:spacing w:after="0" w:line="240" w:lineRule="auto"/>
            </w:pPr>
            <w:r>
              <w:rPr>
                <w:b w:val="0"/>
                <w:i w:val="0"/>
                <w:color w:val="27333B"/>
                <w:sz w:val="15"/>
              </w:rPr>
              <w:t>Drift report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SEC-085</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Security acceptance criteria MUST trace to backlog items and release gates.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Traceability review</w:t>
            </w:r>
          </w:p>
        </w:tc>
      </w:tr>
    </w:tbl>
    <w:p>
      <w:pPr>
        <w:spacing w:after="0"/>
      </w:pPr>
    </w:p>
    <w:p>
      <w:pPr>
        <w:pStyle w:val="Heading2"/>
        <w:keepNext/>
      </w:pPr>
      <w:r>
        <w:t>17.2 Environment separation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2E6078"/>
            <w:tcMar>
              <w:top w:w="80" w:type="dxa"/>
              <w:start w:w="90" w:type="dxa"/>
              <w:bottom w:w="80" w:type="dxa"/>
              <w:end w:w="90" w:type="dxa"/>
            </w:tcMar>
          </w:tcPr>
          <w:p>
            <w:pPr>
              <w:spacing w:after="0"/>
              <w:jc w:val="left"/>
            </w:pPr>
            <w:r>
              <w:rPr>
                <w:b/>
                <w:i w:val="0"/>
                <w:color w:val="FFFFFF"/>
                <w:sz w:val="16"/>
              </w:rPr>
              <w:t>Environment</w:t>
            </w:r>
          </w:p>
        </w:tc>
        <w:tc>
          <w:tcPr>
            <w:tcW w:type="dxa" w:w="8064"/>
            <w:shd w:fill="2E6078"/>
            <w:tcMar>
              <w:top w:w="80" w:type="dxa"/>
              <w:start w:w="90" w:type="dxa"/>
              <w:bottom w:w="80" w:type="dxa"/>
              <w:end w:w="90" w:type="dxa"/>
            </w:tcMar>
          </w:tcPr>
          <w:p>
            <w:pPr>
              <w:spacing w:after="0"/>
              <w:jc w:val="left"/>
            </w:pPr>
            <w:r>
              <w:rPr>
                <w:b/>
                <w:i w:val="0"/>
                <w:color w:val="FFFFFF"/>
                <w:sz w:val="16"/>
              </w:rPr>
              <w:t>Data and access rule</w:t>
            </w:r>
          </w:p>
        </w:tc>
      </w:tr>
      <w:tr>
        <w:trPr>
          <w:cantSplit/>
        </w:trPr>
        <w:tc>
          <w:tcPr>
            <w:tcW w:type="dxa" w:w="1872"/>
            <w:tcMar>
              <w:top w:w="70" w:type="dxa"/>
              <w:start w:w="85" w:type="dxa"/>
              <w:bottom w:w="70" w:type="dxa"/>
              <w:end w:w="85" w:type="dxa"/>
            </w:tcMar>
            <w:vAlign w:val="top"/>
          </w:tcPr>
          <w:p>
            <w:pPr>
              <w:spacing w:after="0" w:line="240" w:lineRule="auto"/>
            </w:pPr>
            <w:r>
              <w:rPr>
                <w:b w:val="0"/>
                <w:i w:val="0"/>
                <w:color w:val="27333B"/>
                <w:sz w:val="16"/>
              </w:rPr>
              <w:t>Developer local</w:t>
            </w:r>
          </w:p>
        </w:tc>
        <w:tc>
          <w:tcPr>
            <w:tcW w:type="dxa" w:w="8064"/>
            <w:tcMar>
              <w:top w:w="70" w:type="dxa"/>
              <w:start w:w="85" w:type="dxa"/>
              <w:bottom w:w="70" w:type="dxa"/>
              <w:end w:w="85" w:type="dxa"/>
            </w:tcMar>
            <w:vAlign w:val="top"/>
          </w:tcPr>
          <w:p>
            <w:pPr>
              <w:spacing w:after="0" w:line="240" w:lineRule="auto"/>
            </w:pPr>
            <w:r>
              <w:rPr>
                <w:b w:val="0"/>
                <w:i w:val="0"/>
                <w:color w:val="27333B"/>
                <w:sz w:val="16"/>
              </w:rPr>
              <w:t>Synthetic data; no production secrets; limited test-provider credentials.</w:t>
            </w:r>
          </w:p>
        </w:tc>
      </w:tr>
      <w:tr>
        <w:trPr>
          <w:cantSplit/>
        </w:trPr>
        <w:tc>
          <w:tcPr>
            <w:tcW w:type="dxa" w:w="1872"/>
            <w:tcMar>
              <w:top w:w="70" w:type="dxa"/>
              <w:start w:w="85" w:type="dxa"/>
              <w:bottom w:w="70" w:type="dxa"/>
              <w:end w:w="85" w:type="dxa"/>
            </w:tcMar>
            <w:vAlign w:val="top"/>
            <w:shd w:fill="F5F7F8"/>
          </w:tcPr>
          <w:p>
            <w:pPr>
              <w:spacing w:after="0" w:line="240" w:lineRule="auto"/>
            </w:pPr>
            <w:r>
              <w:rPr>
                <w:b w:val="0"/>
                <w:i w:val="0"/>
                <w:color w:val="27333B"/>
                <w:sz w:val="16"/>
              </w:rPr>
              <w:t>Automated test</w:t>
            </w:r>
          </w:p>
        </w:tc>
        <w:tc>
          <w:tcPr>
            <w:tcW w:type="dxa" w:w="8064"/>
            <w:tcMar>
              <w:top w:w="70" w:type="dxa"/>
              <w:start w:w="85" w:type="dxa"/>
              <w:bottom w:w="70" w:type="dxa"/>
              <w:end w:w="85" w:type="dxa"/>
            </w:tcMar>
            <w:vAlign w:val="top"/>
            <w:shd w:fill="F5F7F8"/>
          </w:tcPr>
          <w:p>
            <w:pPr>
              <w:spacing w:after="0" w:line="240" w:lineRule="auto"/>
            </w:pPr>
            <w:r>
              <w:rPr>
                <w:b w:val="0"/>
                <w:i w:val="0"/>
                <w:color w:val="27333B"/>
                <w:sz w:val="16"/>
              </w:rPr>
              <w:t>Ephemeral/synthetic tenants; isolated credentials; destructive tests allowed.</w:t>
            </w:r>
          </w:p>
        </w:tc>
      </w:tr>
      <w:tr>
        <w:trPr>
          <w:cantSplit/>
        </w:trPr>
        <w:tc>
          <w:tcPr>
            <w:tcW w:type="dxa" w:w="1872"/>
            <w:tcMar>
              <w:top w:w="70" w:type="dxa"/>
              <w:start w:w="85" w:type="dxa"/>
              <w:bottom w:w="70" w:type="dxa"/>
              <w:end w:w="85" w:type="dxa"/>
            </w:tcMar>
            <w:vAlign w:val="top"/>
          </w:tcPr>
          <w:p>
            <w:pPr>
              <w:spacing w:after="0" w:line="240" w:lineRule="auto"/>
            </w:pPr>
            <w:r>
              <w:rPr>
                <w:b w:val="0"/>
                <w:i w:val="0"/>
                <w:color w:val="27333B"/>
                <w:sz w:val="16"/>
              </w:rPr>
              <w:t>Staging</w:t>
            </w:r>
          </w:p>
        </w:tc>
        <w:tc>
          <w:tcPr>
            <w:tcW w:type="dxa" w:w="8064"/>
            <w:tcMar>
              <w:top w:w="70" w:type="dxa"/>
              <w:start w:w="85" w:type="dxa"/>
              <w:bottom w:w="70" w:type="dxa"/>
              <w:end w:w="85" w:type="dxa"/>
            </w:tcMar>
            <w:vAlign w:val="top"/>
          </w:tcPr>
          <w:p>
            <w:pPr>
              <w:spacing w:after="0" w:line="240" w:lineRule="auto"/>
            </w:pPr>
            <w:r>
              <w:rPr>
                <w:b w:val="0"/>
                <w:i w:val="0"/>
                <w:color w:val="27333B"/>
                <w:sz w:val="16"/>
              </w:rPr>
              <w:t>Production-like configuration with synthetic or expressly approved test data; separate providers/accounts.</w:t>
            </w:r>
          </w:p>
        </w:tc>
      </w:tr>
      <w:tr>
        <w:trPr>
          <w:cantSplit/>
        </w:trPr>
        <w:tc>
          <w:tcPr>
            <w:tcW w:type="dxa" w:w="1872"/>
            <w:tcMar>
              <w:top w:w="70" w:type="dxa"/>
              <w:start w:w="85" w:type="dxa"/>
              <w:bottom w:w="70" w:type="dxa"/>
              <w:end w:w="85" w:type="dxa"/>
            </w:tcMar>
            <w:vAlign w:val="top"/>
            <w:shd w:fill="F5F7F8"/>
          </w:tcPr>
          <w:p>
            <w:pPr>
              <w:spacing w:after="0" w:line="240" w:lineRule="auto"/>
            </w:pPr>
            <w:r>
              <w:rPr>
                <w:b w:val="0"/>
                <w:i w:val="0"/>
                <w:color w:val="27333B"/>
                <w:sz w:val="16"/>
              </w:rPr>
              <w:t>Production</w:t>
            </w:r>
          </w:p>
        </w:tc>
        <w:tc>
          <w:tcPr>
            <w:tcW w:type="dxa" w:w="8064"/>
            <w:tcMar>
              <w:top w:w="70" w:type="dxa"/>
              <w:start w:w="85" w:type="dxa"/>
              <w:bottom w:w="70" w:type="dxa"/>
              <w:end w:w="85" w:type="dxa"/>
            </w:tcMar>
            <w:vAlign w:val="top"/>
            <w:shd w:fill="F5F7F8"/>
          </w:tcPr>
          <w:p>
            <w:pPr>
              <w:spacing w:after="0" w:line="240" w:lineRule="auto"/>
            </w:pPr>
            <w:r>
              <w:rPr>
                <w:b w:val="0"/>
                <w:i w:val="0"/>
                <w:color w:val="27333B"/>
                <w:sz w:val="16"/>
              </w:rPr>
              <w:t>Least-privilege access, MFA, change control, audit, protected data, and controlled break-glass.</w:t>
            </w:r>
          </w:p>
        </w:tc>
      </w:tr>
    </w:tbl>
    <w:p>
      <w:pPr>
        <w:spacing w:after="0"/>
      </w:pPr>
    </w:p>
    <w:p>
      <w:pPr>
        <w:pStyle w:val="Heading2"/>
        <w:keepNext/>
      </w:pPr>
      <w:r>
        <w:t>17.3 Vulnerability management</w:t>
      </w:r>
    </w:p>
    <w:p>
      <w:pPr>
        <w:pStyle w:val="ListBullet"/>
      </w:pPr>
      <w:r>
        <w:t>Maintain an inventory of components, versions, images, dependencies, and externally reachable services.</w:t>
      </w:r>
    </w:p>
    <w:p>
      <w:pPr>
        <w:pStyle w:val="ListBullet"/>
      </w:pPr>
      <w:r>
        <w:t>Define remediation targets by severity and exploitability, with an exception workflow and owner.</w:t>
      </w:r>
    </w:p>
    <w:p>
      <w:pPr>
        <w:pStyle w:val="ListBullet"/>
      </w:pPr>
      <w:r>
        <w:t>Provide a security contact and coordinated vulnerability disclosure channel before public launch.</w:t>
      </w:r>
    </w:p>
    <w:p>
      <w:pPr>
        <w:pStyle w:val="ListBullet"/>
      </w:pPr>
      <w:r>
        <w:t>Distinguish vulnerability reports from customer outages; preserve reporter confidentiality and respond consistently.</w:t>
      </w:r>
    </w:p>
    <w:p>
      <w:pPr>
        <w:pStyle w:val="ListBullet"/>
      </w:pPr>
      <w:r>
        <w:t>Evaluate whether a public bug bounty is appropriate only after triage and remediation capacity exists.</w:t>
      </w:r>
    </w:p>
    <w:p>
      <w:pPr>
        <w:pStyle w:val="Heading1"/>
        <w:keepNext/>
      </w:pPr>
      <w:r>
        <w:t>18. Security Incident Response</w:t>
      </w:r>
    </w:p>
    <w:p>
      <w:pPr>
        <w:spacing w:after="80"/>
        <w:jc w:val="center"/>
      </w:pPr>
      <w:r>
        <w:drawing>
          <wp:inline xmlns:a="http://schemas.openxmlformats.org/drawingml/2006/main" xmlns:pic="http://schemas.openxmlformats.org/drawingml/2006/picture">
            <wp:extent cx="6263640" cy="2988215"/>
            <wp:docPr id="4" name="Picture 4"/>
            <wp:cNvGraphicFramePr>
              <a:graphicFrameLocks noChangeAspect="1"/>
            </wp:cNvGraphicFramePr>
            <a:graphic>
              <a:graphicData uri="http://schemas.openxmlformats.org/drawingml/2006/picture">
                <pic:pic>
                  <pic:nvPicPr>
                    <pic:cNvPr id="0" name="incident_response_cycle.png"/>
                    <pic:cNvPicPr/>
                  </pic:nvPicPr>
                  <pic:blipFill>
                    <a:blip r:embed="rId17"/>
                    <a:stretch>
                      <a:fillRect/>
                    </a:stretch>
                  </pic:blipFill>
                  <pic:spPr>
                    <a:xfrm>
                      <a:off x="0" y="0"/>
                      <a:ext cx="6263640" cy="2988215"/>
                    </a:xfrm>
                    <a:prstGeom prst="rect"/>
                  </pic:spPr>
                </pic:pic>
              </a:graphicData>
            </a:graphic>
          </wp:inline>
        </w:drawing>
      </w:r>
    </w:p>
    <w:p>
      <w:pPr>
        <w:pStyle w:val="Caption"/>
        <w:spacing w:after="160"/>
        <w:jc w:val="center"/>
      </w:pPr>
      <w:r>
        <w:t>Figure 4. Security incident response cycle centered on preserving customer trust and evidence.</w:t>
      </w:r>
    </w:p>
    <w:p>
      <w:pPr>
        <w:pStyle w:val="Heading2"/>
        <w:keepNext/>
      </w:pPr>
      <w:r>
        <w:t>18.1 Severity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2E6078"/>
            <w:tcMar>
              <w:top w:w="80" w:type="dxa"/>
              <w:start w:w="90" w:type="dxa"/>
              <w:bottom w:w="80" w:type="dxa"/>
              <w:end w:w="90" w:type="dxa"/>
            </w:tcMar>
          </w:tcPr>
          <w:p>
            <w:pPr>
              <w:spacing w:after="0"/>
              <w:jc w:val="left"/>
            </w:pPr>
            <w:r>
              <w:rPr>
                <w:b/>
                <w:i w:val="0"/>
                <w:color w:val="FFFFFF"/>
                <w:sz w:val="16"/>
              </w:rPr>
              <w:t>Severity</w:t>
            </w:r>
          </w:p>
        </w:tc>
        <w:tc>
          <w:tcPr>
            <w:tcW w:type="dxa" w:w="4752"/>
            <w:shd w:fill="2E6078"/>
            <w:tcMar>
              <w:top w:w="80" w:type="dxa"/>
              <w:start w:w="90" w:type="dxa"/>
              <w:bottom w:w="80" w:type="dxa"/>
              <w:end w:w="90" w:type="dxa"/>
            </w:tcMar>
          </w:tcPr>
          <w:p>
            <w:pPr>
              <w:spacing w:after="0"/>
              <w:jc w:val="left"/>
            </w:pPr>
            <w:r>
              <w:rPr>
                <w:b/>
                <w:i w:val="0"/>
                <w:color w:val="FFFFFF"/>
                <w:sz w:val="16"/>
              </w:rPr>
              <w:t>Example</w:t>
            </w:r>
          </w:p>
        </w:tc>
        <w:tc>
          <w:tcPr>
            <w:tcW w:type="dxa" w:w="4320"/>
            <w:shd w:fill="2E6078"/>
            <w:tcMar>
              <w:top w:w="80" w:type="dxa"/>
              <w:start w:w="90" w:type="dxa"/>
              <w:bottom w:w="80" w:type="dxa"/>
              <w:end w:w="90" w:type="dxa"/>
            </w:tcMar>
          </w:tcPr>
          <w:p>
            <w:pPr>
              <w:spacing w:after="0"/>
              <w:jc w:val="left"/>
            </w:pPr>
            <w:r>
              <w:rPr>
                <w:b/>
                <w:i w:val="0"/>
                <w:color w:val="FFFFFF"/>
                <w:sz w:val="16"/>
              </w:rPr>
              <w:t>Target posture</w:t>
            </w:r>
          </w:p>
        </w:tc>
      </w:tr>
      <w:tr>
        <w:trPr>
          <w:cantSplit/>
        </w:trPr>
        <w:tc>
          <w:tcPr>
            <w:tcW w:type="dxa" w:w="1512"/>
            <w:tcMar>
              <w:top w:w="70" w:type="dxa"/>
              <w:start w:w="85" w:type="dxa"/>
              <w:bottom w:w="70" w:type="dxa"/>
              <w:end w:w="85" w:type="dxa"/>
            </w:tcMar>
            <w:vAlign w:val="top"/>
          </w:tcPr>
          <w:p>
            <w:pPr>
              <w:spacing w:after="0" w:line="240" w:lineRule="auto"/>
            </w:pPr>
            <w:r>
              <w:rPr>
                <w:b w:val="0"/>
                <w:i w:val="0"/>
                <w:color w:val="27333B"/>
                <w:sz w:val="15"/>
              </w:rPr>
              <w:t>SEV-1 Critical</w:t>
            </w:r>
          </w:p>
        </w:tc>
        <w:tc>
          <w:tcPr>
            <w:tcW w:type="dxa" w:w="4752"/>
            <w:tcMar>
              <w:top w:w="70" w:type="dxa"/>
              <w:start w:w="85" w:type="dxa"/>
              <w:bottom w:w="70" w:type="dxa"/>
              <w:end w:w="85" w:type="dxa"/>
            </w:tcMar>
            <w:vAlign w:val="top"/>
          </w:tcPr>
          <w:p>
            <w:pPr>
              <w:spacing w:after="0" w:line="240" w:lineRule="auto"/>
            </w:pPr>
            <w:r>
              <w:rPr>
                <w:b w:val="0"/>
                <w:i w:val="0"/>
                <w:color w:val="27333B"/>
                <w:sz w:val="15"/>
              </w:rPr>
              <w:t>Confirmed or likely multi-tenant exposure; signing-key compromise; malicious production deployment; widespread authentication bypass.</w:t>
            </w:r>
          </w:p>
        </w:tc>
        <w:tc>
          <w:tcPr>
            <w:tcW w:type="dxa" w:w="4320"/>
            <w:tcMar>
              <w:top w:w="70" w:type="dxa"/>
              <w:start w:w="85" w:type="dxa"/>
              <w:bottom w:w="70" w:type="dxa"/>
              <w:end w:w="85" w:type="dxa"/>
            </w:tcMar>
            <w:vAlign w:val="top"/>
          </w:tcPr>
          <w:p>
            <w:pPr>
              <w:spacing w:after="0" w:line="240" w:lineRule="auto"/>
            </w:pPr>
            <w:r>
              <w:rPr>
                <w:b w:val="0"/>
                <w:i w:val="0"/>
                <w:color w:val="27333B"/>
                <w:sz w:val="15"/>
              </w:rPr>
              <w:t>Immediate executive/security ownership, containment, preserve evidence, customer/legal assessment, continuous response.</w:t>
            </w:r>
          </w:p>
        </w:tc>
      </w:tr>
      <w:tr>
        <w:trPr>
          <w:cantSplit/>
        </w:trPr>
        <w:tc>
          <w:tcPr>
            <w:tcW w:type="dxa" w:w="1512"/>
            <w:tcMar>
              <w:top w:w="70" w:type="dxa"/>
              <w:start w:w="85" w:type="dxa"/>
              <w:bottom w:w="70" w:type="dxa"/>
              <w:end w:w="85" w:type="dxa"/>
            </w:tcMar>
            <w:vAlign w:val="top"/>
            <w:shd w:fill="F5F7F8"/>
          </w:tcPr>
          <w:p>
            <w:pPr>
              <w:spacing w:after="0" w:line="240" w:lineRule="auto"/>
            </w:pPr>
            <w:r>
              <w:rPr>
                <w:b w:val="0"/>
                <w:i w:val="0"/>
                <w:color w:val="27333B"/>
                <w:sz w:val="15"/>
              </w:rPr>
              <w:t>SEV-2 High</w:t>
            </w:r>
          </w:p>
        </w:tc>
        <w:tc>
          <w:tcPr>
            <w:tcW w:type="dxa" w:w="4752"/>
            <w:tcMar>
              <w:top w:w="70" w:type="dxa"/>
              <w:start w:w="85" w:type="dxa"/>
              <w:bottom w:w="70" w:type="dxa"/>
              <w:end w:w="85" w:type="dxa"/>
            </w:tcMar>
            <w:vAlign w:val="top"/>
            <w:shd w:fill="F5F7F8"/>
          </w:tcPr>
          <w:p>
            <w:pPr>
              <w:spacing w:after="0" w:line="240" w:lineRule="auto"/>
            </w:pPr>
            <w:r>
              <w:rPr>
                <w:b w:val="0"/>
                <w:i w:val="0"/>
                <w:color w:val="27333B"/>
                <w:sz w:val="15"/>
              </w:rPr>
              <w:t>Single-tenant sensitive data exposure; privileged account compromise; provider credential abuse; sustained notification suppression.</w:t>
            </w:r>
          </w:p>
        </w:tc>
        <w:tc>
          <w:tcPr>
            <w:tcW w:type="dxa" w:w="4320"/>
            <w:tcMar>
              <w:top w:w="70" w:type="dxa"/>
              <w:start w:w="85" w:type="dxa"/>
              <w:bottom w:w="70" w:type="dxa"/>
              <w:end w:w="85" w:type="dxa"/>
            </w:tcMar>
            <w:vAlign w:val="top"/>
            <w:shd w:fill="F5F7F8"/>
          </w:tcPr>
          <w:p>
            <w:pPr>
              <w:spacing w:after="0" w:line="240" w:lineRule="auto"/>
            </w:pPr>
            <w:r>
              <w:rPr>
                <w:b w:val="0"/>
                <w:i w:val="0"/>
                <w:color w:val="27333B"/>
                <w:sz w:val="15"/>
              </w:rPr>
              <w:t>Rapid on-call response, contain affected identities/services, assess notice, root cause and corrective action.</w:t>
            </w:r>
          </w:p>
        </w:tc>
      </w:tr>
      <w:tr>
        <w:trPr>
          <w:cantSplit/>
        </w:trPr>
        <w:tc>
          <w:tcPr>
            <w:tcW w:type="dxa" w:w="1512"/>
            <w:tcMar>
              <w:top w:w="70" w:type="dxa"/>
              <w:start w:w="85" w:type="dxa"/>
              <w:bottom w:w="70" w:type="dxa"/>
              <w:end w:w="85" w:type="dxa"/>
            </w:tcMar>
            <w:vAlign w:val="top"/>
          </w:tcPr>
          <w:p>
            <w:pPr>
              <w:spacing w:after="0" w:line="240" w:lineRule="auto"/>
            </w:pPr>
            <w:r>
              <w:rPr>
                <w:b w:val="0"/>
                <w:i w:val="0"/>
                <w:color w:val="27333B"/>
                <w:sz w:val="15"/>
              </w:rPr>
              <w:t>SEV-3 Medium</w:t>
            </w:r>
          </w:p>
        </w:tc>
        <w:tc>
          <w:tcPr>
            <w:tcW w:type="dxa" w:w="4752"/>
            <w:tcMar>
              <w:top w:w="70" w:type="dxa"/>
              <w:start w:w="85" w:type="dxa"/>
              <w:bottom w:w="70" w:type="dxa"/>
              <w:end w:w="85" w:type="dxa"/>
            </w:tcMar>
            <w:vAlign w:val="top"/>
          </w:tcPr>
          <w:p>
            <w:pPr>
              <w:spacing w:after="0" w:line="240" w:lineRule="auto"/>
            </w:pPr>
            <w:r>
              <w:rPr>
                <w:b w:val="0"/>
                <w:i w:val="0"/>
                <w:color w:val="27333B"/>
                <w:sz w:val="15"/>
              </w:rPr>
              <w:t>Limited vulnerability with controls, suspicious access, localized availability/security degradation.</w:t>
            </w:r>
          </w:p>
        </w:tc>
        <w:tc>
          <w:tcPr>
            <w:tcW w:type="dxa" w:w="4320"/>
            <w:tcMar>
              <w:top w:w="70" w:type="dxa"/>
              <w:start w:w="85" w:type="dxa"/>
              <w:bottom w:w="70" w:type="dxa"/>
              <w:end w:w="85" w:type="dxa"/>
            </w:tcMar>
            <w:vAlign w:val="top"/>
          </w:tcPr>
          <w:p>
            <w:pPr>
              <w:spacing w:after="0" w:line="240" w:lineRule="auto"/>
            </w:pPr>
            <w:r>
              <w:rPr>
                <w:b w:val="0"/>
                <w:i w:val="0"/>
                <w:color w:val="27333B"/>
                <w:sz w:val="15"/>
              </w:rPr>
              <w:t>Triage, mitigation plan, monitor, document.</w:t>
            </w:r>
          </w:p>
        </w:tc>
      </w:tr>
      <w:tr>
        <w:trPr>
          <w:cantSplit/>
        </w:trPr>
        <w:tc>
          <w:tcPr>
            <w:tcW w:type="dxa" w:w="1512"/>
            <w:tcMar>
              <w:top w:w="70" w:type="dxa"/>
              <w:start w:w="85" w:type="dxa"/>
              <w:bottom w:w="70" w:type="dxa"/>
              <w:end w:w="85" w:type="dxa"/>
            </w:tcMar>
            <w:vAlign w:val="top"/>
            <w:shd w:fill="F5F7F8"/>
          </w:tcPr>
          <w:p>
            <w:pPr>
              <w:spacing w:after="0" w:line="240" w:lineRule="auto"/>
            </w:pPr>
            <w:r>
              <w:rPr>
                <w:b w:val="0"/>
                <w:i w:val="0"/>
                <w:color w:val="27333B"/>
                <w:sz w:val="15"/>
              </w:rPr>
              <w:t>SEV-4 Low</w:t>
            </w:r>
          </w:p>
        </w:tc>
        <w:tc>
          <w:tcPr>
            <w:tcW w:type="dxa" w:w="4752"/>
            <w:tcMar>
              <w:top w:w="70" w:type="dxa"/>
              <w:start w:w="85" w:type="dxa"/>
              <w:bottom w:w="70" w:type="dxa"/>
              <w:end w:w="85" w:type="dxa"/>
            </w:tcMar>
            <w:vAlign w:val="top"/>
            <w:shd w:fill="F5F7F8"/>
          </w:tcPr>
          <w:p>
            <w:pPr>
              <w:spacing w:after="0" w:line="240" w:lineRule="auto"/>
            </w:pPr>
            <w:r>
              <w:rPr>
                <w:b w:val="0"/>
                <w:i w:val="0"/>
                <w:color w:val="27333B"/>
                <w:sz w:val="15"/>
              </w:rPr>
              <w:t>Minor misconfiguration, low-risk finding, no observed exploitation.</w:t>
            </w:r>
          </w:p>
        </w:tc>
        <w:tc>
          <w:tcPr>
            <w:tcW w:type="dxa" w:w="4320"/>
            <w:tcMar>
              <w:top w:w="70" w:type="dxa"/>
              <w:start w:w="85" w:type="dxa"/>
              <w:bottom w:w="70" w:type="dxa"/>
              <w:end w:w="85" w:type="dxa"/>
            </w:tcMar>
            <w:vAlign w:val="top"/>
            <w:shd w:fill="F5F7F8"/>
          </w:tcPr>
          <w:p>
            <w:pPr>
              <w:spacing w:after="0" w:line="240" w:lineRule="auto"/>
            </w:pPr>
            <w:r>
              <w:rPr>
                <w:b w:val="0"/>
                <w:i w:val="0"/>
                <w:color w:val="27333B"/>
                <w:sz w:val="15"/>
              </w:rPr>
              <w:t>Backlog with owner and due date.</w:t>
            </w:r>
          </w:p>
        </w:tc>
      </w:tr>
    </w:tbl>
    <w:p>
      <w:pPr>
        <w:spacing w:after="0"/>
      </w:pPr>
    </w:p>
    <w:p>
      <w:pPr>
        <w:pStyle w:val="Heading2"/>
        <w:keepNext/>
      </w:pPr>
      <w:r>
        <w:t>18.2 Minimum incident roles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Role</w:t>
            </w:r>
          </w:p>
        </w:tc>
        <w:tc>
          <w:tcPr>
            <w:tcW w:type="dxa" w:w="7560"/>
            <w:shd w:fill="2E6078"/>
            <w:tcMar>
              <w:top w:w="80" w:type="dxa"/>
              <w:start w:w="90" w:type="dxa"/>
              <w:bottom w:w="80" w:type="dxa"/>
              <w:end w:w="90" w:type="dxa"/>
            </w:tcMar>
          </w:tcPr>
          <w:p>
            <w:pPr>
              <w:spacing w:after="0"/>
              <w:jc w:val="left"/>
            </w:pPr>
            <w:r>
              <w:rPr>
                <w:b/>
                <w:i w:val="0"/>
                <w:color w:val="FFFFFF"/>
                <w:sz w:val="16"/>
              </w:rPr>
              <w:t>Responsibility</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6"/>
              </w:rPr>
              <w:t>Incident commander</w:t>
            </w:r>
          </w:p>
        </w:tc>
        <w:tc>
          <w:tcPr>
            <w:tcW w:type="dxa" w:w="7560"/>
            <w:tcMar>
              <w:top w:w="70" w:type="dxa"/>
              <w:start w:w="85" w:type="dxa"/>
              <w:bottom w:w="70" w:type="dxa"/>
              <w:end w:w="85" w:type="dxa"/>
            </w:tcMar>
            <w:vAlign w:val="top"/>
          </w:tcPr>
          <w:p>
            <w:pPr>
              <w:spacing w:after="0" w:line="240" w:lineRule="auto"/>
            </w:pPr>
            <w:r>
              <w:rPr>
                <w:b w:val="0"/>
                <w:i w:val="0"/>
                <w:color w:val="27333B"/>
                <w:sz w:val="16"/>
              </w:rPr>
              <w:t>Owns priorities, decisions, timeline, handoffs, and closure.</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6"/>
              </w:rPr>
              <w:t>Technical lead</w:t>
            </w:r>
          </w:p>
        </w:tc>
        <w:tc>
          <w:tcPr>
            <w:tcW w:type="dxa" w:w="7560"/>
            <w:tcMar>
              <w:top w:w="70" w:type="dxa"/>
              <w:start w:w="85" w:type="dxa"/>
              <w:bottom w:w="70" w:type="dxa"/>
              <w:end w:w="85" w:type="dxa"/>
            </w:tcMar>
            <w:vAlign w:val="top"/>
            <w:shd w:fill="F5F7F8"/>
          </w:tcPr>
          <w:p>
            <w:pPr>
              <w:spacing w:after="0" w:line="240" w:lineRule="auto"/>
            </w:pPr>
            <w:r>
              <w:rPr>
                <w:b w:val="0"/>
                <w:i w:val="0"/>
                <w:color w:val="27333B"/>
                <w:sz w:val="16"/>
              </w:rPr>
              <w:t>Investigates and executes containment/eradication/recovery.</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6"/>
              </w:rPr>
              <w:t>Communications lead</w:t>
            </w:r>
          </w:p>
        </w:tc>
        <w:tc>
          <w:tcPr>
            <w:tcW w:type="dxa" w:w="7560"/>
            <w:tcMar>
              <w:top w:w="70" w:type="dxa"/>
              <w:start w:w="85" w:type="dxa"/>
              <w:bottom w:w="70" w:type="dxa"/>
              <w:end w:w="85" w:type="dxa"/>
            </w:tcMar>
            <w:vAlign w:val="top"/>
          </w:tcPr>
          <w:p>
            <w:pPr>
              <w:spacing w:after="0" w:line="240" w:lineRule="auto"/>
            </w:pPr>
            <w:r>
              <w:rPr>
                <w:b w:val="0"/>
                <w:i w:val="0"/>
                <w:color w:val="27333B"/>
                <w:sz w:val="16"/>
              </w:rPr>
              <w:t>Coordinates customer, provider, internal, and public communications.</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6"/>
              </w:rPr>
              <w:t>Privacy/legal advisor</w:t>
            </w:r>
          </w:p>
        </w:tc>
        <w:tc>
          <w:tcPr>
            <w:tcW w:type="dxa" w:w="7560"/>
            <w:tcMar>
              <w:top w:w="70" w:type="dxa"/>
              <w:start w:w="85" w:type="dxa"/>
              <w:bottom w:w="70" w:type="dxa"/>
              <w:end w:w="85" w:type="dxa"/>
            </w:tcMar>
            <w:vAlign w:val="top"/>
            <w:shd w:fill="F5F7F8"/>
          </w:tcPr>
          <w:p>
            <w:pPr>
              <w:spacing w:after="0" w:line="240" w:lineRule="auto"/>
            </w:pPr>
            <w:r>
              <w:rPr>
                <w:b w:val="0"/>
                <w:i w:val="0"/>
                <w:color w:val="27333B"/>
                <w:sz w:val="16"/>
              </w:rPr>
              <w:t>Assesses affected data, contractual duties, and notification obligations; external counsel may fill role.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6"/>
              </w:rPr>
              <w:t>Scribe/evidence custodian</w:t>
            </w:r>
          </w:p>
        </w:tc>
        <w:tc>
          <w:tcPr>
            <w:tcW w:type="dxa" w:w="7560"/>
            <w:tcMar>
              <w:top w:w="70" w:type="dxa"/>
              <w:start w:w="85" w:type="dxa"/>
              <w:bottom w:w="70" w:type="dxa"/>
              <w:end w:w="85" w:type="dxa"/>
            </w:tcMar>
            <w:vAlign w:val="top"/>
          </w:tcPr>
          <w:p>
            <w:pPr>
              <w:spacing w:after="0" w:line="240" w:lineRule="auto"/>
            </w:pPr>
            <w:r>
              <w:rPr>
                <w:b w:val="0"/>
                <w:i w:val="0"/>
                <w:color w:val="27333B"/>
                <w:sz w:val="16"/>
              </w:rPr>
              <w:t>Maintains timeline, decisions, artifacts, hashes, and chain-of-custody notes.</w:t>
            </w:r>
          </w:p>
        </w:tc>
      </w:tr>
    </w:tbl>
    <w:p>
      <w:pPr>
        <w:spacing w:after="0"/>
      </w:pPr>
    </w:p>
    <w:p>
      <w:pPr>
        <w:pStyle w:val="Heading2"/>
        <w:keepNext/>
      </w:pPr>
      <w:r>
        <w:t>18.3 Initial response checklist</w:t>
      </w:r>
    </w:p>
    <w:p>
      <w:pPr>
        <w:spacing w:after="40"/>
        <w:ind w:left="346" w:hanging="346"/>
      </w:pPr>
      <w:r>
        <w:rPr>
          <w:b w:val="0"/>
          <w:i w:val="0"/>
          <w:color w:val="27333B"/>
          <w:sz w:val="20"/>
        </w:rPr>
        <w:t>1.</w:t>
      </w:r>
      <w:r>
        <w:rPr>
          <w:b w:val="0"/>
          <w:i w:val="0"/>
          <w:color w:val="27333B"/>
          <w:sz w:val="20"/>
        </w:rPr>
        <w:t xml:space="preserve">  Open an incident record and assign commander, technical lead, and scribe.</w:t>
      </w:r>
    </w:p>
    <w:p>
      <w:pPr>
        <w:spacing w:after="40"/>
        <w:ind w:left="346" w:hanging="346"/>
      </w:pPr>
      <w:r>
        <w:rPr>
          <w:b w:val="0"/>
          <w:i w:val="0"/>
          <w:color w:val="27333B"/>
          <w:sz w:val="20"/>
        </w:rPr>
        <w:t>2.</w:t>
      </w:r>
      <w:r>
        <w:rPr>
          <w:b w:val="0"/>
          <w:i w:val="0"/>
          <w:color w:val="27333B"/>
          <w:sz w:val="20"/>
        </w:rPr>
        <w:t xml:space="preserve">  Preserve relevant cloud, identity, provider, CI/CD, signing, and audit evidence; avoid destructive cleanup before collection.</w:t>
      </w:r>
    </w:p>
    <w:p>
      <w:pPr>
        <w:spacing w:after="40"/>
        <w:ind w:left="346" w:hanging="346"/>
      </w:pPr>
      <w:r>
        <w:rPr>
          <w:b w:val="0"/>
          <w:i w:val="0"/>
          <w:color w:val="27333B"/>
          <w:sz w:val="20"/>
        </w:rPr>
        <w:t>3.</w:t>
      </w:r>
      <w:r>
        <w:rPr>
          <w:b w:val="0"/>
          <w:i w:val="0"/>
          <w:color w:val="27333B"/>
          <w:sz w:val="20"/>
        </w:rPr>
        <w:t xml:space="preserve">  Determine affected tenants, agents, data classes, versions, regions, and time window.</w:t>
      </w:r>
    </w:p>
    <w:p>
      <w:pPr>
        <w:spacing w:after="40"/>
        <w:ind w:left="346" w:hanging="346"/>
      </w:pPr>
      <w:r>
        <w:rPr>
          <w:b w:val="0"/>
          <w:i w:val="0"/>
          <w:color w:val="27333B"/>
          <w:sz w:val="20"/>
        </w:rPr>
        <w:t>4.</w:t>
      </w:r>
      <w:r>
        <w:rPr>
          <w:b w:val="0"/>
          <w:i w:val="0"/>
          <w:color w:val="27333B"/>
          <w:sz w:val="20"/>
        </w:rPr>
        <w:t xml:space="preserve">  Contain access: revoke sessions/keys, disable provider credentials, pause releases, quarantine agents, or isolate services as required.</w:t>
      </w:r>
    </w:p>
    <w:p>
      <w:pPr>
        <w:spacing w:after="40"/>
        <w:ind w:left="346" w:hanging="346"/>
      </w:pPr>
      <w:r>
        <w:rPr>
          <w:b w:val="0"/>
          <w:i w:val="0"/>
          <w:color w:val="27333B"/>
          <w:sz w:val="20"/>
        </w:rPr>
        <w:t>5.</w:t>
      </w:r>
      <w:r>
        <w:rPr>
          <w:b w:val="0"/>
          <w:i w:val="0"/>
          <w:color w:val="27333B"/>
          <w:sz w:val="20"/>
        </w:rPr>
        <w:t xml:space="preserve">  Establish a trusted communications channel independent of potentially compromised systems.</w:t>
      </w:r>
    </w:p>
    <w:p>
      <w:pPr>
        <w:spacing w:after="40"/>
        <w:ind w:left="346" w:hanging="346"/>
      </w:pPr>
      <w:r>
        <w:rPr>
          <w:b w:val="0"/>
          <w:i w:val="0"/>
          <w:color w:val="27333B"/>
          <w:sz w:val="20"/>
        </w:rPr>
        <w:t>6.</w:t>
      </w:r>
      <w:r>
        <w:rPr>
          <w:b w:val="0"/>
          <w:i w:val="0"/>
          <w:color w:val="27333B"/>
          <w:sz w:val="20"/>
        </w:rPr>
        <w:t xml:space="preserve">  Assess customer impact and whether notifications, status-page updates, provider escalation, law-enforcement contact, or legal advice are appropriate.</w:t>
      </w:r>
    </w:p>
    <w:p>
      <w:pPr>
        <w:spacing w:after="40"/>
        <w:ind w:left="346" w:hanging="346"/>
      </w:pPr>
      <w:r>
        <w:rPr>
          <w:b w:val="0"/>
          <w:i w:val="0"/>
          <w:color w:val="27333B"/>
          <w:sz w:val="20"/>
        </w:rPr>
        <w:t>7.</w:t>
      </w:r>
      <w:r>
        <w:rPr>
          <w:b w:val="0"/>
          <w:i w:val="0"/>
          <w:color w:val="27333B"/>
          <w:sz w:val="20"/>
        </w:rPr>
        <w:t xml:space="preserve">  Recover from known-good artifacts and validate authorization, data integrity, notifications, and monitoring.</w:t>
      </w:r>
    </w:p>
    <w:p>
      <w:pPr>
        <w:spacing w:after="40"/>
        <w:ind w:left="346" w:hanging="346"/>
      </w:pPr>
      <w:r>
        <w:rPr>
          <w:b w:val="0"/>
          <w:i w:val="0"/>
          <w:color w:val="27333B"/>
          <w:sz w:val="20"/>
        </w:rPr>
        <w:t>8.</w:t>
      </w:r>
      <w:r>
        <w:rPr>
          <w:b w:val="0"/>
          <w:i w:val="0"/>
          <w:color w:val="27333B"/>
          <w:sz w:val="20"/>
        </w:rPr>
        <w:t xml:space="preserve">  Complete a blameless post-incident review with corrective controls, owners, deadlines, and regression tests.</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EVIDENCE CAUTION</w:t>
            </w:r>
          </w:p>
          <w:p>
            <w:pPr>
              <w:spacing w:after="0"/>
            </w:pPr>
            <w:r>
              <w:rPr>
                <w:b w:val="0"/>
                <w:i w:val="0"/>
                <w:color w:val="27333B"/>
                <w:sz w:val="20"/>
              </w:rPr>
              <w:t>Routine logs are operational evidence, not guaranteed legal evidence. When an event may involve criminal conduct, insurance, or litigation, preserve original records, document collection, and obtain qualified advice rather than overstating forensic certainty.</w:t>
            </w:r>
          </w:p>
        </w:tc>
      </w:tr>
    </w:tbl>
    <w:p>
      <w:pPr>
        <w:spacing w:after="0"/>
      </w:pPr>
    </w:p>
    <w:p>
      <w:pPr>
        <w:pStyle w:val="Heading1"/>
        <w:keepNext/>
      </w:pPr>
      <w:r>
        <w:t>19. Availability, Business Continuity, and Recovery</w:t>
      </w:r>
    </w:p>
    <w:p>
      <w:pPr>
        <w:pStyle w:val="Heading2"/>
        <w:keepNext/>
      </w:pPr>
      <w:r>
        <w:t>19.1 Security-relevant availability</w:t>
      </w:r>
    </w:p>
    <w:p>
      <w:pPr/>
      <w:r>
        <w:t>Availability is part of the security promise because prolonged platform failure can prevent customers from learning that their property is offline. The design should degrade visibly and preserve local evidence rather than silently discarding events.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2E6078"/>
            <w:tcMar>
              <w:top w:w="80" w:type="dxa"/>
              <w:start w:w="90" w:type="dxa"/>
              <w:bottom w:w="80" w:type="dxa"/>
              <w:end w:w="90" w:type="dxa"/>
            </w:tcMar>
          </w:tcPr>
          <w:p>
            <w:pPr>
              <w:spacing w:after="0"/>
              <w:jc w:val="left"/>
            </w:pPr>
            <w:r>
              <w:rPr>
                <w:b/>
                <w:i w:val="0"/>
                <w:color w:val="FFFFFF"/>
                <w:sz w:val="16"/>
              </w:rPr>
              <w:t>Failure</w:t>
            </w:r>
          </w:p>
        </w:tc>
        <w:tc>
          <w:tcPr>
            <w:tcW w:type="dxa" w:w="7272"/>
            <w:shd w:fill="2E6078"/>
            <w:tcMar>
              <w:top w:w="80" w:type="dxa"/>
              <w:start w:w="90" w:type="dxa"/>
              <w:bottom w:w="80" w:type="dxa"/>
              <w:end w:w="90" w:type="dxa"/>
            </w:tcMar>
          </w:tcPr>
          <w:p>
            <w:pPr>
              <w:spacing w:after="0"/>
              <w:jc w:val="left"/>
            </w:pPr>
            <w:r>
              <w:rPr>
                <w:b/>
                <w:i w:val="0"/>
                <w:color w:val="FFFFFF"/>
                <w:sz w:val="16"/>
              </w:rPr>
              <w:t>Expected behavior</w:t>
            </w:r>
          </w:p>
        </w:tc>
      </w:tr>
      <w:tr>
        <w:trPr>
          <w:cantSplit/>
        </w:trPr>
        <w:tc>
          <w:tcPr>
            <w:tcW w:type="dxa" w:w="2664"/>
            <w:tcMar>
              <w:top w:w="70" w:type="dxa"/>
              <w:start w:w="85" w:type="dxa"/>
              <w:bottom w:w="70" w:type="dxa"/>
              <w:end w:w="85" w:type="dxa"/>
            </w:tcMar>
            <w:vAlign w:val="top"/>
          </w:tcPr>
          <w:p>
            <w:pPr>
              <w:spacing w:after="0" w:line="240" w:lineRule="auto"/>
            </w:pPr>
            <w:r>
              <w:rPr>
                <w:b w:val="0"/>
                <w:i w:val="0"/>
                <w:color w:val="27333B"/>
                <w:sz w:val="16"/>
              </w:rPr>
              <w:t>Cloud ingestion unavailable</w:t>
            </w:r>
          </w:p>
        </w:tc>
        <w:tc>
          <w:tcPr>
            <w:tcW w:type="dxa" w:w="7272"/>
            <w:tcMar>
              <w:top w:w="70" w:type="dxa"/>
              <w:start w:w="85" w:type="dxa"/>
              <w:bottom w:w="70" w:type="dxa"/>
              <w:end w:w="85" w:type="dxa"/>
            </w:tcMar>
            <w:vAlign w:val="top"/>
          </w:tcPr>
          <w:p>
            <w:pPr>
              <w:spacing w:after="0" w:line="240" w:lineRule="auto"/>
            </w:pPr>
            <w:r>
              <w:rPr>
                <w:b w:val="0"/>
                <w:i w:val="0"/>
                <w:color w:val="27333B"/>
                <w:sz w:val="16"/>
              </w:rPr>
              <w:t>Agent journals events locally with bounded storage, backoff, and health indication; replays idempotently after recovery.</w:t>
            </w:r>
          </w:p>
        </w:tc>
      </w:tr>
      <w:tr>
        <w:trPr>
          <w:cantSplit/>
        </w:trPr>
        <w:tc>
          <w:tcPr>
            <w:tcW w:type="dxa" w:w="2664"/>
            <w:tcMar>
              <w:top w:w="70" w:type="dxa"/>
              <w:start w:w="85" w:type="dxa"/>
              <w:bottom w:w="70" w:type="dxa"/>
              <w:end w:w="85" w:type="dxa"/>
            </w:tcMar>
            <w:vAlign w:val="top"/>
            <w:shd w:fill="F5F7F8"/>
          </w:tcPr>
          <w:p>
            <w:pPr>
              <w:spacing w:after="0" w:line="240" w:lineRule="auto"/>
            </w:pPr>
            <w:r>
              <w:rPr>
                <w:b w:val="0"/>
                <w:i w:val="0"/>
                <w:color w:val="27333B"/>
                <w:sz w:val="16"/>
              </w:rPr>
              <w:t>Notification provider unavailable</w:t>
            </w:r>
          </w:p>
        </w:tc>
        <w:tc>
          <w:tcPr>
            <w:tcW w:type="dxa" w:w="7272"/>
            <w:tcMar>
              <w:top w:w="70" w:type="dxa"/>
              <w:start w:w="85" w:type="dxa"/>
              <w:bottom w:w="70" w:type="dxa"/>
              <w:end w:w="85" w:type="dxa"/>
            </w:tcMar>
            <w:vAlign w:val="top"/>
            <w:shd w:fill="F5F7F8"/>
          </w:tcPr>
          <w:p>
            <w:pPr>
              <w:spacing w:after="0" w:line="240" w:lineRule="auto"/>
            </w:pPr>
            <w:r>
              <w:rPr>
                <w:b w:val="0"/>
                <w:i w:val="0"/>
                <w:color w:val="27333B"/>
                <w:sz w:val="16"/>
              </w:rPr>
              <w:t>Queue persists; retry with backoff; use alternate channel/provider where configured; expose delayed/failed delivery.</w:t>
            </w:r>
          </w:p>
        </w:tc>
      </w:tr>
      <w:tr>
        <w:trPr>
          <w:cantSplit/>
        </w:trPr>
        <w:tc>
          <w:tcPr>
            <w:tcW w:type="dxa" w:w="2664"/>
            <w:tcMar>
              <w:top w:w="70" w:type="dxa"/>
              <w:start w:w="85" w:type="dxa"/>
              <w:bottom w:w="70" w:type="dxa"/>
              <w:end w:w="85" w:type="dxa"/>
            </w:tcMar>
            <w:vAlign w:val="top"/>
          </w:tcPr>
          <w:p>
            <w:pPr>
              <w:spacing w:after="0" w:line="240" w:lineRule="auto"/>
            </w:pPr>
            <w:r>
              <w:rPr>
                <w:b w:val="0"/>
                <w:i w:val="0"/>
                <w:color w:val="27333B"/>
                <w:sz w:val="16"/>
              </w:rPr>
              <w:t>Identity provider unavailable</w:t>
            </w:r>
          </w:p>
        </w:tc>
        <w:tc>
          <w:tcPr>
            <w:tcW w:type="dxa" w:w="7272"/>
            <w:tcMar>
              <w:top w:w="70" w:type="dxa"/>
              <w:start w:w="85" w:type="dxa"/>
              <w:bottom w:w="70" w:type="dxa"/>
              <w:end w:w="85" w:type="dxa"/>
            </w:tcMar>
            <w:vAlign w:val="top"/>
          </w:tcPr>
          <w:p>
            <w:pPr>
              <w:spacing w:after="0" w:line="240" w:lineRule="auto"/>
            </w:pPr>
            <w:r>
              <w:rPr>
                <w:b w:val="0"/>
                <w:i w:val="0"/>
                <w:color w:val="27333B"/>
                <w:sz w:val="16"/>
              </w:rPr>
              <w:t>Existing sessions may continue within policy; sensitive account changes may be unavailable; monitoring/alerting should continue.</w:t>
            </w:r>
          </w:p>
        </w:tc>
      </w:tr>
      <w:tr>
        <w:trPr>
          <w:cantSplit/>
        </w:trPr>
        <w:tc>
          <w:tcPr>
            <w:tcW w:type="dxa" w:w="2664"/>
            <w:tcMar>
              <w:top w:w="70" w:type="dxa"/>
              <w:start w:w="85" w:type="dxa"/>
              <w:bottom w:w="70" w:type="dxa"/>
              <w:end w:w="85" w:type="dxa"/>
            </w:tcMar>
            <w:vAlign w:val="top"/>
            <w:shd w:fill="F5F7F8"/>
          </w:tcPr>
          <w:p>
            <w:pPr>
              <w:spacing w:after="0" w:line="240" w:lineRule="auto"/>
            </w:pPr>
            <w:r>
              <w:rPr>
                <w:b w:val="0"/>
                <w:i w:val="0"/>
                <w:color w:val="27333B"/>
                <w:sz w:val="16"/>
              </w:rPr>
              <w:t>Database failure</w:t>
            </w:r>
          </w:p>
        </w:tc>
        <w:tc>
          <w:tcPr>
            <w:tcW w:type="dxa" w:w="7272"/>
            <w:tcMar>
              <w:top w:w="70" w:type="dxa"/>
              <w:start w:w="85" w:type="dxa"/>
              <w:bottom w:w="70" w:type="dxa"/>
              <w:end w:w="85" w:type="dxa"/>
            </w:tcMar>
            <w:vAlign w:val="top"/>
            <w:shd w:fill="F5F7F8"/>
          </w:tcPr>
          <w:p>
            <w:pPr>
              <w:spacing w:after="0" w:line="240" w:lineRule="auto"/>
            </w:pPr>
            <w:r>
              <w:rPr>
                <w:b w:val="0"/>
                <w:i w:val="0"/>
                <w:color w:val="27333B"/>
                <w:sz w:val="16"/>
              </w:rPr>
              <w:t>Fail over or restore according to recovery design; avoid accepting changes that cannot be durably stored.</w:t>
            </w:r>
          </w:p>
        </w:tc>
      </w:tr>
      <w:tr>
        <w:trPr>
          <w:cantSplit/>
        </w:trPr>
        <w:tc>
          <w:tcPr>
            <w:tcW w:type="dxa" w:w="2664"/>
            <w:tcMar>
              <w:top w:w="70" w:type="dxa"/>
              <w:start w:w="85" w:type="dxa"/>
              <w:bottom w:w="70" w:type="dxa"/>
              <w:end w:w="85" w:type="dxa"/>
            </w:tcMar>
            <w:vAlign w:val="top"/>
          </w:tcPr>
          <w:p>
            <w:pPr>
              <w:spacing w:after="0" w:line="240" w:lineRule="auto"/>
            </w:pPr>
            <w:r>
              <w:rPr>
                <w:b w:val="0"/>
                <w:i w:val="0"/>
                <w:color w:val="27333B"/>
                <w:sz w:val="16"/>
              </w:rPr>
              <w:t>Regional cloud outage</w:t>
            </w:r>
          </w:p>
        </w:tc>
        <w:tc>
          <w:tcPr>
            <w:tcW w:type="dxa" w:w="7272"/>
            <w:tcMar>
              <w:top w:w="70" w:type="dxa"/>
              <w:start w:w="85" w:type="dxa"/>
              <w:bottom w:w="70" w:type="dxa"/>
              <w:end w:w="85" w:type="dxa"/>
            </w:tcMar>
            <w:vAlign w:val="top"/>
          </w:tcPr>
          <w:p>
            <w:pPr>
              <w:spacing w:after="0" w:line="240" w:lineRule="auto"/>
            </w:pPr>
            <w:r>
              <w:rPr>
                <w:b w:val="0"/>
                <w:i w:val="0"/>
                <w:color w:val="27333B"/>
                <w:sz w:val="16"/>
              </w:rPr>
              <w:t>Heartbeat loss may create false property-offline incidents; architecture should use multi-zone resilience and consider independent regional confirmation.</w:t>
            </w:r>
          </w:p>
        </w:tc>
      </w:tr>
      <w:tr>
        <w:trPr>
          <w:cantSplit/>
        </w:trPr>
        <w:tc>
          <w:tcPr>
            <w:tcW w:type="dxa" w:w="2664"/>
            <w:tcMar>
              <w:top w:w="70" w:type="dxa"/>
              <w:start w:w="85" w:type="dxa"/>
              <w:bottom w:w="70" w:type="dxa"/>
              <w:end w:w="85" w:type="dxa"/>
            </w:tcMar>
            <w:vAlign w:val="top"/>
            <w:shd w:fill="F5F7F8"/>
          </w:tcPr>
          <w:p>
            <w:pPr>
              <w:spacing w:after="0" w:line="240" w:lineRule="auto"/>
            </w:pPr>
            <w:r>
              <w:rPr>
                <w:b w:val="0"/>
                <w:i w:val="0"/>
                <w:color w:val="27333B"/>
                <w:sz w:val="16"/>
              </w:rPr>
              <w:t>Bad agent release</w:t>
            </w:r>
          </w:p>
        </w:tc>
        <w:tc>
          <w:tcPr>
            <w:tcW w:type="dxa" w:w="7272"/>
            <w:tcMar>
              <w:top w:w="70" w:type="dxa"/>
              <w:start w:w="85" w:type="dxa"/>
              <w:bottom w:w="70" w:type="dxa"/>
              <w:end w:w="85" w:type="dxa"/>
            </w:tcMar>
            <w:vAlign w:val="top"/>
            <w:shd w:fill="F5F7F8"/>
          </w:tcPr>
          <w:p>
            <w:pPr>
              <w:spacing w:after="0" w:line="240" w:lineRule="auto"/>
            </w:pPr>
            <w:r>
              <w:rPr>
                <w:b w:val="0"/>
                <w:i w:val="0"/>
                <w:color w:val="27333B"/>
                <w:sz w:val="16"/>
              </w:rPr>
              <w:t>Pause rollout, block version, rollback, communicate, and prevent repeated update loops.</w:t>
            </w:r>
          </w:p>
        </w:tc>
      </w:tr>
    </w:tbl>
    <w:p>
      <w:pPr>
        <w:spacing w:after="0"/>
      </w:pPr>
    </w:p>
    <w:p>
      <w:pPr>
        <w:pStyle w:val="Heading2"/>
        <w:keepNext/>
      </w:pPr>
      <w:r>
        <w:t>19.2 Recovery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E6078"/>
            <w:tcMar>
              <w:top w:w="80" w:type="dxa"/>
              <w:start w:w="90" w:type="dxa"/>
              <w:bottom w:w="80" w:type="dxa"/>
              <w:end w:w="90" w:type="dxa"/>
            </w:tcMar>
          </w:tcPr>
          <w:p>
            <w:pPr>
              <w:spacing w:after="0"/>
              <w:jc w:val="left"/>
            </w:pPr>
            <w:r>
              <w:rPr>
                <w:b/>
                <w:i w:val="0"/>
                <w:color w:val="FFFFFF"/>
                <w:sz w:val="16"/>
              </w:rPr>
              <w:t>ID</w:t>
            </w:r>
          </w:p>
        </w:tc>
        <w:tc>
          <w:tcPr>
            <w:tcW w:type="dxa" w:w="1008"/>
            <w:shd w:fill="2E6078"/>
            <w:tcMar>
              <w:top w:w="80" w:type="dxa"/>
              <w:start w:w="90" w:type="dxa"/>
              <w:bottom w:w="80" w:type="dxa"/>
              <w:end w:w="90" w:type="dxa"/>
            </w:tcMar>
          </w:tcPr>
          <w:p>
            <w:pPr>
              <w:spacing w:after="0"/>
              <w:jc w:val="left"/>
            </w:pPr>
            <w:r>
              <w:rPr>
                <w:b/>
                <w:i w:val="0"/>
                <w:color w:val="FFFFFF"/>
                <w:sz w:val="16"/>
              </w:rPr>
              <w:t>Priority</w:t>
            </w:r>
          </w:p>
        </w:tc>
        <w:tc>
          <w:tcPr>
            <w:tcW w:type="dxa" w:w="6264"/>
            <w:shd w:fill="2E6078"/>
            <w:tcMar>
              <w:top w:w="80" w:type="dxa"/>
              <w:start w:w="90" w:type="dxa"/>
              <w:bottom w:w="80" w:type="dxa"/>
              <w:end w:w="90" w:type="dxa"/>
            </w:tcMar>
          </w:tcPr>
          <w:p>
            <w:pPr>
              <w:spacing w:after="0"/>
              <w:jc w:val="left"/>
            </w:pPr>
            <w:r>
              <w:rPr>
                <w:b/>
                <w:i w:val="0"/>
                <w:color w:val="FFFFFF"/>
                <w:sz w:val="16"/>
              </w:rPr>
              <w:t>Requirement</w:t>
            </w:r>
          </w:p>
        </w:tc>
        <w:tc>
          <w:tcPr>
            <w:tcW w:type="dxa" w:w="1728"/>
            <w:shd w:fill="2E6078"/>
            <w:tcMar>
              <w:top w:w="80" w:type="dxa"/>
              <w:start w:w="90" w:type="dxa"/>
              <w:bottom w:w="80" w:type="dxa"/>
              <w:end w:w="90" w:type="dxa"/>
            </w:tcMar>
          </w:tcPr>
          <w:p>
            <w:pPr>
              <w:spacing w:after="0"/>
              <w:jc w:val="left"/>
            </w:pPr>
            <w:r>
              <w:rPr>
                <w:b/>
                <w:i w:val="0"/>
                <w:color w:val="FFFFFF"/>
                <w:sz w:val="16"/>
              </w:rPr>
              <w:t>Verification</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SEC-090</w:t>
            </w:r>
          </w:p>
        </w:tc>
        <w:tc>
          <w:tcPr>
            <w:tcW w:type="dxa" w:w="1008"/>
            <w:tcMar>
              <w:top w:w="70" w:type="dxa"/>
              <w:start w:w="85" w:type="dxa"/>
              <w:bottom w:w="70" w:type="dxa"/>
              <w:end w:w="85" w:type="dxa"/>
            </w:tcMar>
            <w:vAlign w:val="top"/>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tcPr>
          <w:p>
            <w:pPr>
              <w:spacing w:after="0" w:line="240" w:lineRule="auto"/>
            </w:pPr>
            <w:r>
              <w:rPr>
                <w:b w:val="0"/>
                <w:i w:val="0"/>
                <w:color w:val="27333B"/>
                <w:sz w:val="15"/>
              </w:rPr>
              <w:t>Critical cloud data MUST have tested backup and restore procedures with documented RPO/RTO targets before public launch.</w:t>
            </w:r>
          </w:p>
        </w:tc>
        <w:tc>
          <w:tcPr>
            <w:tcW w:type="dxa" w:w="1728"/>
            <w:tcMar>
              <w:top w:w="70" w:type="dxa"/>
              <w:start w:w="85" w:type="dxa"/>
              <w:bottom w:w="70" w:type="dxa"/>
              <w:end w:w="85" w:type="dxa"/>
            </w:tcMar>
            <w:vAlign w:val="top"/>
          </w:tcPr>
          <w:p>
            <w:pPr>
              <w:spacing w:after="0" w:line="240" w:lineRule="auto"/>
            </w:pPr>
            <w:r>
              <w:rPr>
                <w:b w:val="0"/>
                <w:i w:val="0"/>
                <w:color w:val="27333B"/>
                <w:sz w:val="15"/>
              </w:rPr>
              <w:t>Recovery drill</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SEC-091</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Notification jobs and incident state MUST be durable across process restarts and deployments.</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Chaos test</w:t>
            </w:r>
          </w:p>
        </w:tc>
      </w:tr>
      <w:tr>
        <w:trPr>
          <w:cantSplit/>
        </w:trPr>
        <w:tc>
          <w:tcPr>
            <w:tcW w:type="dxa" w:w="936"/>
            <w:tcMar>
              <w:top w:w="70" w:type="dxa"/>
              <w:start w:w="85" w:type="dxa"/>
              <w:bottom w:w="70" w:type="dxa"/>
              <w:end w:w="85" w:type="dxa"/>
            </w:tcMar>
            <w:vAlign w:val="top"/>
          </w:tcPr>
          <w:p>
            <w:pPr>
              <w:spacing w:after="0" w:line="240" w:lineRule="auto"/>
            </w:pPr>
            <w:r>
              <w:rPr>
                <w:b/>
                <w:i w:val="0"/>
                <w:color w:val="27333B"/>
                <w:sz w:val="15"/>
              </w:rPr>
              <w:t>SEC-092</w:t>
            </w:r>
          </w:p>
        </w:tc>
        <w:tc>
          <w:tcPr>
            <w:tcW w:type="dxa" w:w="1008"/>
            <w:tcMar>
              <w:top w:w="70" w:type="dxa"/>
              <w:start w:w="85" w:type="dxa"/>
              <w:bottom w:w="70" w:type="dxa"/>
              <w:end w:w="85" w:type="dxa"/>
            </w:tcMar>
            <w:vAlign w:val="top"/>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tcPr>
          <w:p>
            <w:pPr>
              <w:spacing w:after="0" w:line="240" w:lineRule="auto"/>
            </w:pPr>
            <w:r>
              <w:rPr>
                <w:b w:val="0"/>
                <w:i w:val="0"/>
                <w:color w:val="27333B"/>
                <w:sz w:val="15"/>
              </w:rPr>
              <w:t>The agent MUST survive restart/crash without losing committed evidence or duplicating notifications after replay.</w:t>
            </w:r>
          </w:p>
        </w:tc>
        <w:tc>
          <w:tcPr>
            <w:tcW w:type="dxa" w:w="1728"/>
            <w:tcMar>
              <w:top w:w="70" w:type="dxa"/>
              <w:start w:w="85" w:type="dxa"/>
              <w:bottom w:w="70" w:type="dxa"/>
              <w:end w:w="85" w:type="dxa"/>
            </w:tcMar>
            <w:vAlign w:val="top"/>
          </w:tcPr>
          <w:p>
            <w:pPr>
              <w:spacing w:after="0" w:line="240" w:lineRule="auto"/>
            </w:pPr>
            <w:r>
              <w:rPr>
                <w:b w:val="0"/>
                <w:i w:val="0"/>
                <w:color w:val="27333B"/>
                <w:sz w:val="15"/>
              </w:rPr>
              <w:t>Restart test</w:t>
            </w:r>
          </w:p>
        </w:tc>
      </w:tr>
      <w:tr>
        <w:trPr>
          <w:cantSplit/>
        </w:trPr>
        <w:tc>
          <w:tcPr>
            <w:tcW w:type="dxa" w:w="936"/>
            <w:tcMar>
              <w:top w:w="70" w:type="dxa"/>
              <w:start w:w="85" w:type="dxa"/>
              <w:bottom w:w="70" w:type="dxa"/>
              <w:end w:w="85" w:type="dxa"/>
            </w:tcMar>
            <w:vAlign w:val="top"/>
            <w:shd w:fill="F5F7F8"/>
          </w:tcPr>
          <w:p>
            <w:pPr>
              <w:spacing w:after="0" w:line="240" w:lineRule="auto"/>
            </w:pPr>
            <w:r>
              <w:rPr>
                <w:b/>
                <w:i w:val="0"/>
                <w:color w:val="27333B"/>
                <w:sz w:val="15"/>
              </w:rPr>
              <w:t>SEC-093</w:t>
            </w:r>
          </w:p>
        </w:tc>
        <w:tc>
          <w:tcPr>
            <w:tcW w:type="dxa" w:w="1008"/>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6264"/>
            <w:tcMar>
              <w:top w:w="70" w:type="dxa"/>
              <w:start w:w="85" w:type="dxa"/>
              <w:bottom w:w="70" w:type="dxa"/>
              <w:end w:w="85" w:type="dxa"/>
            </w:tcMar>
            <w:vAlign w:val="top"/>
            <w:shd w:fill="F5F7F8"/>
          </w:tcPr>
          <w:p>
            <w:pPr>
              <w:spacing w:after="0" w:line="240" w:lineRule="auto"/>
            </w:pPr>
            <w:r>
              <w:rPr>
                <w:b w:val="0"/>
                <w:i w:val="0"/>
                <w:color w:val="27333B"/>
                <w:sz w:val="15"/>
              </w:rPr>
              <w:t>A platform-wide maintenance or incident state MUST prevent misleading property-specific tamper wording.</w:t>
            </w:r>
          </w:p>
        </w:tc>
        <w:tc>
          <w:tcPr>
            <w:tcW w:type="dxa" w:w="1728"/>
            <w:tcMar>
              <w:top w:w="70" w:type="dxa"/>
              <w:start w:w="85" w:type="dxa"/>
              <w:bottom w:w="70" w:type="dxa"/>
              <w:end w:w="85" w:type="dxa"/>
            </w:tcMar>
            <w:vAlign w:val="top"/>
            <w:shd w:fill="F5F7F8"/>
          </w:tcPr>
          <w:p>
            <w:pPr>
              <w:spacing w:after="0" w:line="240" w:lineRule="auto"/>
            </w:pPr>
            <w:r>
              <w:rPr>
                <w:b w:val="0"/>
                <w:i w:val="0"/>
                <w:color w:val="27333B"/>
                <w:sz w:val="15"/>
              </w:rPr>
              <w:t>Scenario test</w:t>
            </w:r>
          </w:p>
        </w:tc>
      </w:tr>
    </w:tbl>
    <w:p>
      <w:pPr>
        <w:spacing w:after="0"/>
      </w:pPr>
    </w:p>
    <w:p>
      <w:pPr>
        <w:pStyle w:val="Heading1"/>
        <w:keepNext/>
      </w:pPr>
      <w:r>
        <w:t>20. Abuse Prevention and Compliance Readiness</w:t>
      </w:r>
    </w:p>
    <w:p>
      <w:pPr>
        <w:pStyle w:val="Heading2"/>
        <w:keepNext/>
      </w:pPr>
      <w:r>
        <w:t>20.1 Product misuse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2E6078"/>
            <w:tcMar>
              <w:top w:w="80" w:type="dxa"/>
              <w:start w:w="90" w:type="dxa"/>
              <w:bottom w:w="80" w:type="dxa"/>
              <w:end w:w="90" w:type="dxa"/>
            </w:tcMar>
          </w:tcPr>
          <w:p>
            <w:pPr>
              <w:spacing w:after="0"/>
              <w:jc w:val="left"/>
            </w:pPr>
            <w:r>
              <w:rPr>
                <w:b/>
                <w:i w:val="0"/>
                <w:color w:val="FFFFFF"/>
                <w:sz w:val="16"/>
              </w:rPr>
              <w:t>Misuse</w:t>
            </w:r>
          </w:p>
        </w:tc>
        <w:tc>
          <w:tcPr>
            <w:tcW w:type="dxa" w:w="6984"/>
            <w:shd w:fill="2E6078"/>
            <w:tcMar>
              <w:top w:w="80" w:type="dxa"/>
              <w:start w:w="90" w:type="dxa"/>
              <w:bottom w:w="80" w:type="dxa"/>
              <w:end w:w="90" w:type="dxa"/>
            </w:tcMar>
          </w:tcPr>
          <w:p>
            <w:pPr>
              <w:spacing w:after="0"/>
              <w:jc w:val="left"/>
            </w:pPr>
            <w:r>
              <w:rPr>
                <w:b/>
                <w:i w:val="0"/>
                <w:color w:val="FFFFFF"/>
                <w:sz w:val="16"/>
              </w:rPr>
              <w:t>Control</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5"/>
              </w:rPr>
              <w:t>Monitoring a network without authorization</w:t>
            </w:r>
          </w:p>
        </w:tc>
        <w:tc>
          <w:tcPr>
            <w:tcW w:type="dxa" w:w="6984"/>
            <w:tcMar>
              <w:top w:w="70" w:type="dxa"/>
              <w:start w:w="85" w:type="dxa"/>
              <w:bottom w:w="70" w:type="dxa"/>
              <w:end w:w="85" w:type="dxa"/>
            </w:tcMar>
            <w:vAlign w:val="top"/>
          </w:tcPr>
          <w:p>
            <w:pPr>
              <w:spacing w:after="0" w:line="240" w:lineRule="auto"/>
            </w:pPr>
            <w:r>
              <w:rPr>
                <w:b w:val="0"/>
                <w:i w:val="0"/>
                <w:color w:val="27333B"/>
                <w:sz w:val="15"/>
              </w:rPr>
              <w:t>Terms and onboarding attestation; local installation/admin requirement; limit broad scanning; abuse-report channel.</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Harassing a phone number through alerts</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5"/>
              </w:rPr>
              <w:t>Destination verification/consent, rate limits, opt-out, account suspension, provider abuse monitoring.</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5"/>
              </w:rPr>
              <w:t>Using labels/alerts for threats or hateful content</w:t>
            </w:r>
          </w:p>
        </w:tc>
        <w:tc>
          <w:tcPr>
            <w:tcW w:type="dxa" w:w="6984"/>
            <w:tcMar>
              <w:top w:w="70" w:type="dxa"/>
              <w:start w:w="85" w:type="dxa"/>
              <w:bottom w:w="70" w:type="dxa"/>
              <w:end w:w="85" w:type="dxa"/>
            </w:tcMar>
            <w:vAlign w:val="top"/>
          </w:tcPr>
          <w:p>
            <w:pPr>
              <w:spacing w:after="0" w:line="240" w:lineRule="auto"/>
            </w:pPr>
            <w:r>
              <w:rPr>
                <w:b w:val="0"/>
                <w:i w:val="0"/>
                <w:color w:val="27333B"/>
                <w:sz w:val="15"/>
              </w:rPr>
              <w:t>Template restrictions, content length/character controls, abuse response, avoid arbitrary user message bodies in SMS.</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Creating false evidence of tampering</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5"/>
              </w:rPr>
              <w:t>Evidence source attribution, immutable observation history, classification confidence, no accusation language.</w:t>
            </w:r>
          </w:p>
        </w:tc>
      </w:tr>
      <w:tr>
        <w:trPr>
          <w:cantSplit/>
        </w:trPr>
        <w:tc>
          <w:tcPr>
            <w:tcW w:type="dxa" w:w="2952"/>
            <w:tcMar>
              <w:top w:w="70" w:type="dxa"/>
              <w:start w:w="85" w:type="dxa"/>
              <w:bottom w:w="70" w:type="dxa"/>
              <w:end w:w="85" w:type="dxa"/>
            </w:tcMar>
            <w:vAlign w:val="top"/>
          </w:tcPr>
          <w:p>
            <w:pPr>
              <w:spacing w:after="0" w:line="240" w:lineRule="auto"/>
            </w:pPr>
            <w:r>
              <w:rPr>
                <w:b w:val="0"/>
                <w:i w:val="0"/>
                <w:color w:val="27333B"/>
                <w:sz w:val="15"/>
              </w:rPr>
              <w:t>Reselling without customer consent</w:t>
            </w:r>
          </w:p>
        </w:tc>
        <w:tc>
          <w:tcPr>
            <w:tcW w:type="dxa" w:w="6984"/>
            <w:tcMar>
              <w:top w:w="70" w:type="dxa"/>
              <w:start w:w="85" w:type="dxa"/>
              <w:bottom w:w="70" w:type="dxa"/>
              <w:end w:w="85" w:type="dxa"/>
            </w:tcMar>
            <w:vAlign w:val="top"/>
          </w:tcPr>
          <w:p>
            <w:pPr>
              <w:spacing w:after="0" w:line="240" w:lineRule="auto"/>
            </w:pPr>
            <w:r>
              <w:rPr>
                <w:b w:val="0"/>
                <w:i w:val="0"/>
                <w:color w:val="27333B"/>
                <w:sz w:val="15"/>
              </w:rPr>
              <w:t>Organization/member roles, delegated administration model only when intentionally built, clear customer ownership.</w:t>
            </w:r>
          </w:p>
        </w:tc>
      </w:tr>
      <w:tr>
        <w:trPr>
          <w:cantSplit/>
        </w:trPr>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Resource/cost abuse</w:t>
            </w:r>
          </w:p>
        </w:tc>
        <w:tc>
          <w:tcPr>
            <w:tcW w:type="dxa" w:w="6984"/>
            <w:tcMar>
              <w:top w:w="70" w:type="dxa"/>
              <w:start w:w="85" w:type="dxa"/>
              <w:bottom w:w="70" w:type="dxa"/>
              <w:end w:w="85" w:type="dxa"/>
            </w:tcMar>
            <w:vAlign w:val="top"/>
            <w:shd w:fill="F5F7F8"/>
          </w:tcPr>
          <w:p>
            <w:pPr>
              <w:spacing w:after="0" w:line="240" w:lineRule="auto"/>
            </w:pPr>
            <w:r>
              <w:rPr>
                <w:b w:val="0"/>
                <w:i w:val="0"/>
                <w:color w:val="27333B"/>
                <w:sz w:val="15"/>
              </w:rPr>
              <w:t>Plan limits, quotas, anomaly detection, payment/fraud controls, network-probe limits.</w:t>
            </w:r>
          </w:p>
        </w:tc>
      </w:tr>
    </w:tbl>
    <w:p>
      <w:pPr>
        <w:spacing w:after="0"/>
      </w:pPr>
    </w:p>
    <w:p>
      <w:pPr>
        <w:pStyle w:val="Heading2"/>
        <w:keepNext/>
      </w:pPr>
      <w:r>
        <w:t>20.2 Compliance readiness — not legal conclusions</w:t>
      </w:r>
    </w:p>
    <w:p>
      <w:pPr/>
      <w:r>
        <w:t>The company should obtain qualified legal and privacy advice before public launch, particularly for privacy notices, SMS consent, consumer subscription terms, breach-notification duties, data-processing agreements, retention, children/minors, and expansion beyond the United States. This document defines technical readiness, not legal compliance.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2E6078"/>
            <w:tcMar>
              <w:top w:w="80" w:type="dxa"/>
              <w:start w:w="90" w:type="dxa"/>
              <w:bottom w:w="80" w:type="dxa"/>
              <w:end w:w="90" w:type="dxa"/>
            </w:tcMar>
          </w:tcPr>
          <w:p>
            <w:pPr>
              <w:spacing w:after="0"/>
              <w:jc w:val="left"/>
            </w:pPr>
            <w:r>
              <w:rPr>
                <w:b/>
                <w:i w:val="0"/>
                <w:color w:val="FFFFFF"/>
                <w:sz w:val="16"/>
              </w:rPr>
              <w:t>Readiness area</w:t>
            </w:r>
          </w:p>
        </w:tc>
        <w:tc>
          <w:tcPr>
            <w:tcW w:type="dxa" w:w="7344"/>
            <w:shd w:fill="2E6078"/>
            <w:tcMar>
              <w:top w:w="80" w:type="dxa"/>
              <w:start w:w="90" w:type="dxa"/>
              <w:bottom w:w="80" w:type="dxa"/>
              <w:end w:w="90" w:type="dxa"/>
            </w:tcMar>
          </w:tcPr>
          <w:p>
            <w:pPr>
              <w:spacing w:after="0"/>
              <w:jc w:val="left"/>
            </w:pPr>
            <w:r>
              <w:rPr>
                <w:b/>
                <w:i w:val="0"/>
                <w:color w:val="FFFFFF"/>
                <w:sz w:val="16"/>
              </w:rPr>
              <w:t>Technical/operational preparation</w:t>
            </w:r>
          </w:p>
        </w:tc>
      </w:tr>
      <w:tr>
        <w:trPr>
          <w:cantSplit/>
        </w:trPr>
        <w:tc>
          <w:tcPr>
            <w:tcW w:type="dxa" w:w="2592"/>
            <w:tcMar>
              <w:top w:w="70" w:type="dxa"/>
              <w:start w:w="85" w:type="dxa"/>
              <w:bottom w:w="70" w:type="dxa"/>
              <w:end w:w="85" w:type="dxa"/>
            </w:tcMar>
            <w:vAlign w:val="top"/>
          </w:tcPr>
          <w:p>
            <w:pPr>
              <w:spacing w:after="0" w:line="240" w:lineRule="auto"/>
            </w:pPr>
            <w:r>
              <w:rPr>
                <w:b w:val="0"/>
                <w:i w:val="0"/>
                <w:color w:val="27333B"/>
                <w:sz w:val="16"/>
              </w:rPr>
              <w:t>Privacy transparency</w:t>
            </w:r>
          </w:p>
        </w:tc>
        <w:tc>
          <w:tcPr>
            <w:tcW w:type="dxa" w:w="7344"/>
            <w:tcMar>
              <w:top w:w="70" w:type="dxa"/>
              <w:start w:w="85" w:type="dxa"/>
              <w:bottom w:w="70" w:type="dxa"/>
              <w:end w:w="85" w:type="dxa"/>
            </w:tcMar>
            <w:vAlign w:val="top"/>
          </w:tcPr>
          <w:p>
            <w:pPr>
              <w:spacing w:after="0" w:line="240" w:lineRule="auto"/>
            </w:pPr>
            <w:r>
              <w:rPr>
                <w:b w:val="0"/>
                <w:i w:val="0"/>
                <w:color w:val="27333B"/>
                <w:sz w:val="16"/>
              </w:rPr>
              <w:t>Accurate data inventory, local/cloud diagram, provider list, purposes, retention, rights workflow, contact channel.</w:t>
            </w:r>
          </w:p>
        </w:tc>
      </w:tr>
      <w:tr>
        <w:trPr>
          <w:cantSplit/>
        </w:trPr>
        <w:tc>
          <w:tcPr>
            <w:tcW w:type="dxa" w:w="2592"/>
            <w:tcMar>
              <w:top w:w="70" w:type="dxa"/>
              <w:start w:w="85" w:type="dxa"/>
              <w:bottom w:w="70" w:type="dxa"/>
              <w:end w:w="85" w:type="dxa"/>
            </w:tcMar>
            <w:vAlign w:val="top"/>
            <w:shd w:fill="F5F7F8"/>
          </w:tcPr>
          <w:p>
            <w:pPr>
              <w:spacing w:after="0" w:line="240" w:lineRule="auto"/>
            </w:pPr>
            <w:r>
              <w:rPr>
                <w:b w:val="0"/>
                <w:i w:val="0"/>
                <w:color w:val="27333B"/>
                <w:sz w:val="16"/>
              </w:rPr>
              <w:t>Consumer messaging</w:t>
            </w:r>
          </w:p>
        </w:tc>
        <w:tc>
          <w:tcPr>
            <w:tcW w:type="dxa" w:w="7344"/>
            <w:tcMar>
              <w:top w:w="70" w:type="dxa"/>
              <w:start w:w="85" w:type="dxa"/>
              <w:bottom w:w="70" w:type="dxa"/>
              <w:end w:w="85" w:type="dxa"/>
            </w:tcMar>
            <w:vAlign w:val="top"/>
            <w:shd w:fill="F5F7F8"/>
          </w:tcPr>
          <w:p>
            <w:pPr>
              <w:spacing w:after="0" w:line="240" w:lineRule="auto"/>
            </w:pPr>
            <w:r>
              <w:rPr>
                <w:b w:val="0"/>
                <w:i w:val="0"/>
                <w:color w:val="27333B"/>
                <w:sz w:val="16"/>
              </w:rPr>
              <w:t>Destination verification, consent evidence, sender identification, opt-out handling, quiet-hour/escalation design as appropriate.</w:t>
            </w:r>
          </w:p>
        </w:tc>
      </w:tr>
      <w:tr>
        <w:trPr>
          <w:cantSplit/>
        </w:trPr>
        <w:tc>
          <w:tcPr>
            <w:tcW w:type="dxa" w:w="2592"/>
            <w:tcMar>
              <w:top w:w="70" w:type="dxa"/>
              <w:start w:w="85" w:type="dxa"/>
              <w:bottom w:w="70" w:type="dxa"/>
              <w:end w:w="85" w:type="dxa"/>
            </w:tcMar>
            <w:vAlign w:val="top"/>
          </w:tcPr>
          <w:p>
            <w:pPr>
              <w:spacing w:after="0" w:line="240" w:lineRule="auto"/>
            </w:pPr>
            <w:r>
              <w:rPr>
                <w:b w:val="0"/>
                <w:i w:val="0"/>
                <w:color w:val="27333B"/>
                <w:sz w:val="16"/>
              </w:rPr>
              <w:t>Security incident notice</w:t>
            </w:r>
          </w:p>
        </w:tc>
        <w:tc>
          <w:tcPr>
            <w:tcW w:type="dxa" w:w="7344"/>
            <w:tcMar>
              <w:top w:w="70" w:type="dxa"/>
              <w:start w:w="85" w:type="dxa"/>
              <w:bottom w:w="70" w:type="dxa"/>
              <w:end w:w="85" w:type="dxa"/>
            </w:tcMar>
            <w:vAlign w:val="top"/>
          </w:tcPr>
          <w:p>
            <w:pPr>
              <w:spacing w:after="0" w:line="240" w:lineRule="auto"/>
            </w:pPr>
            <w:r>
              <w:rPr>
                <w:b w:val="0"/>
                <w:i w:val="0"/>
                <w:color w:val="27333B"/>
                <w:sz w:val="16"/>
              </w:rPr>
              <w:t>Affected-data inventory, tenant impact query, contact records, incident timeline, counsel/communications playbook.</w:t>
            </w:r>
          </w:p>
        </w:tc>
      </w:tr>
      <w:tr>
        <w:trPr>
          <w:cantSplit/>
        </w:trPr>
        <w:tc>
          <w:tcPr>
            <w:tcW w:type="dxa" w:w="2592"/>
            <w:tcMar>
              <w:top w:w="70" w:type="dxa"/>
              <w:start w:w="85" w:type="dxa"/>
              <w:bottom w:w="70" w:type="dxa"/>
              <w:end w:w="85" w:type="dxa"/>
            </w:tcMar>
            <w:vAlign w:val="top"/>
            <w:shd w:fill="F5F7F8"/>
          </w:tcPr>
          <w:p>
            <w:pPr>
              <w:spacing w:after="0" w:line="240" w:lineRule="auto"/>
            </w:pPr>
            <w:r>
              <w:rPr>
                <w:b w:val="0"/>
                <w:i w:val="0"/>
                <w:color w:val="27333B"/>
                <w:sz w:val="16"/>
              </w:rPr>
              <w:t>Data-processing vendors</w:t>
            </w:r>
          </w:p>
        </w:tc>
        <w:tc>
          <w:tcPr>
            <w:tcW w:type="dxa" w:w="7344"/>
            <w:tcMar>
              <w:top w:w="70" w:type="dxa"/>
              <w:start w:w="85" w:type="dxa"/>
              <w:bottom w:w="70" w:type="dxa"/>
              <w:end w:w="85" w:type="dxa"/>
            </w:tcMar>
            <w:vAlign w:val="top"/>
            <w:shd w:fill="F5F7F8"/>
          </w:tcPr>
          <w:p>
            <w:pPr>
              <w:spacing w:after="0" w:line="240" w:lineRule="auto"/>
            </w:pPr>
            <w:r>
              <w:rPr>
                <w:b w:val="0"/>
                <w:i w:val="0"/>
                <w:color w:val="27333B"/>
                <w:sz w:val="16"/>
              </w:rPr>
              <w:t>Provider inventory, security review, contract/DPA tracking, subprocessor-change process.</w:t>
            </w:r>
          </w:p>
        </w:tc>
      </w:tr>
      <w:tr>
        <w:trPr>
          <w:cantSplit/>
        </w:trPr>
        <w:tc>
          <w:tcPr>
            <w:tcW w:type="dxa" w:w="2592"/>
            <w:tcMar>
              <w:top w:w="70" w:type="dxa"/>
              <w:start w:w="85" w:type="dxa"/>
              <w:bottom w:w="70" w:type="dxa"/>
              <w:end w:w="85" w:type="dxa"/>
            </w:tcMar>
            <w:vAlign w:val="top"/>
          </w:tcPr>
          <w:p>
            <w:pPr>
              <w:spacing w:after="0" w:line="240" w:lineRule="auto"/>
            </w:pPr>
            <w:r>
              <w:rPr>
                <w:b w:val="0"/>
                <w:i w:val="0"/>
                <w:color w:val="27333B"/>
                <w:sz w:val="16"/>
              </w:rPr>
              <w:t>Account deletion/export</w:t>
            </w:r>
          </w:p>
        </w:tc>
        <w:tc>
          <w:tcPr>
            <w:tcW w:type="dxa" w:w="7344"/>
            <w:tcMar>
              <w:top w:w="70" w:type="dxa"/>
              <w:start w:w="85" w:type="dxa"/>
              <w:bottom w:w="70" w:type="dxa"/>
              <w:end w:w="85" w:type="dxa"/>
            </w:tcMar>
            <w:vAlign w:val="top"/>
          </w:tcPr>
          <w:p>
            <w:pPr>
              <w:spacing w:after="0" w:line="240" w:lineRule="auto"/>
            </w:pPr>
            <w:r>
              <w:rPr>
                <w:b w:val="0"/>
                <w:i w:val="0"/>
                <w:color w:val="27333B"/>
                <w:sz w:val="16"/>
              </w:rPr>
              <w:t>Authenticated request flow, machine-readable export where appropriate, deletion across active/derived stores, documented backup expiration.</w:t>
            </w:r>
          </w:p>
        </w:tc>
      </w:tr>
      <w:tr>
        <w:trPr>
          <w:cantSplit/>
        </w:trPr>
        <w:tc>
          <w:tcPr>
            <w:tcW w:type="dxa" w:w="2592"/>
            <w:tcMar>
              <w:top w:w="70" w:type="dxa"/>
              <w:start w:w="85" w:type="dxa"/>
              <w:bottom w:w="70" w:type="dxa"/>
              <w:end w:w="85" w:type="dxa"/>
            </w:tcMar>
            <w:vAlign w:val="top"/>
            <w:shd w:fill="F5F7F8"/>
          </w:tcPr>
          <w:p>
            <w:pPr>
              <w:spacing w:after="0" w:line="240" w:lineRule="auto"/>
            </w:pPr>
            <w:r>
              <w:rPr>
                <w:b w:val="0"/>
                <w:i w:val="0"/>
                <w:color w:val="27333B"/>
                <w:sz w:val="16"/>
              </w:rPr>
              <w:t>Subscription/billing</w:t>
            </w:r>
          </w:p>
        </w:tc>
        <w:tc>
          <w:tcPr>
            <w:tcW w:type="dxa" w:w="7344"/>
            <w:tcMar>
              <w:top w:w="70" w:type="dxa"/>
              <w:start w:w="85" w:type="dxa"/>
              <w:bottom w:w="70" w:type="dxa"/>
              <w:end w:w="85" w:type="dxa"/>
            </w:tcMar>
            <w:vAlign w:val="top"/>
            <w:shd w:fill="F5F7F8"/>
          </w:tcPr>
          <w:p>
            <w:pPr>
              <w:spacing w:after="0" w:line="240" w:lineRule="auto"/>
            </w:pPr>
            <w:r>
              <w:rPr>
                <w:b w:val="0"/>
                <w:i w:val="0"/>
                <w:color w:val="27333B"/>
                <w:sz w:val="16"/>
              </w:rPr>
              <w:t>Clear renewal/cancellation behavior, entitlement audit, minimal payment data through payment provider.</w:t>
            </w:r>
          </w:p>
        </w:tc>
      </w:tr>
    </w:tbl>
    <w:p>
      <w:pPr>
        <w:spacing w:after="0"/>
      </w:pPr>
    </w:p>
    <w:p>
      <w:pPr>
        <w:pStyle w:val="Heading1"/>
        <w:keepNext/>
      </w:pPr>
      <w:r>
        <w:t>21. Security Verification and Testing Plan</w:t>
      </w:r>
    </w:p>
    <w:p>
      <w:pPr>
        <w:pStyle w:val="Heading2"/>
        <w:keepNext/>
      </w:pPr>
      <w:r>
        <w:t>21.1 Automated security tests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2E6078"/>
            <w:tcMar>
              <w:top w:w="80" w:type="dxa"/>
              <w:start w:w="90" w:type="dxa"/>
              <w:bottom w:w="80" w:type="dxa"/>
              <w:end w:w="90" w:type="dxa"/>
            </w:tcMar>
          </w:tcPr>
          <w:p>
            <w:pPr>
              <w:spacing w:after="0"/>
              <w:jc w:val="left"/>
            </w:pPr>
            <w:r>
              <w:rPr>
                <w:b/>
                <w:i w:val="0"/>
                <w:color w:val="FFFFFF"/>
                <w:sz w:val="16"/>
              </w:rPr>
              <w:t>Test family</w:t>
            </w:r>
          </w:p>
        </w:tc>
        <w:tc>
          <w:tcPr>
            <w:tcW w:type="dxa" w:w="7416"/>
            <w:shd w:fill="2E6078"/>
            <w:tcMar>
              <w:top w:w="80" w:type="dxa"/>
              <w:start w:w="90" w:type="dxa"/>
              <w:bottom w:w="80" w:type="dxa"/>
              <w:end w:w="90" w:type="dxa"/>
            </w:tcMar>
          </w:tcPr>
          <w:p>
            <w:pPr>
              <w:spacing w:after="0"/>
              <w:jc w:val="left"/>
            </w:pPr>
            <w:r>
              <w:rPr>
                <w:b/>
                <w:i w:val="0"/>
                <w:color w:val="FFFFFF"/>
                <w:sz w:val="16"/>
              </w:rPr>
              <w:t>Minimum coverage</w:t>
            </w:r>
          </w:p>
        </w:tc>
      </w:tr>
      <w:tr>
        <w:trPr>
          <w:cantSplit/>
        </w:trPr>
        <w:tc>
          <w:tcPr>
            <w:tcW w:type="dxa" w:w="2520"/>
            <w:tcMar>
              <w:top w:w="70" w:type="dxa"/>
              <w:start w:w="85" w:type="dxa"/>
              <w:bottom w:w="70" w:type="dxa"/>
              <w:end w:w="85" w:type="dxa"/>
            </w:tcMar>
            <w:vAlign w:val="top"/>
          </w:tcPr>
          <w:p>
            <w:pPr>
              <w:spacing w:after="0" w:line="240" w:lineRule="auto"/>
            </w:pPr>
            <w:r>
              <w:rPr>
                <w:b w:val="0"/>
                <w:i w:val="0"/>
                <w:color w:val="27333B"/>
                <w:sz w:val="15"/>
              </w:rPr>
              <w:t>Authorization matrix</w:t>
            </w:r>
          </w:p>
        </w:tc>
        <w:tc>
          <w:tcPr>
            <w:tcW w:type="dxa" w:w="7416"/>
            <w:tcMar>
              <w:top w:w="70" w:type="dxa"/>
              <w:start w:w="85" w:type="dxa"/>
              <w:bottom w:w="70" w:type="dxa"/>
              <w:end w:w="85" w:type="dxa"/>
            </w:tcMar>
            <w:vAlign w:val="top"/>
          </w:tcPr>
          <w:p>
            <w:pPr>
              <w:spacing w:after="0" w:line="240" w:lineRule="auto"/>
            </w:pPr>
            <w:r>
              <w:rPr>
                <w:b w:val="0"/>
                <w:i w:val="0"/>
                <w:color w:val="27333B"/>
                <w:sz w:val="15"/>
              </w:rPr>
              <w:t>Every customer and support endpoint across owner/admin/viewer/no-membership/other-tenant cases.</w:t>
            </w:r>
          </w:p>
        </w:tc>
      </w:tr>
      <w:tr>
        <w:trPr>
          <w:cantSplit/>
        </w:trPr>
        <w:tc>
          <w:tcPr>
            <w:tcW w:type="dxa" w:w="2520"/>
            <w:tcMar>
              <w:top w:w="70" w:type="dxa"/>
              <w:start w:w="85" w:type="dxa"/>
              <w:bottom w:w="70" w:type="dxa"/>
              <w:end w:w="85" w:type="dxa"/>
            </w:tcMar>
            <w:vAlign w:val="top"/>
            <w:shd w:fill="F5F7F8"/>
          </w:tcPr>
          <w:p>
            <w:pPr>
              <w:spacing w:after="0" w:line="240" w:lineRule="auto"/>
            </w:pPr>
            <w:r>
              <w:rPr>
                <w:b w:val="0"/>
                <w:i w:val="0"/>
                <w:color w:val="27333B"/>
                <w:sz w:val="15"/>
              </w:rPr>
              <w:t>Agent identity</w:t>
            </w:r>
          </w:p>
        </w:tc>
        <w:tc>
          <w:tcPr>
            <w:tcW w:type="dxa" w:w="7416"/>
            <w:tcMar>
              <w:top w:w="70" w:type="dxa"/>
              <w:start w:w="85" w:type="dxa"/>
              <w:bottom w:w="70" w:type="dxa"/>
              <w:end w:w="85" w:type="dxa"/>
            </w:tcMar>
            <w:vAlign w:val="top"/>
            <w:shd w:fill="F5F7F8"/>
          </w:tcPr>
          <w:p>
            <w:pPr>
              <w:spacing w:after="0" w:line="240" w:lineRule="auto"/>
            </w:pPr>
            <w:r>
              <w:rPr>
                <w:b w:val="0"/>
                <w:i w:val="0"/>
                <w:color w:val="27333B"/>
                <w:sz w:val="15"/>
              </w:rPr>
              <w:t>Wrong property ID, revoked credential, cloned credential, expired enrollment token, replayed registration, capability mismatch.</w:t>
            </w:r>
          </w:p>
        </w:tc>
      </w:tr>
      <w:tr>
        <w:trPr>
          <w:cantSplit/>
        </w:trPr>
        <w:tc>
          <w:tcPr>
            <w:tcW w:type="dxa" w:w="2520"/>
            <w:tcMar>
              <w:top w:w="70" w:type="dxa"/>
              <w:start w:w="85" w:type="dxa"/>
              <w:bottom w:w="70" w:type="dxa"/>
              <w:end w:w="85" w:type="dxa"/>
            </w:tcMar>
            <w:vAlign w:val="top"/>
          </w:tcPr>
          <w:p>
            <w:pPr>
              <w:spacing w:after="0" w:line="240" w:lineRule="auto"/>
            </w:pPr>
            <w:r>
              <w:rPr>
                <w:b w:val="0"/>
                <w:i w:val="0"/>
                <w:color w:val="27333B"/>
                <w:sz w:val="15"/>
              </w:rPr>
              <w:t>Input robustness</w:t>
            </w:r>
          </w:p>
        </w:tc>
        <w:tc>
          <w:tcPr>
            <w:tcW w:type="dxa" w:w="7416"/>
            <w:tcMar>
              <w:top w:w="70" w:type="dxa"/>
              <w:start w:w="85" w:type="dxa"/>
              <w:bottom w:w="70" w:type="dxa"/>
              <w:end w:w="85" w:type="dxa"/>
            </w:tcMar>
            <w:vAlign w:val="top"/>
          </w:tcPr>
          <w:p>
            <w:pPr>
              <w:spacing w:after="0" w:line="240" w:lineRule="auto"/>
            </w:pPr>
            <w:r>
              <w:rPr>
                <w:b w:val="0"/>
                <w:i w:val="0"/>
                <w:color w:val="27333B"/>
                <w:sz w:val="15"/>
              </w:rPr>
              <w:t>Malformed JSON, unknown fields, extreme lengths, invalid Unicode, device-controlled injection strings, oversized batches.</w:t>
            </w:r>
          </w:p>
        </w:tc>
      </w:tr>
      <w:tr>
        <w:trPr>
          <w:cantSplit/>
        </w:trPr>
        <w:tc>
          <w:tcPr>
            <w:tcW w:type="dxa" w:w="2520"/>
            <w:tcMar>
              <w:top w:w="70" w:type="dxa"/>
              <w:start w:w="85" w:type="dxa"/>
              <w:bottom w:w="70" w:type="dxa"/>
              <w:end w:w="85" w:type="dxa"/>
            </w:tcMar>
            <w:vAlign w:val="top"/>
            <w:shd w:fill="F5F7F8"/>
          </w:tcPr>
          <w:p>
            <w:pPr>
              <w:spacing w:after="0" w:line="240" w:lineRule="auto"/>
            </w:pPr>
            <w:r>
              <w:rPr>
                <w:b w:val="0"/>
                <w:i w:val="0"/>
                <w:color w:val="27333B"/>
                <w:sz w:val="15"/>
              </w:rPr>
              <w:t>Idempotency/replay</w:t>
            </w:r>
          </w:p>
        </w:tc>
        <w:tc>
          <w:tcPr>
            <w:tcW w:type="dxa" w:w="7416"/>
            <w:tcMar>
              <w:top w:w="70" w:type="dxa"/>
              <w:start w:w="85" w:type="dxa"/>
              <w:bottom w:w="70" w:type="dxa"/>
              <w:end w:w="85" w:type="dxa"/>
            </w:tcMar>
            <w:vAlign w:val="top"/>
            <w:shd w:fill="F5F7F8"/>
          </w:tcPr>
          <w:p>
            <w:pPr>
              <w:spacing w:after="0" w:line="240" w:lineRule="auto"/>
            </w:pPr>
            <w:r>
              <w:rPr>
                <w:b w:val="0"/>
                <w:i w:val="0"/>
                <w:color w:val="27333B"/>
                <w:sz w:val="15"/>
              </w:rPr>
              <w:t>Duplicate event, reordered sequence, provider callback replay, retry after timeout, reconnect storm.</w:t>
            </w:r>
          </w:p>
        </w:tc>
      </w:tr>
      <w:tr>
        <w:trPr>
          <w:cantSplit/>
        </w:trPr>
        <w:tc>
          <w:tcPr>
            <w:tcW w:type="dxa" w:w="2520"/>
            <w:tcMar>
              <w:top w:w="70" w:type="dxa"/>
              <w:start w:w="85" w:type="dxa"/>
              <w:bottom w:w="70" w:type="dxa"/>
              <w:end w:w="85" w:type="dxa"/>
            </w:tcMar>
            <w:vAlign w:val="top"/>
          </w:tcPr>
          <w:p>
            <w:pPr>
              <w:spacing w:after="0" w:line="240" w:lineRule="auto"/>
            </w:pPr>
            <w:r>
              <w:rPr>
                <w:b w:val="0"/>
                <w:i w:val="0"/>
                <w:color w:val="27333B"/>
                <w:sz w:val="15"/>
              </w:rPr>
              <w:t>Notification abuse</w:t>
            </w:r>
          </w:p>
        </w:tc>
        <w:tc>
          <w:tcPr>
            <w:tcW w:type="dxa" w:w="7416"/>
            <w:tcMar>
              <w:top w:w="70" w:type="dxa"/>
              <w:start w:w="85" w:type="dxa"/>
              <w:bottom w:w="70" w:type="dxa"/>
              <w:end w:w="85" w:type="dxa"/>
            </w:tcMar>
            <w:vAlign w:val="top"/>
          </w:tcPr>
          <w:p>
            <w:pPr>
              <w:spacing w:after="0" w:line="240" w:lineRule="auto"/>
            </w:pPr>
            <w:r>
              <w:rPr>
                <w:b w:val="0"/>
                <w:i w:val="0"/>
                <w:color w:val="27333B"/>
                <w:sz w:val="15"/>
              </w:rPr>
              <w:t>Rapid incident churn, repeated destination changes, quota exhaustion, provider outage, duplicate receipts.</w:t>
            </w:r>
          </w:p>
        </w:tc>
      </w:tr>
      <w:tr>
        <w:trPr>
          <w:cantSplit/>
        </w:trPr>
        <w:tc>
          <w:tcPr>
            <w:tcW w:type="dxa" w:w="2520"/>
            <w:tcMar>
              <w:top w:w="70" w:type="dxa"/>
              <w:start w:w="85" w:type="dxa"/>
              <w:bottom w:w="70" w:type="dxa"/>
              <w:end w:w="85" w:type="dxa"/>
            </w:tcMar>
            <w:vAlign w:val="top"/>
            <w:shd w:fill="F5F7F8"/>
          </w:tcPr>
          <w:p>
            <w:pPr>
              <w:spacing w:after="0" w:line="240" w:lineRule="auto"/>
            </w:pPr>
            <w:r>
              <w:rPr>
                <w:b w:val="0"/>
                <w:i w:val="0"/>
                <w:color w:val="27333B"/>
                <w:sz w:val="15"/>
              </w:rPr>
              <w:t>Secret leakage</w:t>
            </w:r>
          </w:p>
        </w:tc>
        <w:tc>
          <w:tcPr>
            <w:tcW w:type="dxa" w:w="7416"/>
            <w:tcMar>
              <w:top w:w="70" w:type="dxa"/>
              <w:start w:w="85" w:type="dxa"/>
              <w:bottom w:w="70" w:type="dxa"/>
              <w:end w:w="85" w:type="dxa"/>
            </w:tcMar>
            <w:vAlign w:val="top"/>
            <w:shd w:fill="F5F7F8"/>
          </w:tcPr>
          <w:p>
            <w:pPr>
              <w:spacing w:after="0" w:line="240" w:lineRule="auto"/>
            </w:pPr>
            <w:r>
              <w:rPr>
                <w:b w:val="0"/>
                <w:i w:val="0"/>
                <w:color w:val="27333B"/>
                <w:sz w:val="15"/>
              </w:rPr>
              <w:t>Repository, build logs, runtime logs, support bundles, crash reports, analytics payloads, package contents.</w:t>
            </w:r>
          </w:p>
        </w:tc>
      </w:tr>
      <w:tr>
        <w:trPr>
          <w:cantSplit/>
        </w:trPr>
        <w:tc>
          <w:tcPr>
            <w:tcW w:type="dxa" w:w="2520"/>
            <w:tcMar>
              <w:top w:w="70" w:type="dxa"/>
              <w:start w:w="85" w:type="dxa"/>
              <w:bottom w:w="70" w:type="dxa"/>
              <w:end w:w="85" w:type="dxa"/>
            </w:tcMar>
            <w:vAlign w:val="top"/>
          </w:tcPr>
          <w:p>
            <w:pPr>
              <w:spacing w:after="0" w:line="240" w:lineRule="auto"/>
            </w:pPr>
            <w:r>
              <w:rPr>
                <w:b w:val="0"/>
                <w:i w:val="0"/>
                <w:color w:val="27333B"/>
                <w:sz w:val="15"/>
              </w:rPr>
              <w:t>Data lifecycle</w:t>
            </w:r>
          </w:p>
        </w:tc>
        <w:tc>
          <w:tcPr>
            <w:tcW w:type="dxa" w:w="7416"/>
            <w:tcMar>
              <w:top w:w="70" w:type="dxa"/>
              <w:start w:w="85" w:type="dxa"/>
              <w:bottom w:w="70" w:type="dxa"/>
              <w:end w:w="85" w:type="dxa"/>
            </w:tcMar>
            <w:vAlign w:val="top"/>
          </w:tcPr>
          <w:p>
            <w:pPr>
              <w:spacing w:after="0" w:line="240" w:lineRule="auto"/>
            </w:pPr>
            <w:r>
              <w:rPr>
                <w:b w:val="0"/>
                <w:i w:val="0"/>
                <w:color w:val="27333B"/>
                <w:sz w:val="15"/>
              </w:rPr>
              <w:t>Retention expiration, export, deletion, tenant closure, provider data, cache/search/backup handling.</w:t>
            </w:r>
          </w:p>
        </w:tc>
      </w:tr>
      <w:tr>
        <w:trPr>
          <w:cantSplit/>
        </w:trPr>
        <w:tc>
          <w:tcPr>
            <w:tcW w:type="dxa" w:w="2520"/>
            <w:tcMar>
              <w:top w:w="70" w:type="dxa"/>
              <w:start w:w="85" w:type="dxa"/>
              <w:bottom w:w="70" w:type="dxa"/>
              <w:end w:w="85" w:type="dxa"/>
            </w:tcMar>
            <w:vAlign w:val="top"/>
            <w:shd w:fill="F5F7F8"/>
          </w:tcPr>
          <w:p>
            <w:pPr>
              <w:spacing w:after="0" w:line="240" w:lineRule="auto"/>
            </w:pPr>
            <w:r>
              <w:rPr>
                <w:b w:val="0"/>
                <w:i w:val="0"/>
                <w:color w:val="27333B"/>
                <w:sz w:val="15"/>
              </w:rPr>
              <w:t>Update integrity</w:t>
            </w:r>
          </w:p>
        </w:tc>
        <w:tc>
          <w:tcPr>
            <w:tcW w:type="dxa" w:w="7416"/>
            <w:tcMar>
              <w:top w:w="70" w:type="dxa"/>
              <w:start w:w="85" w:type="dxa"/>
              <w:bottom w:w="70" w:type="dxa"/>
              <w:end w:w="85" w:type="dxa"/>
            </w:tcMar>
            <w:vAlign w:val="top"/>
            <w:shd w:fill="F5F7F8"/>
          </w:tcPr>
          <w:p>
            <w:pPr>
              <w:spacing w:after="0" w:line="240" w:lineRule="auto"/>
            </w:pPr>
            <w:r>
              <w:rPr>
                <w:b w:val="0"/>
                <w:i w:val="0"/>
                <w:color w:val="27333B"/>
                <w:sz w:val="15"/>
              </w:rPr>
              <w:t>Modified artifact, modified manifest, wrong signer, downgrade, blocked version, interrupted update, rollback.</w:t>
            </w:r>
          </w:p>
        </w:tc>
      </w:tr>
    </w:tbl>
    <w:p>
      <w:pPr>
        <w:spacing w:after="0"/>
      </w:pPr>
    </w:p>
    <w:p>
      <w:pPr>
        <w:pStyle w:val="Heading2"/>
        <w:keepNext/>
      </w:pPr>
      <w:r>
        <w:t>21.2 Independent assessment</w:t>
      </w:r>
    </w:p>
    <w:p>
      <w:pPr>
        <w:pStyle w:val="ListBullet"/>
      </w:pPr>
      <w:r>
        <w:t>Architecture and threat-model review before the prototype becomes a public beta.</w:t>
      </w:r>
    </w:p>
    <w:p>
      <w:pPr>
        <w:pStyle w:val="ListBullet"/>
      </w:pPr>
      <w:r>
        <w:t>Focused penetration test before public launch, covering customer/API authorization, agent enrollment/identity, web security, provider callbacks, and update verification.</w:t>
      </w:r>
    </w:p>
    <w:p>
      <w:pPr>
        <w:pStyle w:val="ListBullet"/>
      </w:pPr>
      <w:r>
        <w:t>Windows service and installer review for privilege, ACL, local IPC, secret storage, DLL loading, and update safety.</w:t>
      </w:r>
    </w:p>
    <w:p>
      <w:pPr>
        <w:pStyle w:val="ListBullet"/>
      </w:pPr>
      <w:r>
        <w:t>Privacy review of actual telemetry, logs, analytics, support views, exports, and deletion—not only written policy.</w:t>
      </w:r>
    </w:p>
    <w:p>
      <w:pPr>
        <w:pStyle w:val="ListBullet"/>
      </w:pPr>
      <w:r>
        <w:t>Remediation verification for all critical/high findings and documented acceptance for residual medium findings.</w:t>
      </w:r>
    </w:p>
    <w:p>
      <w:pPr>
        <w:pStyle w:val="Heading2"/>
        <w:keepNext/>
      </w:pPr>
      <w:r>
        <w:t>21.3 Adversarial scenarios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2E6078"/>
            <w:tcMar>
              <w:top w:w="80" w:type="dxa"/>
              <w:start w:w="90" w:type="dxa"/>
              <w:bottom w:w="80" w:type="dxa"/>
              <w:end w:w="90" w:type="dxa"/>
            </w:tcMar>
          </w:tcPr>
          <w:p>
            <w:pPr>
              <w:spacing w:after="0"/>
              <w:jc w:val="left"/>
            </w:pPr>
            <w:r>
              <w:rPr>
                <w:b/>
                <w:i w:val="0"/>
                <w:color w:val="FFFFFF"/>
                <w:sz w:val="16"/>
              </w:rPr>
              <w:t>Scenario</w:t>
            </w:r>
          </w:p>
        </w:tc>
        <w:tc>
          <w:tcPr>
            <w:tcW w:type="dxa" w:w="6336"/>
            <w:shd w:fill="2E6078"/>
            <w:tcMar>
              <w:top w:w="80" w:type="dxa"/>
              <w:start w:w="90" w:type="dxa"/>
              <w:bottom w:w="80" w:type="dxa"/>
              <w:end w:w="90" w:type="dxa"/>
            </w:tcMar>
          </w:tcPr>
          <w:p>
            <w:pPr>
              <w:spacing w:after="0"/>
              <w:jc w:val="left"/>
            </w:pPr>
            <w:r>
              <w:rPr>
                <w:b/>
                <w:i w:val="0"/>
                <w:color w:val="FFFFFF"/>
                <w:sz w:val="16"/>
              </w:rPr>
              <w:t>Pass condition</w:t>
            </w:r>
          </w:p>
        </w:tc>
      </w:tr>
      <w:tr>
        <w:trPr>
          <w:cantSplit/>
        </w:trPr>
        <w:tc>
          <w:tcPr>
            <w:tcW w:type="dxa" w:w="3600"/>
            <w:tcMar>
              <w:top w:w="70" w:type="dxa"/>
              <w:start w:w="85" w:type="dxa"/>
              <w:bottom w:w="70" w:type="dxa"/>
              <w:end w:w="85" w:type="dxa"/>
            </w:tcMar>
            <w:vAlign w:val="top"/>
          </w:tcPr>
          <w:p>
            <w:pPr>
              <w:spacing w:after="0" w:line="240" w:lineRule="auto"/>
            </w:pPr>
            <w:r>
              <w:rPr>
                <w:b w:val="0"/>
                <w:i w:val="0"/>
                <w:color w:val="27333B"/>
                <w:sz w:val="15"/>
              </w:rPr>
              <w:t>Attacker changes property UUID in an authorized API request.</w:t>
            </w:r>
          </w:p>
        </w:tc>
        <w:tc>
          <w:tcPr>
            <w:tcW w:type="dxa" w:w="6336"/>
            <w:tcMar>
              <w:top w:w="70" w:type="dxa"/>
              <w:start w:w="85" w:type="dxa"/>
              <w:bottom w:w="70" w:type="dxa"/>
              <w:end w:w="85" w:type="dxa"/>
            </w:tcMar>
            <w:vAlign w:val="top"/>
          </w:tcPr>
          <w:p>
            <w:pPr>
              <w:spacing w:after="0" w:line="240" w:lineRule="auto"/>
            </w:pPr>
            <w:r>
              <w:rPr>
                <w:b w:val="0"/>
                <w:i w:val="0"/>
                <w:color w:val="27333B"/>
                <w:sz w:val="15"/>
              </w:rPr>
              <w:t>No cross-property data or action; denial is logged without leaking existence.</w:t>
            </w:r>
          </w:p>
        </w:tc>
      </w:tr>
      <w:tr>
        <w:trPr>
          <w:cantSplit/>
        </w:trPr>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Agent credential is copied to a second machine.</w:t>
            </w:r>
          </w:p>
        </w:tc>
        <w:tc>
          <w:tcPr>
            <w:tcW w:type="dxa" w:w="6336"/>
            <w:tcMar>
              <w:top w:w="70" w:type="dxa"/>
              <w:start w:w="85" w:type="dxa"/>
              <w:bottom w:w="70" w:type="dxa"/>
              <w:end w:w="85" w:type="dxa"/>
            </w:tcMar>
            <w:vAlign w:val="top"/>
            <w:shd w:fill="F5F7F8"/>
          </w:tcPr>
          <w:p>
            <w:pPr>
              <w:spacing w:after="0" w:line="240" w:lineRule="auto"/>
            </w:pPr>
            <w:r>
              <w:rPr>
                <w:b w:val="0"/>
                <w:i w:val="0"/>
                <w:color w:val="27333B"/>
                <w:sz w:val="15"/>
              </w:rPr>
              <w:t>Anomaly becomes visible; blast radius remains one agent/property; credential can be revoked and re-enrolled.</w:t>
            </w:r>
          </w:p>
        </w:tc>
      </w:tr>
      <w:tr>
        <w:trPr>
          <w:cantSplit/>
        </w:trPr>
        <w:tc>
          <w:tcPr>
            <w:tcW w:type="dxa" w:w="3600"/>
            <w:tcMar>
              <w:top w:w="70" w:type="dxa"/>
              <w:start w:w="85" w:type="dxa"/>
              <w:bottom w:w="70" w:type="dxa"/>
              <w:end w:w="85" w:type="dxa"/>
            </w:tcMar>
            <w:vAlign w:val="top"/>
          </w:tcPr>
          <w:p>
            <w:pPr>
              <w:spacing w:after="0" w:line="240" w:lineRule="auto"/>
            </w:pPr>
            <w:r>
              <w:rPr>
                <w:b w:val="0"/>
                <w:i w:val="0"/>
                <w:color w:val="27333B"/>
                <w:sz w:val="15"/>
              </w:rPr>
              <w:t>Malicious LAN device returns script tags and control characters as hostname.</w:t>
            </w:r>
          </w:p>
        </w:tc>
        <w:tc>
          <w:tcPr>
            <w:tcW w:type="dxa" w:w="6336"/>
            <w:tcMar>
              <w:top w:w="70" w:type="dxa"/>
              <w:start w:w="85" w:type="dxa"/>
              <w:bottom w:w="70" w:type="dxa"/>
              <w:end w:w="85" w:type="dxa"/>
            </w:tcMar>
            <w:vAlign w:val="top"/>
          </w:tcPr>
          <w:p>
            <w:pPr>
              <w:spacing w:after="0" w:line="240" w:lineRule="auto"/>
            </w:pPr>
            <w:r>
              <w:rPr>
                <w:b w:val="0"/>
                <w:i w:val="0"/>
                <w:color w:val="27333B"/>
                <w:sz w:val="15"/>
              </w:rPr>
              <w:t>No execution, broken logs, notification injection, or export corruption.</w:t>
            </w:r>
          </w:p>
        </w:tc>
      </w:tr>
      <w:tr>
        <w:trPr>
          <w:cantSplit/>
        </w:trPr>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SMS provider sends callback twice and out of order.</w:t>
            </w:r>
          </w:p>
        </w:tc>
        <w:tc>
          <w:tcPr>
            <w:tcW w:type="dxa" w:w="6336"/>
            <w:tcMar>
              <w:top w:w="70" w:type="dxa"/>
              <w:start w:w="85" w:type="dxa"/>
              <w:bottom w:w="70" w:type="dxa"/>
              <w:end w:w="85" w:type="dxa"/>
            </w:tcMar>
            <w:vAlign w:val="top"/>
            <w:shd w:fill="F5F7F8"/>
          </w:tcPr>
          <w:p>
            <w:pPr>
              <w:spacing w:after="0" w:line="240" w:lineRule="auto"/>
            </w:pPr>
            <w:r>
              <w:rPr>
                <w:b w:val="0"/>
                <w:i w:val="0"/>
                <w:color w:val="27333B"/>
                <w:sz w:val="15"/>
              </w:rPr>
              <w:t>One logical delivery state; no duplicate escalation.</w:t>
            </w:r>
          </w:p>
        </w:tc>
      </w:tr>
      <w:tr>
        <w:trPr>
          <w:cantSplit/>
        </w:trPr>
        <w:tc>
          <w:tcPr>
            <w:tcW w:type="dxa" w:w="3600"/>
            <w:tcMar>
              <w:top w:w="70" w:type="dxa"/>
              <w:start w:w="85" w:type="dxa"/>
              <w:bottom w:w="70" w:type="dxa"/>
              <w:end w:w="85" w:type="dxa"/>
            </w:tcMar>
            <w:vAlign w:val="top"/>
          </w:tcPr>
          <w:p>
            <w:pPr>
              <w:spacing w:after="0" w:line="240" w:lineRule="auto"/>
            </w:pPr>
            <w:r>
              <w:rPr>
                <w:b w:val="0"/>
                <w:i w:val="0"/>
                <w:color w:val="27333B"/>
                <w:sz w:val="15"/>
              </w:rPr>
              <w:t>Customer account is taken over and alerts are disabled.</w:t>
            </w:r>
          </w:p>
        </w:tc>
        <w:tc>
          <w:tcPr>
            <w:tcW w:type="dxa" w:w="6336"/>
            <w:tcMar>
              <w:top w:w="70" w:type="dxa"/>
              <w:start w:w="85" w:type="dxa"/>
              <w:bottom w:w="70" w:type="dxa"/>
              <w:end w:w="85" w:type="dxa"/>
            </w:tcMar>
            <w:vAlign w:val="top"/>
          </w:tcPr>
          <w:p>
            <w:pPr>
              <w:spacing w:after="0" w:line="240" w:lineRule="auto"/>
            </w:pPr>
            <w:r>
              <w:rPr>
                <w:b w:val="0"/>
                <w:i w:val="0"/>
                <w:color w:val="27333B"/>
                <w:sz w:val="15"/>
              </w:rPr>
              <w:t>Sensitive action requires step-up and generates notice/audit to existing verified contact.</w:t>
            </w:r>
          </w:p>
        </w:tc>
      </w:tr>
      <w:tr>
        <w:trPr>
          <w:cantSplit/>
        </w:trPr>
        <w:tc>
          <w:tcPr>
            <w:tcW w:type="dxa" w:w="3600"/>
            <w:tcMar>
              <w:top w:w="70" w:type="dxa"/>
              <w:start w:w="85" w:type="dxa"/>
              <w:bottom w:w="70" w:type="dxa"/>
              <w:end w:w="85" w:type="dxa"/>
            </w:tcMar>
            <w:vAlign w:val="top"/>
            <w:shd w:fill="F5F7F8"/>
          </w:tcPr>
          <w:p>
            <w:pPr>
              <w:spacing w:after="0" w:line="240" w:lineRule="auto"/>
            </w:pPr>
            <w:r>
              <w:rPr>
                <w:b w:val="0"/>
                <w:i w:val="0"/>
                <w:color w:val="27333B"/>
                <w:sz w:val="15"/>
              </w:rPr>
              <w:t>Update package is altered after signing.</w:t>
            </w:r>
          </w:p>
        </w:tc>
        <w:tc>
          <w:tcPr>
            <w:tcW w:type="dxa" w:w="6336"/>
            <w:tcMar>
              <w:top w:w="70" w:type="dxa"/>
              <w:start w:w="85" w:type="dxa"/>
              <w:bottom w:w="70" w:type="dxa"/>
              <w:end w:w="85" w:type="dxa"/>
            </w:tcMar>
            <w:vAlign w:val="top"/>
            <w:shd w:fill="F5F7F8"/>
          </w:tcPr>
          <w:p>
            <w:pPr>
              <w:spacing w:after="0" w:line="240" w:lineRule="auto"/>
            </w:pPr>
            <w:r>
              <w:rPr>
                <w:b w:val="0"/>
                <w:i w:val="0"/>
                <w:color w:val="27333B"/>
                <w:sz w:val="15"/>
              </w:rPr>
              <w:t>Agent rejects package and remains on known-good version.</w:t>
            </w:r>
          </w:p>
        </w:tc>
      </w:tr>
      <w:tr>
        <w:trPr>
          <w:cantSplit/>
        </w:trPr>
        <w:tc>
          <w:tcPr>
            <w:tcW w:type="dxa" w:w="3600"/>
            <w:tcMar>
              <w:top w:w="70" w:type="dxa"/>
              <w:start w:w="85" w:type="dxa"/>
              <w:bottom w:w="70" w:type="dxa"/>
              <w:end w:w="85" w:type="dxa"/>
            </w:tcMar>
            <w:vAlign w:val="top"/>
          </w:tcPr>
          <w:p>
            <w:pPr>
              <w:spacing w:after="0" w:line="240" w:lineRule="auto"/>
            </w:pPr>
            <w:r>
              <w:rPr>
                <w:b w:val="0"/>
                <w:i w:val="0"/>
                <w:color w:val="27333B"/>
                <w:sz w:val="15"/>
              </w:rPr>
              <w:t>Cloud outage causes many missed heartbeats.</w:t>
            </w:r>
          </w:p>
        </w:tc>
        <w:tc>
          <w:tcPr>
            <w:tcW w:type="dxa" w:w="6336"/>
            <w:tcMar>
              <w:top w:w="70" w:type="dxa"/>
              <w:start w:w="85" w:type="dxa"/>
              <w:bottom w:w="70" w:type="dxa"/>
              <w:end w:w="85" w:type="dxa"/>
            </w:tcMar>
            <w:vAlign w:val="top"/>
          </w:tcPr>
          <w:p>
            <w:pPr>
              <w:spacing w:after="0" w:line="240" w:lineRule="auto"/>
            </w:pPr>
            <w:r>
              <w:rPr>
                <w:b w:val="0"/>
                <w:i w:val="0"/>
                <w:color w:val="27333B"/>
                <w:sz w:val="15"/>
              </w:rPr>
              <w:t>Platform identifies systemic event and suppresses misleading possible-tampering classifications.</w:t>
            </w:r>
          </w:p>
        </w:tc>
      </w:tr>
    </w:tbl>
    <w:p>
      <w:pPr>
        <w:spacing w:after="0"/>
      </w:pPr>
    </w:p>
    <w:p>
      <w:pPr>
        <w:pStyle w:val="Heading1"/>
        <w:keepNext/>
      </w:pPr>
      <w:r>
        <w:t>22. Security and Privacy Launch Gates</w:t>
      </w:r>
    </w:p>
    <w:p>
      <w:pPr>
        <w:pStyle w:val="Heading2"/>
        <w:keepNext/>
      </w:pPr>
      <w:r>
        <w:t>22.1 Prototype gate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2E6078"/>
            <w:tcMar>
              <w:top w:w="80" w:type="dxa"/>
              <w:start w:w="90" w:type="dxa"/>
              <w:bottom w:w="80" w:type="dxa"/>
              <w:end w:w="90" w:type="dxa"/>
            </w:tcMar>
          </w:tcPr>
          <w:p>
            <w:pPr>
              <w:spacing w:after="0"/>
              <w:jc w:val="left"/>
            </w:pPr>
            <w:r>
              <w:rPr>
                <w:b/>
                <w:i w:val="0"/>
                <w:color w:val="FFFFFF"/>
                <w:sz w:val="16"/>
              </w:rPr>
              <w:t>Gate</w:t>
            </w:r>
          </w:p>
        </w:tc>
        <w:tc>
          <w:tcPr>
            <w:tcW w:type="dxa" w:w="6840"/>
            <w:shd w:fill="2E6078"/>
            <w:tcMar>
              <w:top w:w="80" w:type="dxa"/>
              <w:start w:w="90" w:type="dxa"/>
              <w:bottom w:w="80" w:type="dxa"/>
              <w:end w:w="90" w:type="dxa"/>
            </w:tcMar>
          </w:tcPr>
          <w:p>
            <w:pPr>
              <w:spacing w:after="0"/>
              <w:jc w:val="left"/>
            </w:pPr>
            <w:r>
              <w:rPr>
                <w:b/>
                <w:i w:val="0"/>
                <w:color w:val="FFFFFF"/>
                <w:sz w:val="16"/>
              </w:rPr>
              <w:t>Exit evidence</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Per-agent identity</w:t>
            </w:r>
          </w:p>
        </w:tc>
        <w:tc>
          <w:tcPr>
            <w:tcW w:type="dxa" w:w="6840"/>
            <w:tcMar>
              <w:top w:w="70" w:type="dxa"/>
              <w:start w:w="85" w:type="dxa"/>
              <w:bottom w:w="70" w:type="dxa"/>
              <w:end w:w="85" w:type="dxa"/>
            </w:tcMar>
            <w:vAlign w:val="top"/>
          </w:tcPr>
          <w:p>
            <w:pPr>
              <w:spacing w:after="0" w:line="240" w:lineRule="auto"/>
            </w:pPr>
            <w:r>
              <w:rPr>
                <w:b w:val="0"/>
                <w:i w:val="0"/>
                <w:color w:val="27333B"/>
                <w:sz w:val="16"/>
              </w:rPr>
              <w:t>Registration, secure local storage, revocation, and property binding demonstrated.</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Outbound-only operation</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No inbound port forwarding; packet capture confirms expected destinations and payload classes.</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Local journal safety</w:t>
            </w:r>
          </w:p>
        </w:tc>
        <w:tc>
          <w:tcPr>
            <w:tcW w:type="dxa" w:w="6840"/>
            <w:tcMar>
              <w:top w:w="70" w:type="dxa"/>
              <w:start w:w="85" w:type="dxa"/>
              <w:bottom w:w="70" w:type="dxa"/>
              <w:end w:w="85" w:type="dxa"/>
            </w:tcMar>
            <w:vAlign w:val="top"/>
          </w:tcPr>
          <w:p>
            <w:pPr>
              <w:spacing w:after="0" w:line="240" w:lineRule="auto"/>
            </w:pPr>
            <w:r>
              <w:rPr>
                <w:b w:val="0"/>
                <w:i w:val="0"/>
                <w:color w:val="27333B"/>
                <w:sz w:val="16"/>
              </w:rPr>
              <w:t>Crash/restart/replay without corruption or uncontrolled duplicate notifications.</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Secret hygiene</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No secrets in logs, telemetry, support bundle, code repository, or package.</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Incident honesty</w:t>
            </w:r>
          </w:p>
        </w:tc>
        <w:tc>
          <w:tcPr>
            <w:tcW w:type="dxa" w:w="6840"/>
            <w:tcMar>
              <w:top w:w="70" w:type="dxa"/>
              <w:start w:w="85" w:type="dxa"/>
              <w:bottom w:w="70" w:type="dxa"/>
              <w:end w:w="85" w:type="dxa"/>
            </w:tcMar>
            <w:vAlign w:val="top"/>
          </w:tcPr>
          <w:p>
            <w:pPr>
              <w:spacing w:after="0" w:line="240" w:lineRule="auto"/>
            </w:pPr>
            <w:r>
              <w:rPr>
                <w:b w:val="0"/>
                <w:i w:val="0"/>
                <w:color w:val="27333B"/>
                <w:sz w:val="16"/>
              </w:rPr>
              <w:t>Systemic cloud failure and unknown cause do not produce accusatory tamper claims.</w:t>
            </w:r>
          </w:p>
        </w:tc>
      </w:tr>
    </w:tbl>
    <w:p>
      <w:pPr>
        <w:spacing w:after="0"/>
      </w:pPr>
    </w:p>
    <w:p>
      <w:pPr>
        <w:pStyle w:val="Heading2"/>
        <w:keepNext/>
      </w:pPr>
      <w:r>
        <w:t>22.2 Private beta gate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2E6078"/>
            <w:tcMar>
              <w:top w:w="80" w:type="dxa"/>
              <w:start w:w="90" w:type="dxa"/>
              <w:bottom w:w="80" w:type="dxa"/>
              <w:end w:w="90" w:type="dxa"/>
            </w:tcMar>
          </w:tcPr>
          <w:p>
            <w:pPr>
              <w:spacing w:after="0"/>
              <w:jc w:val="left"/>
            </w:pPr>
            <w:r>
              <w:rPr>
                <w:b/>
                <w:i w:val="0"/>
                <w:color w:val="FFFFFF"/>
                <w:sz w:val="16"/>
              </w:rPr>
              <w:t>Gate</w:t>
            </w:r>
          </w:p>
        </w:tc>
        <w:tc>
          <w:tcPr>
            <w:tcW w:type="dxa" w:w="6840"/>
            <w:shd w:fill="2E6078"/>
            <w:tcMar>
              <w:top w:w="80" w:type="dxa"/>
              <w:start w:w="90" w:type="dxa"/>
              <w:bottom w:w="80" w:type="dxa"/>
              <w:end w:w="90" w:type="dxa"/>
            </w:tcMar>
          </w:tcPr>
          <w:p>
            <w:pPr>
              <w:spacing w:after="0"/>
              <w:jc w:val="left"/>
            </w:pPr>
            <w:r>
              <w:rPr>
                <w:b/>
                <w:i w:val="0"/>
                <w:color w:val="FFFFFF"/>
                <w:sz w:val="16"/>
              </w:rPr>
              <w:t>Exit evidence</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Tenant isolation</w:t>
            </w:r>
          </w:p>
        </w:tc>
        <w:tc>
          <w:tcPr>
            <w:tcW w:type="dxa" w:w="6840"/>
            <w:tcMar>
              <w:top w:w="70" w:type="dxa"/>
              <w:start w:w="85" w:type="dxa"/>
              <w:bottom w:w="70" w:type="dxa"/>
              <w:end w:w="85" w:type="dxa"/>
            </w:tcMar>
            <w:vAlign w:val="top"/>
          </w:tcPr>
          <w:p>
            <w:pPr>
              <w:spacing w:after="0" w:line="240" w:lineRule="auto"/>
            </w:pPr>
            <w:r>
              <w:rPr>
                <w:b w:val="0"/>
                <w:i w:val="0"/>
                <w:color w:val="27333B"/>
                <w:sz w:val="16"/>
              </w:rPr>
              <w:t>Automated authorization matrix and independent review pass.</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Customer identity</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Secure session/recovery; MFA-ready; step-up for sensitive changes.</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Notification consent</w:t>
            </w:r>
          </w:p>
        </w:tc>
        <w:tc>
          <w:tcPr>
            <w:tcW w:type="dxa" w:w="6840"/>
            <w:tcMar>
              <w:top w:w="70" w:type="dxa"/>
              <w:start w:w="85" w:type="dxa"/>
              <w:bottom w:w="70" w:type="dxa"/>
              <w:end w:w="85" w:type="dxa"/>
            </w:tcMar>
            <w:vAlign w:val="top"/>
          </w:tcPr>
          <w:p>
            <w:pPr>
              <w:spacing w:after="0" w:line="240" w:lineRule="auto"/>
            </w:pPr>
            <w:r>
              <w:rPr>
                <w:b w:val="0"/>
                <w:i w:val="0"/>
                <w:color w:val="27333B"/>
                <w:sz w:val="16"/>
              </w:rPr>
              <w:t>Verified destinations, opt-out/removal, rate limits, delivery status, test flow.</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Data inventory/privacy notice</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Actual telemetry and provider flows documented and matched to product behavior.</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Secure updates</w:t>
            </w:r>
          </w:p>
        </w:tc>
        <w:tc>
          <w:tcPr>
            <w:tcW w:type="dxa" w:w="6840"/>
            <w:tcMar>
              <w:top w:w="70" w:type="dxa"/>
              <w:start w:w="85" w:type="dxa"/>
              <w:bottom w:w="70" w:type="dxa"/>
              <w:end w:w="85" w:type="dxa"/>
            </w:tcMar>
            <w:vAlign w:val="top"/>
          </w:tcPr>
          <w:p>
            <w:pPr>
              <w:spacing w:after="0" w:line="240" w:lineRule="auto"/>
            </w:pPr>
            <w:r>
              <w:rPr>
                <w:b w:val="0"/>
                <w:i w:val="0"/>
                <w:color w:val="27333B"/>
                <w:sz w:val="16"/>
              </w:rPr>
              <w:t>Signed installer/update, staged rollout, pause/rollback drill.</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Incident response</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On-call contacts, severity model, evidence access, provider revocation, and tabletop exercise.</w:t>
            </w:r>
          </w:p>
        </w:tc>
      </w:tr>
    </w:tbl>
    <w:p>
      <w:pPr>
        <w:spacing w:after="0"/>
      </w:pPr>
    </w:p>
    <w:p>
      <w:pPr>
        <w:pStyle w:val="Heading2"/>
        <w:keepNext/>
      </w:pPr>
      <w:r>
        <w:t>22.3 Public launch gate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2E6078"/>
            <w:tcMar>
              <w:top w:w="80" w:type="dxa"/>
              <w:start w:w="90" w:type="dxa"/>
              <w:bottom w:w="80" w:type="dxa"/>
              <w:end w:w="90" w:type="dxa"/>
            </w:tcMar>
          </w:tcPr>
          <w:p>
            <w:pPr>
              <w:spacing w:after="0"/>
              <w:jc w:val="left"/>
            </w:pPr>
            <w:r>
              <w:rPr>
                <w:b/>
                <w:i w:val="0"/>
                <w:color w:val="FFFFFF"/>
                <w:sz w:val="16"/>
              </w:rPr>
              <w:t>Gate</w:t>
            </w:r>
          </w:p>
        </w:tc>
        <w:tc>
          <w:tcPr>
            <w:tcW w:type="dxa" w:w="6840"/>
            <w:shd w:fill="2E6078"/>
            <w:tcMar>
              <w:top w:w="80" w:type="dxa"/>
              <w:start w:w="90" w:type="dxa"/>
              <w:bottom w:w="80" w:type="dxa"/>
              <w:end w:w="90" w:type="dxa"/>
            </w:tcMar>
          </w:tcPr>
          <w:p>
            <w:pPr>
              <w:spacing w:after="0"/>
              <w:jc w:val="left"/>
            </w:pPr>
            <w:r>
              <w:rPr>
                <w:b/>
                <w:i w:val="0"/>
                <w:color w:val="FFFFFF"/>
                <w:sz w:val="16"/>
              </w:rPr>
              <w:t>Exit evidence</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Independent security test</w:t>
            </w:r>
          </w:p>
        </w:tc>
        <w:tc>
          <w:tcPr>
            <w:tcW w:type="dxa" w:w="6840"/>
            <w:tcMar>
              <w:top w:w="70" w:type="dxa"/>
              <w:start w:w="85" w:type="dxa"/>
              <w:bottom w:w="70" w:type="dxa"/>
              <w:end w:w="85" w:type="dxa"/>
            </w:tcMar>
            <w:vAlign w:val="top"/>
          </w:tcPr>
          <w:p>
            <w:pPr>
              <w:spacing w:after="0" w:line="240" w:lineRule="auto"/>
            </w:pPr>
            <w:r>
              <w:rPr>
                <w:b w:val="0"/>
                <w:i w:val="0"/>
                <w:color w:val="27333B"/>
                <w:sz w:val="16"/>
              </w:rPr>
              <w:t>Critical/high findings resolved and retested; residual risks accepted.</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Backup and recovery</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Successful restore drill and notification-queue durability exercise.</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Vulnerability disclosure</w:t>
            </w:r>
          </w:p>
        </w:tc>
        <w:tc>
          <w:tcPr>
            <w:tcW w:type="dxa" w:w="6840"/>
            <w:tcMar>
              <w:top w:w="70" w:type="dxa"/>
              <w:start w:w="85" w:type="dxa"/>
              <w:bottom w:w="70" w:type="dxa"/>
              <w:end w:w="85" w:type="dxa"/>
            </w:tcMar>
            <w:vAlign w:val="top"/>
          </w:tcPr>
          <w:p>
            <w:pPr>
              <w:spacing w:after="0" w:line="240" w:lineRule="auto"/>
            </w:pPr>
            <w:r>
              <w:rPr>
                <w:b w:val="0"/>
                <w:i w:val="0"/>
                <w:color w:val="27333B"/>
                <w:sz w:val="16"/>
              </w:rPr>
              <w:t>Published security contact and internal triage/remediation process.</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Operational access</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MFA, individual accounts, JIT/break-glass, logging, quarterly access review.</w:t>
            </w:r>
          </w:p>
        </w:tc>
      </w:tr>
      <w:tr>
        <w:trPr>
          <w:cantSplit/>
        </w:trPr>
        <w:tc>
          <w:tcPr>
            <w:tcW w:type="dxa" w:w="3096"/>
            <w:tcMar>
              <w:top w:w="70" w:type="dxa"/>
              <w:start w:w="85" w:type="dxa"/>
              <w:bottom w:w="70" w:type="dxa"/>
              <w:end w:w="85" w:type="dxa"/>
            </w:tcMar>
            <w:vAlign w:val="top"/>
          </w:tcPr>
          <w:p>
            <w:pPr>
              <w:spacing w:after="0" w:line="240" w:lineRule="auto"/>
            </w:pPr>
            <w:r>
              <w:rPr>
                <w:b w:val="0"/>
                <w:i w:val="0"/>
                <w:color w:val="27333B"/>
                <w:sz w:val="16"/>
              </w:rPr>
              <w:t>Legal/privacy readiness</w:t>
            </w:r>
          </w:p>
        </w:tc>
        <w:tc>
          <w:tcPr>
            <w:tcW w:type="dxa" w:w="6840"/>
            <w:tcMar>
              <w:top w:w="70" w:type="dxa"/>
              <w:start w:w="85" w:type="dxa"/>
              <w:bottom w:w="70" w:type="dxa"/>
              <w:end w:w="85" w:type="dxa"/>
            </w:tcMar>
            <w:vAlign w:val="top"/>
          </w:tcPr>
          <w:p>
            <w:pPr>
              <w:spacing w:after="0" w:line="240" w:lineRule="auto"/>
            </w:pPr>
            <w:r>
              <w:rPr>
                <w:b w:val="0"/>
                <w:i w:val="0"/>
                <w:color w:val="27333B"/>
                <w:sz w:val="16"/>
              </w:rPr>
              <w:t>Qualified review of notices, terms, SMS practices, subscriptions, vendor contracts, and incident obligations.</w:t>
            </w:r>
          </w:p>
        </w:tc>
      </w:tr>
      <w:tr>
        <w:trPr>
          <w:cantSplit/>
        </w:trPr>
        <w:tc>
          <w:tcPr>
            <w:tcW w:type="dxa" w:w="3096"/>
            <w:tcMar>
              <w:top w:w="70" w:type="dxa"/>
              <w:start w:w="85" w:type="dxa"/>
              <w:bottom w:w="70" w:type="dxa"/>
              <w:end w:w="85" w:type="dxa"/>
            </w:tcMar>
            <w:vAlign w:val="top"/>
            <w:shd w:fill="F5F7F8"/>
          </w:tcPr>
          <w:p>
            <w:pPr>
              <w:spacing w:after="0" w:line="240" w:lineRule="auto"/>
            </w:pPr>
            <w:r>
              <w:rPr>
                <w:b w:val="0"/>
                <w:i w:val="0"/>
                <w:color w:val="27333B"/>
                <w:sz w:val="16"/>
              </w:rPr>
              <w:t>Metrics and alarms</w:t>
            </w:r>
          </w:p>
        </w:tc>
        <w:tc>
          <w:tcPr>
            <w:tcW w:type="dxa" w:w="6840"/>
            <w:tcMar>
              <w:top w:w="70" w:type="dxa"/>
              <w:start w:w="85" w:type="dxa"/>
              <w:bottom w:w="70" w:type="dxa"/>
              <w:end w:w="85" w:type="dxa"/>
            </w:tcMar>
            <w:vAlign w:val="top"/>
            <w:shd w:fill="F5F7F8"/>
          </w:tcPr>
          <w:p>
            <w:pPr>
              <w:spacing w:after="0" w:line="240" w:lineRule="auto"/>
            </w:pPr>
            <w:r>
              <w:rPr>
                <w:b w:val="0"/>
                <w:i w:val="0"/>
                <w:color w:val="27333B"/>
                <w:sz w:val="16"/>
              </w:rPr>
              <w:t>Security, provider cost, delivery, authorization-denial, and cross-tenant anomaly alerts tested.</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NO SILENT WAIVERS</w:t>
            </w:r>
          </w:p>
          <w:p>
            <w:pPr>
              <w:spacing w:after="0"/>
            </w:pPr>
            <w:r>
              <w:rPr>
                <w:b w:val="0"/>
                <w:i w:val="0"/>
                <w:color w:val="27333B"/>
                <w:sz w:val="20"/>
              </w:rPr>
              <w:t>A failed P0 gate cannot be treated as “good enough” through an undocumented decision. Deferral requires a written risk statement, compensating control, owner, deadline, and explicit founder approval.</w:t>
            </w:r>
          </w:p>
        </w:tc>
      </w:tr>
    </w:tbl>
    <w:p>
      <w:pPr>
        <w:spacing w:after="0"/>
      </w:pPr>
    </w:p>
    <w:p>
      <w:pPr>
        <w:pStyle w:val="Heading1"/>
        <w:keepNext/>
      </w:pPr>
      <w:r>
        <w:t>23. Initial Security Risk Register</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648"/>
            <w:shd w:fill="2E6078"/>
            <w:tcMar>
              <w:top w:w="80" w:type="dxa"/>
              <w:start w:w="90" w:type="dxa"/>
              <w:bottom w:w="80" w:type="dxa"/>
              <w:end w:w="90" w:type="dxa"/>
            </w:tcMar>
          </w:tcPr>
          <w:p>
            <w:pPr>
              <w:spacing w:after="0"/>
              <w:jc w:val="left"/>
            </w:pPr>
            <w:r>
              <w:rPr>
                <w:b/>
                <w:i w:val="0"/>
                <w:color w:val="FFFFFF"/>
                <w:sz w:val="16"/>
              </w:rPr>
              <w:t>ID</w:t>
            </w:r>
          </w:p>
        </w:tc>
        <w:tc>
          <w:tcPr>
            <w:tcW w:type="dxa" w:w="2376"/>
            <w:shd w:fill="2E6078"/>
            <w:tcMar>
              <w:top w:w="80" w:type="dxa"/>
              <w:start w:w="90" w:type="dxa"/>
              <w:bottom w:w="80" w:type="dxa"/>
              <w:end w:w="90" w:type="dxa"/>
            </w:tcMar>
          </w:tcPr>
          <w:p>
            <w:pPr>
              <w:spacing w:after="0"/>
              <w:jc w:val="left"/>
            </w:pPr>
            <w:r>
              <w:rPr>
                <w:b/>
                <w:i w:val="0"/>
                <w:color w:val="FFFFFF"/>
                <w:sz w:val="16"/>
              </w:rPr>
              <w:t>Risk</w:t>
            </w:r>
          </w:p>
        </w:tc>
        <w:tc>
          <w:tcPr>
            <w:tcW w:type="dxa" w:w="403"/>
            <w:shd w:fill="2E6078"/>
            <w:tcMar>
              <w:top w:w="80" w:type="dxa"/>
              <w:start w:w="90" w:type="dxa"/>
              <w:bottom w:w="80" w:type="dxa"/>
              <w:end w:w="90" w:type="dxa"/>
            </w:tcMar>
          </w:tcPr>
          <w:p>
            <w:pPr>
              <w:spacing w:after="0"/>
              <w:jc w:val="left"/>
            </w:pPr>
            <w:r>
              <w:rPr>
                <w:b/>
                <w:i w:val="0"/>
                <w:color w:val="FFFFFF"/>
                <w:sz w:val="16"/>
              </w:rPr>
              <w:t>L</w:t>
            </w:r>
          </w:p>
        </w:tc>
        <w:tc>
          <w:tcPr>
            <w:tcW w:type="dxa" w:w="403"/>
            <w:shd w:fill="2E6078"/>
            <w:tcMar>
              <w:top w:w="80" w:type="dxa"/>
              <w:start w:w="90" w:type="dxa"/>
              <w:bottom w:w="80" w:type="dxa"/>
              <w:end w:w="90" w:type="dxa"/>
            </w:tcMar>
          </w:tcPr>
          <w:p>
            <w:pPr>
              <w:spacing w:after="0"/>
              <w:jc w:val="left"/>
            </w:pPr>
            <w:r>
              <w:rPr>
                <w:b/>
                <w:i w:val="0"/>
                <w:color w:val="FFFFFF"/>
                <w:sz w:val="16"/>
              </w:rPr>
              <w:t>I</w:t>
            </w:r>
          </w:p>
        </w:tc>
        <w:tc>
          <w:tcPr>
            <w:tcW w:type="dxa" w:w="936"/>
            <w:shd w:fill="2E6078"/>
            <w:tcMar>
              <w:top w:w="80" w:type="dxa"/>
              <w:start w:w="90" w:type="dxa"/>
              <w:bottom w:w="80" w:type="dxa"/>
              <w:end w:w="90" w:type="dxa"/>
            </w:tcMar>
          </w:tcPr>
          <w:p>
            <w:pPr>
              <w:spacing w:after="0"/>
              <w:jc w:val="left"/>
            </w:pPr>
            <w:r>
              <w:rPr>
                <w:b/>
                <w:i w:val="0"/>
                <w:color w:val="FFFFFF"/>
                <w:sz w:val="16"/>
              </w:rPr>
              <w:t>Score</w:t>
            </w:r>
          </w:p>
        </w:tc>
        <w:tc>
          <w:tcPr>
            <w:tcW w:type="dxa" w:w="3384"/>
            <w:shd w:fill="2E6078"/>
            <w:tcMar>
              <w:top w:w="80" w:type="dxa"/>
              <w:start w:w="90" w:type="dxa"/>
              <w:bottom w:w="80" w:type="dxa"/>
              <w:end w:w="90" w:type="dxa"/>
            </w:tcMar>
          </w:tcPr>
          <w:p>
            <w:pPr>
              <w:spacing w:after="0"/>
              <w:jc w:val="left"/>
            </w:pPr>
            <w:r>
              <w:rPr>
                <w:b/>
                <w:i w:val="0"/>
                <w:color w:val="FFFFFF"/>
                <w:sz w:val="16"/>
              </w:rPr>
              <w:t>Primary treatment</w:t>
            </w:r>
          </w:p>
        </w:tc>
        <w:tc>
          <w:tcPr>
            <w:tcW w:type="dxa" w:w="1080"/>
            <w:shd w:fill="2E6078"/>
            <w:tcMar>
              <w:top w:w="80" w:type="dxa"/>
              <w:start w:w="90" w:type="dxa"/>
              <w:bottom w:w="80" w:type="dxa"/>
              <w:end w:w="90" w:type="dxa"/>
            </w:tcMar>
          </w:tcPr>
          <w:p>
            <w:pPr>
              <w:spacing w:after="0"/>
              <w:jc w:val="left"/>
            </w:pPr>
            <w:r>
              <w:rPr>
                <w:b/>
                <w:i w:val="0"/>
                <w:color w:val="FFFFFF"/>
                <w:sz w:val="16"/>
              </w:rPr>
              <w:t>Owner</w:t>
            </w:r>
          </w:p>
        </w:tc>
        <w:tc>
          <w:tcPr>
            <w:tcW w:type="dxa" w:w="1296"/>
            <w:shd w:fill="2E6078"/>
            <w:tcMar>
              <w:top w:w="80" w:type="dxa"/>
              <w:start w:w="90" w:type="dxa"/>
              <w:bottom w:w="80" w:type="dxa"/>
              <w:end w:w="90" w:type="dxa"/>
            </w:tcMar>
          </w:tcPr>
          <w:p>
            <w:pPr>
              <w:spacing w:after="0"/>
              <w:jc w:val="left"/>
            </w:pPr>
            <w:r>
              <w:rPr>
                <w:b/>
                <w:i w:val="0"/>
                <w:color w:val="FFFFFF"/>
                <w:sz w:val="16"/>
              </w:rPr>
              <w:t>Status</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R-01</w:t>
            </w:r>
          </w:p>
        </w:tc>
        <w:tc>
          <w:tcPr>
            <w:tcW w:type="dxa" w:w="2376"/>
            <w:tcMar>
              <w:top w:w="70" w:type="dxa"/>
              <w:start w:w="85" w:type="dxa"/>
              <w:bottom w:w="70" w:type="dxa"/>
              <w:end w:w="85" w:type="dxa"/>
            </w:tcMar>
            <w:vAlign w:val="top"/>
          </w:tcPr>
          <w:p>
            <w:pPr>
              <w:spacing w:after="0" w:line="240" w:lineRule="auto"/>
            </w:pPr>
            <w:r>
              <w:rPr>
                <w:b w:val="0"/>
                <w:i w:val="0"/>
                <w:color w:val="27333B"/>
                <w:sz w:val="13"/>
              </w:rPr>
              <w:t>Cross-tenant authorization flaw</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5</w:t>
            </w:r>
          </w:p>
        </w:tc>
        <w:tc>
          <w:tcPr>
            <w:tcW w:type="dxa" w:w="936"/>
            <w:tcMar>
              <w:top w:w="70" w:type="dxa"/>
              <w:start w:w="85" w:type="dxa"/>
              <w:bottom w:w="70" w:type="dxa"/>
              <w:end w:w="85" w:type="dxa"/>
            </w:tcMar>
            <w:vAlign w:val="top"/>
          </w:tcPr>
          <w:p>
            <w:pPr>
              <w:spacing w:after="0" w:line="240" w:lineRule="auto"/>
            </w:pPr>
            <w:r>
              <w:rPr>
                <w:b w:val="0"/>
                <w:i w:val="0"/>
                <w:color w:val="27333B"/>
                <w:sz w:val="13"/>
              </w:rPr>
              <w:t>15 High</w:t>
            </w:r>
          </w:p>
        </w:tc>
        <w:tc>
          <w:tcPr>
            <w:tcW w:type="dxa" w:w="3384"/>
            <w:tcMar>
              <w:top w:w="70" w:type="dxa"/>
              <w:start w:w="85" w:type="dxa"/>
              <w:bottom w:w="70" w:type="dxa"/>
              <w:end w:w="85" w:type="dxa"/>
            </w:tcMar>
            <w:vAlign w:val="top"/>
          </w:tcPr>
          <w:p>
            <w:pPr>
              <w:spacing w:after="0" w:line="240" w:lineRule="auto"/>
            </w:pPr>
            <w:r>
              <w:rPr>
                <w:b w:val="0"/>
                <w:i w:val="0"/>
                <w:color w:val="27333B"/>
                <w:sz w:val="13"/>
              </w:rPr>
              <w:t>Enforce tenant context; negative tests; independent review.</w:t>
            </w:r>
          </w:p>
        </w:tc>
        <w:tc>
          <w:tcPr>
            <w:tcW w:type="dxa" w:w="1080"/>
            <w:tcMar>
              <w:top w:w="70" w:type="dxa"/>
              <w:start w:w="85" w:type="dxa"/>
              <w:bottom w:w="70" w:type="dxa"/>
              <w:end w:w="85" w:type="dxa"/>
            </w:tcMar>
            <w:vAlign w:val="top"/>
          </w:tcPr>
          <w:p>
            <w:pPr>
              <w:spacing w:after="0" w:line="240" w:lineRule="auto"/>
            </w:pPr>
            <w:r>
              <w:rPr>
                <w:b w:val="0"/>
                <w:i w:val="0"/>
                <w:color w:val="27333B"/>
                <w:sz w:val="13"/>
              </w:rPr>
              <w:t>Engineering/Security</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R-02</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Compromised agent update pipeline</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2</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5</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10 High</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Signed artifacts, isolated signing, provenance, staged rollout, rollback.</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Engineering/Founder</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R-03</w:t>
            </w:r>
          </w:p>
        </w:tc>
        <w:tc>
          <w:tcPr>
            <w:tcW w:type="dxa" w:w="2376"/>
            <w:tcMar>
              <w:top w:w="70" w:type="dxa"/>
              <w:start w:w="85" w:type="dxa"/>
              <w:bottom w:w="70" w:type="dxa"/>
              <w:end w:w="85" w:type="dxa"/>
            </w:tcMar>
            <w:vAlign w:val="top"/>
          </w:tcPr>
          <w:p>
            <w:pPr>
              <w:spacing w:after="0" w:line="240" w:lineRule="auto"/>
            </w:pPr>
            <w:r>
              <w:rPr>
                <w:b w:val="0"/>
                <w:i w:val="0"/>
                <w:color w:val="27333B"/>
                <w:sz w:val="13"/>
              </w:rPr>
              <w:t>Account takeover suppresses alerts</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4</w:t>
            </w:r>
          </w:p>
        </w:tc>
        <w:tc>
          <w:tcPr>
            <w:tcW w:type="dxa" w:w="936"/>
            <w:tcMar>
              <w:top w:w="70" w:type="dxa"/>
              <w:start w:w="85" w:type="dxa"/>
              <w:bottom w:w="70" w:type="dxa"/>
              <w:end w:w="85" w:type="dxa"/>
            </w:tcMar>
            <w:vAlign w:val="top"/>
          </w:tcPr>
          <w:p>
            <w:pPr>
              <w:spacing w:after="0" w:line="240" w:lineRule="auto"/>
            </w:pPr>
            <w:r>
              <w:rPr>
                <w:b w:val="0"/>
                <w:i w:val="0"/>
                <w:color w:val="27333B"/>
                <w:sz w:val="13"/>
              </w:rPr>
              <w:t>12 High</w:t>
            </w:r>
          </w:p>
        </w:tc>
        <w:tc>
          <w:tcPr>
            <w:tcW w:type="dxa" w:w="3384"/>
            <w:tcMar>
              <w:top w:w="70" w:type="dxa"/>
              <w:start w:w="85" w:type="dxa"/>
              <w:bottom w:w="70" w:type="dxa"/>
              <w:end w:w="85" w:type="dxa"/>
            </w:tcMar>
            <w:vAlign w:val="top"/>
          </w:tcPr>
          <w:p>
            <w:pPr>
              <w:spacing w:after="0" w:line="240" w:lineRule="auto"/>
            </w:pPr>
            <w:r>
              <w:rPr>
                <w:b w:val="0"/>
                <w:i w:val="0"/>
                <w:color w:val="27333B"/>
                <w:sz w:val="13"/>
              </w:rPr>
              <w:t>MFA-ready identity, step-up, notices, session revocation, audit.</w:t>
            </w:r>
          </w:p>
        </w:tc>
        <w:tc>
          <w:tcPr>
            <w:tcW w:type="dxa" w:w="1080"/>
            <w:tcMar>
              <w:top w:w="70" w:type="dxa"/>
              <w:start w:w="85" w:type="dxa"/>
              <w:bottom w:w="70" w:type="dxa"/>
              <w:end w:w="85" w:type="dxa"/>
            </w:tcMar>
            <w:vAlign w:val="top"/>
          </w:tcPr>
          <w:p>
            <w:pPr>
              <w:spacing w:after="0" w:line="240" w:lineRule="auto"/>
            </w:pPr>
            <w:r>
              <w:rPr>
                <w:b w:val="0"/>
                <w:i w:val="0"/>
                <w:color w:val="27333B"/>
                <w:sz w:val="13"/>
              </w:rPr>
              <w:t>Product/Engineering</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R-04</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SMS abuse or cost attack</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4</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12 High</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Consent, rate limits, quotas, spending caps, anomaly alarms.</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Operations/Product</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R-05</w:t>
            </w:r>
          </w:p>
        </w:tc>
        <w:tc>
          <w:tcPr>
            <w:tcW w:type="dxa" w:w="2376"/>
            <w:tcMar>
              <w:top w:w="70" w:type="dxa"/>
              <w:start w:w="85" w:type="dxa"/>
              <w:bottom w:w="70" w:type="dxa"/>
              <w:end w:w="85" w:type="dxa"/>
            </w:tcMar>
            <w:vAlign w:val="top"/>
          </w:tcPr>
          <w:p>
            <w:pPr>
              <w:spacing w:after="0" w:line="240" w:lineRule="auto"/>
            </w:pPr>
            <w:r>
              <w:rPr>
                <w:b w:val="0"/>
                <w:i w:val="0"/>
                <w:color w:val="27333B"/>
                <w:sz w:val="13"/>
              </w:rPr>
              <w:t>Cloud outage misclassified as property tampering</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4</w:t>
            </w:r>
          </w:p>
        </w:tc>
        <w:tc>
          <w:tcPr>
            <w:tcW w:type="dxa" w:w="936"/>
            <w:tcMar>
              <w:top w:w="70" w:type="dxa"/>
              <w:start w:w="85" w:type="dxa"/>
              <w:bottom w:w="70" w:type="dxa"/>
              <w:end w:w="85" w:type="dxa"/>
            </w:tcMar>
            <w:vAlign w:val="top"/>
          </w:tcPr>
          <w:p>
            <w:pPr>
              <w:spacing w:after="0" w:line="240" w:lineRule="auto"/>
            </w:pPr>
            <w:r>
              <w:rPr>
                <w:b w:val="0"/>
                <w:i w:val="0"/>
                <w:color w:val="27333B"/>
                <w:sz w:val="13"/>
              </w:rPr>
              <w:t>12 High</w:t>
            </w:r>
          </w:p>
        </w:tc>
        <w:tc>
          <w:tcPr>
            <w:tcW w:type="dxa" w:w="3384"/>
            <w:tcMar>
              <w:top w:w="70" w:type="dxa"/>
              <w:start w:w="85" w:type="dxa"/>
              <w:bottom w:w="70" w:type="dxa"/>
              <w:end w:w="85" w:type="dxa"/>
            </w:tcMar>
            <w:vAlign w:val="top"/>
          </w:tcPr>
          <w:p>
            <w:pPr>
              <w:spacing w:after="0" w:line="240" w:lineRule="auto"/>
            </w:pPr>
            <w:r>
              <w:rPr>
                <w:b w:val="0"/>
                <w:i w:val="0"/>
                <w:color w:val="27333B"/>
                <w:sz w:val="13"/>
              </w:rPr>
              <w:t>Systemic-event detection, platform health correlation, conservative wording.</w:t>
            </w:r>
          </w:p>
        </w:tc>
        <w:tc>
          <w:tcPr>
            <w:tcW w:type="dxa" w:w="1080"/>
            <w:tcMar>
              <w:top w:w="70" w:type="dxa"/>
              <w:start w:w="85" w:type="dxa"/>
              <w:bottom w:w="70" w:type="dxa"/>
              <w:end w:w="85" w:type="dxa"/>
            </w:tcMar>
            <w:vAlign w:val="top"/>
          </w:tcPr>
          <w:p>
            <w:pPr>
              <w:spacing w:after="0" w:line="240" w:lineRule="auto"/>
            </w:pPr>
            <w:r>
              <w:rPr>
                <w:b w:val="0"/>
                <w:i w:val="0"/>
                <w:color w:val="27333B"/>
                <w:sz w:val="13"/>
              </w:rPr>
              <w:t>Engineering/Product</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R-06</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LAN parser vulnerability compromises agent</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4</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12 High</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No shell, bounded parsers, fuzzing, least privilege, sandbox where practical.</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Agent Engineering</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R-07</w:t>
            </w:r>
          </w:p>
        </w:tc>
        <w:tc>
          <w:tcPr>
            <w:tcW w:type="dxa" w:w="2376"/>
            <w:tcMar>
              <w:top w:w="70" w:type="dxa"/>
              <w:start w:w="85" w:type="dxa"/>
              <w:bottom w:w="70" w:type="dxa"/>
              <w:end w:w="85" w:type="dxa"/>
            </w:tcMar>
            <w:vAlign w:val="top"/>
          </w:tcPr>
          <w:p>
            <w:pPr>
              <w:spacing w:after="0" w:line="240" w:lineRule="auto"/>
            </w:pPr>
            <w:r>
              <w:rPr>
                <w:b w:val="0"/>
                <w:i w:val="0"/>
                <w:color w:val="27333B"/>
                <w:sz w:val="13"/>
              </w:rPr>
              <w:t>Camera credentials leak through logs/support</w:t>
            </w:r>
          </w:p>
        </w:tc>
        <w:tc>
          <w:tcPr>
            <w:tcW w:type="dxa" w:w="403"/>
            <w:tcMar>
              <w:top w:w="70" w:type="dxa"/>
              <w:start w:w="85" w:type="dxa"/>
              <w:bottom w:w="70" w:type="dxa"/>
              <w:end w:w="85" w:type="dxa"/>
            </w:tcMar>
            <w:vAlign w:val="top"/>
          </w:tcPr>
          <w:p>
            <w:pPr>
              <w:spacing w:after="0" w:line="240" w:lineRule="auto"/>
            </w:pPr>
            <w:r>
              <w:rPr>
                <w:b w:val="0"/>
                <w:i w:val="0"/>
                <w:color w:val="27333B"/>
                <w:sz w:val="13"/>
              </w:rPr>
              <w:t>2</w:t>
            </w:r>
          </w:p>
        </w:tc>
        <w:tc>
          <w:tcPr>
            <w:tcW w:type="dxa" w:w="403"/>
            <w:tcMar>
              <w:top w:w="70" w:type="dxa"/>
              <w:start w:w="85" w:type="dxa"/>
              <w:bottom w:w="70" w:type="dxa"/>
              <w:end w:w="85" w:type="dxa"/>
            </w:tcMar>
            <w:vAlign w:val="top"/>
          </w:tcPr>
          <w:p>
            <w:pPr>
              <w:spacing w:after="0" w:line="240" w:lineRule="auto"/>
            </w:pPr>
            <w:r>
              <w:rPr>
                <w:b w:val="0"/>
                <w:i w:val="0"/>
                <w:color w:val="27333B"/>
                <w:sz w:val="13"/>
              </w:rPr>
              <w:t>5</w:t>
            </w:r>
          </w:p>
        </w:tc>
        <w:tc>
          <w:tcPr>
            <w:tcW w:type="dxa" w:w="936"/>
            <w:tcMar>
              <w:top w:w="70" w:type="dxa"/>
              <w:start w:w="85" w:type="dxa"/>
              <w:bottom w:w="70" w:type="dxa"/>
              <w:end w:w="85" w:type="dxa"/>
            </w:tcMar>
            <w:vAlign w:val="top"/>
          </w:tcPr>
          <w:p>
            <w:pPr>
              <w:spacing w:after="0" w:line="240" w:lineRule="auto"/>
            </w:pPr>
            <w:r>
              <w:rPr>
                <w:b w:val="0"/>
                <w:i w:val="0"/>
                <w:color w:val="27333B"/>
                <w:sz w:val="13"/>
              </w:rPr>
              <w:t>10 High</w:t>
            </w:r>
          </w:p>
        </w:tc>
        <w:tc>
          <w:tcPr>
            <w:tcW w:type="dxa" w:w="3384"/>
            <w:tcMar>
              <w:top w:w="70" w:type="dxa"/>
              <w:start w:w="85" w:type="dxa"/>
              <w:bottom w:w="70" w:type="dxa"/>
              <w:end w:w="85" w:type="dxa"/>
            </w:tcMar>
            <w:vAlign w:val="top"/>
          </w:tcPr>
          <w:p>
            <w:pPr>
              <w:spacing w:after="0" w:line="240" w:lineRule="auto"/>
            </w:pPr>
            <w:r>
              <w:rPr>
                <w:b w:val="0"/>
                <w:i w:val="0"/>
                <w:color w:val="27333B"/>
                <w:sz w:val="13"/>
              </w:rPr>
              <w:t>Local protected storage, redaction, secret tests, no cloud telemetry.</w:t>
            </w:r>
          </w:p>
        </w:tc>
        <w:tc>
          <w:tcPr>
            <w:tcW w:type="dxa" w:w="1080"/>
            <w:tcMar>
              <w:top w:w="70" w:type="dxa"/>
              <w:start w:w="85" w:type="dxa"/>
              <w:bottom w:w="70" w:type="dxa"/>
              <w:end w:w="85" w:type="dxa"/>
            </w:tcMar>
            <w:vAlign w:val="top"/>
          </w:tcPr>
          <w:p>
            <w:pPr>
              <w:spacing w:after="0" w:line="240" w:lineRule="auto"/>
            </w:pPr>
            <w:r>
              <w:rPr>
                <w:b w:val="0"/>
                <w:i w:val="0"/>
                <w:color w:val="27333B"/>
                <w:sz w:val="13"/>
              </w:rPr>
              <w:t>Agent/Cloud</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R-08</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Support insider views sensitive property data</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2</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4</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8 Medium</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Masked default, JIT elevation, audit, access reviews, alerts.</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Operations/Security</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R-09</w:t>
            </w:r>
          </w:p>
        </w:tc>
        <w:tc>
          <w:tcPr>
            <w:tcW w:type="dxa" w:w="2376"/>
            <w:tcMar>
              <w:top w:w="70" w:type="dxa"/>
              <w:start w:w="85" w:type="dxa"/>
              <w:bottom w:w="70" w:type="dxa"/>
              <w:end w:w="85" w:type="dxa"/>
            </w:tcMar>
            <w:vAlign w:val="top"/>
          </w:tcPr>
          <w:p>
            <w:pPr>
              <w:spacing w:after="0" w:line="240" w:lineRule="auto"/>
            </w:pPr>
            <w:r>
              <w:rPr>
                <w:b w:val="0"/>
                <w:i w:val="0"/>
                <w:color w:val="27333B"/>
                <w:sz w:val="13"/>
              </w:rPr>
              <w:t>Agent cloned or credential stolen</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936"/>
            <w:tcMar>
              <w:top w:w="70" w:type="dxa"/>
              <w:start w:w="85" w:type="dxa"/>
              <w:bottom w:w="70" w:type="dxa"/>
              <w:end w:w="85" w:type="dxa"/>
            </w:tcMar>
            <w:vAlign w:val="top"/>
          </w:tcPr>
          <w:p>
            <w:pPr>
              <w:spacing w:after="0" w:line="240" w:lineRule="auto"/>
            </w:pPr>
            <w:r>
              <w:rPr>
                <w:b w:val="0"/>
                <w:i w:val="0"/>
                <w:color w:val="27333B"/>
                <w:sz w:val="13"/>
              </w:rPr>
              <w:t>9 Medium</w:t>
            </w:r>
          </w:p>
        </w:tc>
        <w:tc>
          <w:tcPr>
            <w:tcW w:type="dxa" w:w="3384"/>
            <w:tcMar>
              <w:top w:w="70" w:type="dxa"/>
              <w:start w:w="85" w:type="dxa"/>
              <w:bottom w:w="70" w:type="dxa"/>
              <w:end w:w="85" w:type="dxa"/>
            </w:tcMar>
            <w:vAlign w:val="top"/>
          </w:tcPr>
          <w:p>
            <w:pPr>
              <w:spacing w:after="0" w:line="240" w:lineRule="auto"/>
            </w:pPr>
            <w:r>
              <w:rPr>
                <w:b w:val="0"/>
                <w:i w:val="0"/>
                <w:color w:val="27333B"/>
                <w:sz w:val="13"/>
              </w:rPr>
              <w:t>OS protection, agent anomaly detection, revocation/re-enrollment.</w:t>
            </w:r>
          </w:p>
        </w:tc>
        <w:tc>
          <w:tcPr>
            <w:tcW w:type="dxa" w:w="1080"/>
            <w:tcMar>
              <w:top w:w="70" w:type="dxa"/>
              <w:start w:w="85" w:type="dxa"/>
              <w:bottom w:w="70" w:type="dxa"/>
              <w:end w:w="85" w:type="dxa"/>
            </w:tcMar>
            <w:vAlign w:val="top"/>
          </w:tcPr>
          <w:p>
            <w:pPr>
              <w:spacing w:after="0" w:line="240" w:lineRule="auto"/>
            </w:pPr>
            <w:r>
              <w:rPr>
                <w:b w:val="0"/>
                <w:i w:val="0"/>
                <w:color w:val="27333B"/>
                <w:sz w:val="13"/>
              </w:rPr>
              <w:t>Agent/Cloud</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R-10</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Data retained beyond stated purpose</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9 Medium</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Data inventory, retention jobs, deletion tests, provider review.</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Product/Privacy</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R-11</w:t>
            </w:r>
          </w:p>
        </w:tc>
        <w:tc>
          <w:tcPr>
            <w:tcW w:type="dxa" w:w="2376"/>
            <w:tcMar>
              <w:top w:w="70" w:type="dxa"/>
              <w:start w:w="85" w:type="dxa"/>
              <w:bottom w:w="70" w:type="dxa"/>
              <w:end w:w="85" w:type="dxa"/>
            </w:tcMar>
            <w:vAlign w:val="top"/>
          </w:tcPr>
          <w:p>
            <w:pPr>
              <w:spacing w:after="0" w:line="240" w:lineRule="auto"/>
            </w:pPr>
            <w:r>
              <w:rPr>
                <w:b w:val="0"/>
                <w:i w:val="0"/>
                <w:color w:val="27333B"/>
                <w:sz w:val="13"/>
              </w:rPr>
              <w:t>Unverified trusted contact receives alarming alerts</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936"/>
            <w:tcMar>
              <w:top w:w="70" w:type="dxa"/>
              <w:start w:w="85" w:type="dxa"/>
              <w:bottom w:w="70" w:type="dxa"/>
              <w:end w:w="85" w:type="dxa"/>
            </w:tcMar>
            <w:vAlign w:val="top"/>
          </w:tcPr>
          <w:p>
            <w:pPr>
              <w:spacing w:after="0" w:line="240" w:lineRule="auto"/>
            </w:pPr>
            <w:r>
              <w:rPr>
                <w:b w:val="0"/>
                <w:i w:val="0"/>
                <w:color w:val="27333B"/>
                <w:sz w:val="13"/>
              </w:rPr>
              <w:t>9 Medium</w:t>
            </w:r>
          </w:p>
        </w:tc>
        <w:tc>
          <w:tcPr>
            <w:tcW w:type="dxa" w:w="3384"/>
            <w:tcMar>
              <w:top w:w="70" w:type="dxa"/>
              <w:start w:w="85" w:type="dxa"/>
              <w:bottom w:w="70" w:type="dxa"/>
              <w:end w:w="85" w:type="dxa"/>
            </w:tcMar>
            <w:vAlign w:val="top"/>
          </w:tcPr>
          <w:p>
            <w:pPr>
              <w:spacing w:after="0" w:line="240" w:lineRule="auto"/>
            </w:pPr>
            <w:r>
              <w:rPr>
                <w:b w:val="0"/>
                <w:i w:val="0"/>
                <w:color w:val="27333B"/>
                <w:sz w:val="13"/>
              </w:rPr>
              <w:t>Verification, consent record, owner notice, opt-out/removal.</w:t>
            </w:r>
          </w:p>
        </w:tc>
        <w:tc>
          <w:tcPr>
            <w:tcW w:type="dxa" w:w="1080"/>
            <w:tcMar>
              <w:top w:w="70" w:type="dxa"/>
              <w:start w:w="85" w:type="dxa"/>
              <w:bottom w:w="70" w:type="dxa"/>
              <w:end w:w="85" w:type="dxa"/>
            </w:tcMar>
            <w:vAlign w:val="top"/>
          </w:tcPr>
          <w:p>
            <w:pPr>
              <w:spacing w:after="0" w:line="240" w:lineRule="auto"/>
            </w:pPr>
            <w:r>
              <w:rPr>
                <w:b w:val="0"/>
                <w:i w:val="0"/>
                <w:color w:val="27333B"/>
                <w:sz w:val="13"/>
              </w:rPr>
              <w:t>Product/Operations</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R-12</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Local administrator tampers with evidence</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4</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2</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8 Medium</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Document limitation, cloud heartbeat, sequence/checksums, replay timestamps.</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Product/Agent</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Accepted with mitigation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R-13</w:t>
            </w:r>
          </w:p>
        </w:tc>
        <w:tc>
          <w:tcPr>
            <w:tcW w:type="dxa" w:w="2376"/>
            <w:tcMar>
              <w:top w:w="70" w:type="dxa"/>
              <w:start w:w="85" w:type="dxa"/>
              <w:bottom w:w="70" w:type="dxa"/>
              <w:end w:w="85" w:type="dxa"/>
            </w:tcMar>
            <w:vAlign w:val="top"/>
          </w:tcPr>
          <w:p>
            <w:pPr>
              <w:spacing w:after="0" w:line="240" w:lineRule="auto"/>
            </w:pPr>
            <w:r>
              <w:rPr>
                <w:b w:val="0"/>
                <w:i w:val="0"/>
                <w:color w:val="27333B"/>
                <w:sz w:val="13"/>
              </w:rPr>
              <w:t>Dependency or CI compromise</w:t>
            </w:r>
          </w:p>
        </w:tc>
        <w:tc>
          <w:tcPr>
            <w:tcW w:type="dxa" w:w="403"/>
            <w:tcMar>
              <w:top w:w="70" w:type="dxa"/>
              <w:start w:w="85" w:type="dxa"/>
              <w:bottom w:w="70" w:type="dxa"/>
              <w:end w:w="85" w:type="dxa"/>
            </w:tcMar>
            <w:vAlign w:val="top"/>
          </w:tcPr>
          <w:p>
            <w:pPr>
              <w:spacing w:after="0" w:line="240" w:lineRule="auto"/>
            </w:pPr>
            <w:r>
              <w:rPr>
                <w:b w:val="0"/>
                <w:i w:val="0"/>
                <w:color w:val="27333B"/>
                <w:sz w:val="13"/>
              </w:rPr>
              <w:t>2</w:t>
            </w:r>
          </w:p>
        </w:tc>
        <w:tc>
          <w:tcPr>
            <w:tcW w:type="dxa" w:w="403"/>
            <w:tcMar>
              <w:top w:w="70" w:type="dxa"/>
              <w:start w:w="85" w:type="dxa"/>
              <w:bottom w:w="70" w:type="dxa"/>
              <w:end w:w="85" w:type="dxa"/>
            </w:tcMar>
            <w:vAlign w:val="top"/>
          </w:tcPr>
          <w:p>
            <w:pPr>
              <w:spacing w:after="0" w:line="240" w:lineRule="auto"/>
            </w:pPr>
            <w:r>
              <w:rPr>
                <w:b w:val="0"/>
                <w:i w:val="0"/>
                <w:color w:val="27333B"/>
                <w:sz w:val="13"/>
              </w:rPr>
              <w:t>5</w:t>
            </w:r>
          </w:p>
        </w:tc>
        <w:tc>
          <w:tcPr>
            <w:tcW w:type="dxa" w:w="936"/>
            <w:tcMar>
              <w:top w:w="70" w:type="dxa"/>
              <w:start w:w="85" w:type="dxa"/>
              <w:bottom w:w="70" w:type="dxa"/>
              <w:end w:w="85" w:type="dxa"/>
            </w:tcMar>
            <w:vAlign w:val="top"/>
          </w:tcPr>
          <w:p>
            <w:pPr>
              <w:spacing w:after="0" w:line="240" w:lineRule="auto"/>
            </w:pPr>
            <w:r>
              <w:rPr>
                <w:b w:val="0"/>
                <w:i w:val="0"/>
                <w:color w:val="27333B"/>
                <w:sz w:val="13"/>
              </w:rPr>
              <w:t>10 High</w:t>
            </w:r>
          </w:p>
        </w:tc>
        <w:tc>
          <w:tcPr>
            <w:tcW w:type="dxa" w:w="3384"/>
            <w:tcMar>
              <w:top w:w="70" w:type="dxa"/>
              <w:start w:w="85" w:type="dxa"/>
              <w:bottom w:w="70" w:type="dxa"/>
              <w:end w:w="85" w:type="dxa"/>
            </w:tcMar>
            <w:vAlign w:val="top"/>
          </w:tcPr>
          <w:p>
            <w:pPr>
              <w:spacing w:after="0" w:line="240" w:lineRule="auto"/>
            </w:pPr>
            <w:r>
              <w:rPr>
                <w:b w:val="0"/>
                <w:i w:val="0"/>
                <w:color w:val="27333B"/>
                <w:sz w:val="13"/>
              </w:rPr>
              <w:t>Lockfiles, scanning, protected runners, SBOM, provenance, signing separation.</w:t>
            </w:r>
          </w:p>
        </w:tc>
        <w:tc>
          <w:tcPr>
            <w:tcW w:type="dxa" w:w="1080"/>
            <w:tcMar>
              <w:top w:w="70" w:type="dxa"/>
              <w:start w:w="85" w:type="dxa"/>
              <w:bottom w:w="70" w:type="dxa"/>
              <w:end w:w="85" w:type="dxa"/>
            </w:tcMar>
            <w:vAlign w:val="top"/>
          </w:tcPr>
          <w:p>
            <w:pPr>
              <w:spacing w:after="0" w:line="240" w:lineRule="auto"/>
            </w:pPr>
            <w:r>
              <w:rPr>
                <w:b w:val="0"/>
                <w:i w:val="0"/>
                <w:color w:val="27333B"/>
                <w:sz w:val="13"/>
              </w:rPr>
              <w:t>Engineering</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shd w:fill="F5F7F8"/>
          </w:tcPr>
          <w:p>
            <w:pPr>
              <w:spacing w:after="0" w:line="240" w:lineRule="auto"/>
            </w:pPr>
            <w:r>
              <w:rPr>
                <w:b/>
                <w:i w:val="0"/>
                <w:color w:val="27333B"/>
                <w:sz w:val="13"/>
              </w:rPr>
              <w:t>R-14</w:t>
            </w:r>
          </w:p>
        </w:tc>
        <w:tc>
          <w:tcPr>
            <w:tcW w:type="dxa" w:w="2376"/>
            <w:tcMar>
              <w:top w:w="70" w:type="dxa"/>
              <w:start w:w="85" w:type="dxa"/>
              <w:bottom w:w="70" w:type="dxa"/>
              <w:end w:w="85" w:type="dxa"/>
            </w:tcMar>
            <w:vAlign w:val="top"/>
            <w:shd w:fill="F5F7F8"/>
          </w:tcPr>
          <w:p>
            <w:pPr>
              <w:spacing w:after="0" w:line="240" w:lineRule="auto"/>
            </w:pPr>
            <w:r>
              <w:rPr>
                <w:b w:val="0"/>
                <w:i w:val="0"/>
                <w:color w:val="27333B"/>
                <w:sz w:val="13"/>
              </w:rPr>
              <w:t>Provider callback forgery/replay</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403"/>
            <w:tcMar>
              <w:top w:w="70" w:type="dxa"/>
              <w:start w:w="85" w:type="dxa"/>
              <w:bottom w:w="70" w:type="dxa"/>
              <w:end w:w="85" w:type="dxa"/>
            </w:tcMar>
            <w:vAlign w:val="top"/>
            <w:shd w:fill="F5F7F8"/>
          </w:tcPr>
          <w:p>
            <w:pPr>
              <w:spacing w:after="0" w:line="240" w:lineRule="auto"/>
            </w:pPr>
            <w:r>
              <w:rPr>
                <w:b w:val="0"/>
                <w:i w:val="0"/>
                <w:color w:val="27333B"/>
                <w:sz w:val="13"/>
              </w:rPr>
              <w:t>3</w:t>
            </w:r>
          </w:p>
        </w:tc>
        <w:tc>
          <w:tcPr>
            <w:tcW w:type="dxa" w:w="936"/>
            <w:tcMar>
              <w:top w:w="70" w:type="dxa"/>
              <w:start w:w="85" w:type="dxa"/>
              <w:bottom w:w="70" w:type="dxa"/>
              <w:end w:w="85" w:type="dxa"/>
            </w:tcMar>
            <w:vAlign w:val="top"/>
            <w:shd w:fill="F5F7F8"/>
          </w:tcPr>
          <w:p>
            <w:pPr>
              <w:spacing w:after="0" w:line="240" w:lineRule="auto"/>
            </w:pPr>
            <w:r>
              <w:rPr>
                <w:b w:val="0"/>
                <w:i w:val="0"/>
                <w:color w:val="27333B"/>
                <w:sz w:val="13"/>
              </w:rPr>
              <w:t>9 Medium</w:t>
            </w:r>
          </w:p>
        </w:tc>
        <w:tc>
          <w:tcPr>
            <w:tcW w:type="dxa" w:w="3384"/>
            <w:tcMar>
              <w:top w:w="70" w:type="dxa"/>
              <w:start w:w="85" w:type="dxa"/>
              <w:bottom w:w="70" w:type="dxa"/>
              <w:end w:w="85" w:type="dxa"/>
            </w:tcMar>
            <w:vAlign w:val="top"/>
            <w:shd w:fill="F5F7F8"/>
          </w:tcPr>
          <w:p>
            <w:pPr>
              <w:spacing w:after="0" w:line="240" w:lineRule="auto"/>
            </w:pPr>
            <w:r>
              <w:rPr>
                <w:b w:val="0"/>
                <w:i w:val="0"/>
                <w:color w:val="27333B"/>
                <w:sz w:val="13"/>
              </w:rPr>
              <w:t>Signature/timestamp validation, event IDs, idempotency.</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3"/>
              </w:rPr>
              <w:t>Cloud Engineering</w:t>
            </w:r>
          </w:p>
        </w:tc>
        <w:tc>
          <w:tcPr>
            <w:tcW w:type="dxa" w:w="1296"/>
            <w:tcMar>
              <w:top w:w="70" w:type="dxa"/>
              <w:start w:w="85" w:type="dxa"/>
              <w:bottom w:w="70" w:type="dxa"/>
              <w:end w:w="85" w:type="dxa"/>
            </w:tcMar>
            <w:vAlign w:val="top"/>
            <w:shd w:fill="F5F7F8"/>
          </w:tcPr>
          <w:p>
            <w:pPr>
              <w:spacing w:after="0" w:line="240" w:lineRule="auto"/>
            </w:pPr>
            <w:r>
              <w:rPr>
                <w:b w:val="0"/>
                <w:i w:val="0"/>
                <w:color w:val="27333B"/>
                <w:sz w:val="13"/>
              </w:rPr>
              <w:t>Open</w:t>
            </w:r>
          </w:p>
        </w:tc>
      </w:tr>
      <w:tr>
        <w:trPr>
          <w:cantSplit/>
        </w:trPr>
        <w:tc>
          <w:tcPr>
            <w:tcW w:type="dxa" w:w="648"/>
            <w:tcMar>
              <w:top w:w="70" w:type="dxa"/>
              <w:start w:w="85" w:type="dxa"/>
              <w:bottom w:w="70" w:type="dxa"/>
              <w:end w:w="85" w:type="dxa"/>
            </w:tcMar>
            <w:vAlign w:val="top"/>
          </w:tcPr>
          <w:p>
            <w:pPr>
              <w:spacing w:after="0" w:line="240" w:lineRule="auto"/>
            </w:pPr>
            <w:r>
              <w:rPr>
                <w:b/>
                <w:i w:val="0"/>
                <w:color w:val="27333B"/>
                <w:sz w:val="13"/>
              </w:rPr>
              <w:t>R-15</w:t>
            </w:r>
          </w:p>
        </w:tc>
        <w:tc>
          <w:tcPr>
            <w:tcW w:type="dxa" w:w="2376"/>
            <w:tcMar>
              <w:top w:w="70" w:type="dxa"/>
              <w:start w:w="85" w:type="dxa"/>
              <w:bottom w:w="70" w:type="dxa"/>
              <w:end w:w="85" w:type="dxa"/>
            </w:tcMar>
            <w:vAlign w:val="top"/>
          </w:tcPr>
          <w:p>
            <w:pPr>
              <w:spacing w:after="0" w:line="240" w:lineRule="auto"/>
            </w:pPr>
            <w:r>
              <w:rPr>
                <w:b w:val="0"/>
                <w:i w:val="0"/>
                <w:color w:val="27333B"/>
                <w:sz w:val="13"/>
              </w:rPr>
              <w:t>Property/away-status disclosure in lock-screen message</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403"/>
            <w:tcMar>
              <w:top w:w="70" w:type="dxa"/>
              <w:start w:w="85" w:type="dxa"/>
              <w:bottom w:w="70" w:type="dxa"/>
              <w:end w:w="85" w:type="dxa"/>
            </w:tcMar>
            <w:vAlign w:val="top"/>
          </w:tcPr>
          <w:p>
            <w:pPr>
              <w:spacing w:after="0" w:line="240" w:lineRule="auto"/>
            </w:pPr>
            <w:r>
              <w:rPr>
                <w:b w:val="0"/>
                <w:i w:val="0"/>
                <w:color w:val="27333B"/>
                <w:sz w:val="13"/>
              </w:rPr>
              <w:t>3</w:t>
            </w:r>
          </w:p>
        </w:tc>
        <w:tc>
          <w:tcPr>
            <w:tcW w:type="dxa" w:w="936"/>
            <w:tcMar>
              <w:top w:w="70" w:type="dxa"/>
              <w:start w:w="85" w:type="dxa"/>
              <w:bottom w:w="70" w:type="dxa"/>
              <w:end w:w="85" w:type="dxa"/>
            </w:tcMar>
            <w:vAlign w:val="top"/>
          </w:tcPr>
          <w:p>
            <w:pPr>
              <w:spacing w:after="0" w:line="240" w:lineRule="auto"/>
            </w:pPr>
            <w:r>
              <w:rPr>
                <w:b w:val="0"/>
                <w:i w:val="0"/>
                <w:color w:val="27333B"/>
                <w:sz w:val="13"/>
              </w:rPr>
              <w:t>9 Medium</w:t>
            </w:r>
          </w:p>
        </w:tc>
        <w:tc>
          <w:tcPr>
            <w:tcW w:type="dxa" w:w="3384"/>
            <w:tcMar>
              <w:top w:w="70" w:type="dxa"/>
              <w:start w:w="85" w:type="dxa"/>
              <w:bottom w:w="70" w:type="dxa"/>
              <w:end w:w="85" w:type="dxa"/>
            </w:tcMar>
            <w:vAlign w:val="top"/>
          </w:tcPr>
          <w:p>
            <w:pPr>
              <w:spacing w:after="0" w:line="240" w:lineRule="auto"/>
            </w:pPr>
            <w:r>
              <w:rPr>
                <w:b w:val="0"/>
                <w:i w:val="0"/>
                <w:color w:val="27333B"/>
                <w:sz w:val="13"/>
              </w:rPr>
              <w:t>Minimal templates, privacy mode, aliases, dashboard detail.</w:t>
            </w:r>
          </w:p>
        </w:tc>
        <w:tc>
          <w:tcPr>
            <w:tcW w:type="dxa" w:w="1080"/>
            <w:tcMar>
              <w:top w:w="70" w:type="dxa"/>
              <w:start w:w="85" w:type="dxa"/>
              <w:bottom w:w="70" w:type="dxa"/>
              <w:end w:w="85" w:type="dxa"/>
            </w:tcMar>
            <w:vAlign w:val="top"/>
          </w:tcPr>
          <w:p>
            <w:pPr>
              <w:spacing w:after="0" w:line="240" w:lineRule="auto"/>
            </w:pPr>
            <w:r>
              <w:rPr>
                <w:b w:val="0"/>
                <w:i w:val="0"/>
                <w:color w:val="27333B"/>
                <w:sz w:val="13"/>
              </w:rPr>
              <w:t>Product</w:t>
            </w:r>
          </w:p>
        </w:tc>
        <w:tc>
          <w:tcPr>
            <w:tcW w:type="dxa" w:w="1296"/>
            <w:tcMar>
              <w:top w:w="70" w:type="dxa"/>
              <w:start w:w="85" w:type="dxa"/>
              <w:bottom w:w="70" w:type="dxa"/>
              <w:end w:w="85" w:type="dxa"/>
            </w:tcMar>
            <w:vAlign w:val="top"/>
          </w:tcPr>
          <w:p>
            <w:pPr>
              <w:spacing w:after="0" w:line="240" w:lineRule="auto"/>
            </w:pPr>
            <w:r>
              <w:rPr>
                <w:b w:val="0"/>
                <w:i w:val="0"/>
                <w:color w:val="27333B"/>
                <w:sz w:val="13"/>
              </w:rPr>
              <w:t>Open</w:t>
            </w:r>
          </w:p>
        </w:tc>
      </w:tr>
    </w:tbl>
    <w:p>
      <w:pPr>
        <w:spacing w:after="0"/>
      </w:pPr>
    </w:p>
    <w:p>
      <w:pPr>
        <w:pStyle w:val="Heading2"/>
        <w:keepNext/>
      </w:pPr>
      <w:r>
        <w:t>23.1 Risk acceptance rules</w:t>
      </w:r>
    </w:p>
    <w:p>
      <w:pPr>
        <w:pStyle w:val="ListBullet"/>
      </w:pPr>
      <w:r>
        <w:t>Critical or high residual risk affecting tenant isolation, updates, secrets, or notification integrity requires founder approval and should normally block public launch.</w:t>
      </w:r>
    </w:p>
    <w:p>
      <w:pPr>
        <w:pStyle w:val="ListBullet"/>
      </w:pPr>
      <w:r>
        <w:t>Accepted risk must state affected release, rationale, compensating controls, owner, review date, and trigger for reopening.</w:t>
      </w:r>
    </w:p>
    <w:p>
      <w:pPr>
        <w:pStyle w:val="ListBullet"/>
      </w:pPr>
      <w:r>
        <w:t>Risk scores are prioritization aids, not substitutes for judgment about customer safety, blast radius, or irreversible harm.</w:t>
      </w:r>
    </w:p>
    <w:p>
      <w:pPr>
        <w:pStyle w:val="Heading1"/>
        <w:keepNext/>
      </w:pPr>
      <w:r>
        <w:t>24. Traceability and Open Decisions</w:t>
      </w:r>
    </w:p>
    <w:p>
      <w:pPr>
        <w:pStyle w:val="Heading2"/>
        <w:keepNext/>
      </w:pPr>
      <w:r>
        <w:t>24.1 Threat-to-control traceability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Threat family</w:t>
            </w:r>
          </w:p>
        </w:tc>
        <w:tc>
          <w:tcPr>
            <w:tcW w:type="dxa" w:w="4752"/>
            <w:shd w:fill="2E6078"/>
            <w:tcMar>
              <w:top w:w="80" w:type="dxa"/>
              <w:start w:w="90" w:type="dxa"/>
              <w:bottom w:w="80" w:type="dxa"/>
              <w:end w:w="90" w:type="dxa"/>
            </w:tcMar>
          </w:tcPr>
          <w:p>
            <w:pPr>
              <w:spacing w:after="0"/>
              <w:jc w:val="left"/>
            </w:pPr>
            <w:r>
              <w:rPr>
                <w:b/>
                <w:i w:val="0"/>
                <w:color w:val="FFFFFF"/>
                <w:sz w:val="16"/>
              </w:rPr>
              <w:t>Key requirements / controls</w:t>
            </w:r>
          </w:p>
        </w:tc>
        <w:tc>
          <w:tcPr>
            <w:tcW w:type="dxa" w:w="2952"/>
            <w:shd w:fill="2E6078"/>
            <w:tcMar>
              <w:top w:w="80" w:type="dxa"/>
              <w:start w:w="90" w:type="dxa"/>
              <w:bottom w:w="80" w:type="dxa"/>
              <w:end w:w="90" w:type="dxa"/>
            </w:tcMar>
          </w:tcPr>
          <w:p>
            <w:pPr>
              <w:spacing w:after="0"/>
              <w:jc w:val="left"/>
            </w:pPr>
            <w:r>
              <w:rPr>
                <w:b/>
                <w:i w:val="0"/>
                <w:color w:val="FFFFFF"/>
                <w:sz w:val="16"/>
              </w:rPr>
              <w:t>Primary verification</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Cross-tenant exposure</w:t>
            </w:r>
          </w:p>
        </w:tc>
        <w:tc>
          <w:tcPr>
            <w:tcW w:type="dxa" w:w="4752"/>
            <w:tcMar>
              <w:top w:w="70" w:type="dxa"/>
              <w:start w:w="85" w:type="dxa"/>
              <w:bottom w:w="70" w:type="dxa"/>
              <w:end w:w="85" w:type="dxa"/>
            </w:tcMar>
            <w:vAlign w:val="top"/>
          </w:tcPr>
          <w:p>
            <w:pPr>
              <w:spacing w:after="0" w:line="240" w:lineRule="auto"/>
            </w:pPr>
            <w:r>
              <w:rPr>
                <w:b w:val="0"/>
                <w:i w:val="0"/>
                <w:color w:val="27333B"/>
                <w:sz w:val="15"/>
              </w:rPr>
              <w:t>SEC-030–034; RBAC; server-side tenant context; support restrictions.</w:t>
            </w:r>
          </w:p>
        </w:tc>
        <w:tc>
          <w:tcPr>
            <w:tcW w:type="dxa" w:w="2952"/>
            <w:tcMar>
              <w:top w:w="70" w:type="dxa"/>
              <w:start w:w="85" w:type="dxa"/>
              <w:bottom w:w="70" w:type="dxa"/>
              <w:end w:w="85" w:type="dxa"/>
            </w:tcMar>
            <w:vAlign w:val="top"/>
          </w:tcPr>
          <w:p>
            <w:pPr>
              <w:spacing w:after="0" w:line="240" w:lineRule="auto"/>
            </w:pPr>
            <w:r>
              <w:rPr>
                <w:b w:val="0"/>
                <w:i w:val="0"/>
                <w:color w:val="27333B"/>
                <w:sz w:val="15"/>
              </w:rPr>
              <w:t>Authorization matrix, penetration test, audit review.</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Agent spoofing/replay</w:t>
            </w:r>
          </w:p>
        </w:tc>
        <w:tc>
          <w:tcPr>
            <w:tcW w:type="dxa" w:w="4752"/>
            <w:tcMar>
              <w:top w:w="70" w:type="dxa"/>
              <w:start w:w="85" w:type="dxa"/>
              <w:bottom w:w="70" w:type="dxa"/>
              <w:end w:w="85" w:type="dxa"/>
            </w:tcMar>
            <w:vAlign w:val="top"/>
            <w:shd w:fill="F5F7F8"/>
          </w:tcPr>
          <w:p>
            <w:pPr>
              <w:spacing w:after="0" w:line="240" w:lineRule="auto"/>
            </w:pPr>
            <w:r>
              <w:rPr>
                <w:b w:val="0"/>
                <w:i w:val="0"/>
                <w:color w:val="27333B"/>
                <w:sz w:val="15"/>
              </w:rPr>
              <w:t>Per-agent identity; SEC-031; sequence/idempotency; revocation.</w:t>
            </w:r>
          </w:p>
        </w:tc>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Clone/replay tests, credential rotation drill.</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Supply-chain compromise</w:t>
            </w:r>
          </w:p>
        </w:tc>
        <w:tc>
          <w:tcPr>
            <w:tcW w:type="dxa" w:w="4752"/>
            <w:tcMar>
              <w:top w:w="70" w:type="dxa"/>
              <w:start w:w="85" w:type="dxa"/>
              <w:bottom w:w="70" w:type="dxa"/>
              <w:end w:w="85" w:type="dxa"/>
            </w:tcMar>
            <w:vAlign w:val="top"/>
          </w:tcPr>
          <w:p>
            <w:pPr>
              <w:spacing w:after="0" w:line="240" w:lineRule="auto"/>
            </w:pPr>
            <w:r>
              <w:rPr>
                <w:b w:val="0"/>
                <w:i w:val="0"/>
                <w:color w:val="27333B"/>
                <w:sz w:val="15"/>
              </w:rPr>
              <w:t>SEC-050–056; protected CI/signing; staged rollout.</w:t>
            </w:r>
          </w:p>
        </w:tc>
        <w:tc>
          <w:tcPr>
            <w:tcW w:type="dxa" w:w="2952"/>
            <w:tcMar>
              <w:top w:w="70" w:type="dxa"/>
              <w:start w:w="85" w:type="dxa"/>
              <w:bottom w:w="70" w:type="dxa"/>
              <w:end w:w="85" w:type="dxa"/>
            </w:tcMar>
            <w:vAlign w:val="top"/>
          </w:tcPr>
          <w:p>
            <w:pPr>
              <w:spacing w:after="0" w:line="240" w:lineRule="auto"/>
            </w:pPr>
            <w:r>
              <w:rPr>
                <w:b w:val="0"/>
                <w:i w:val="0"/>
                <w:color w:val="27333B"/>
                <w:sz w:val="15"/>
              </w:rPr>
              <w:t>Tampered artifact tests, release drill, key custody review.</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Secret disclosure</w:t>
            </w:r>
          </w:p>
        </w:tc>
        <w:tc>
          <w:tcPr>
            <w:tcW w:type="dxa" w:w="4752"/>
            <w:tcMar>
              <w:top w:w="70" w:type="dxa"/>
              <w:start w:w="85" w:type="dxa"/>
              <w:bottom w:w="70" w:type="dxa"/>
              <w:end w:w="85" w:type="dxa"/>
            </w:tcMar>
            <w:vAlign w:val="top"/>
            <w:shd w:fill="F5F7F8"/>
          </w:tcPr>
          <w:p>
            <w:pPr>
              <w:spacing w:after="0" w:line="240" w:lineRule="auto"/>
            </w:pPr>
            <w:r>
              <w:rPr>
                <w:b w:val="0"/>
                <w:i w:val="0"/>
                <w:color w:val="27333B"/>
                <w:sz w:val="15"/>
              </w:rPr>
              <w:t>SEC-002, 025, 070–073; local storage; redaction.</w:t>
            </w:r>
          </w:p>
        </w:tc>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Secret scans, support bundle inspection, log review.</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Notification abuse/failure</w:t>
            </w:r>
          </w:p>
        </w:tc>
        <w:tc>
          <w:tcPr>
            <w:tcW w:type="dxa" w:w="4752"/>
            <w:tcMar>
              <w:top w:w="70" w:type="dxa"/>
              <w:start w:w="85" w:type="dxa"/>
              <w:bottom w:w="70" w:type="dxa"/>
              <w:end w:w="85" w:type="dxa"/>
            </w:tcMar>
            <w:vAlign w:val="top"/>
          </w:tcPr>
          <w:p>
            <w:pPr>
              <w:spacing w:after="0" w:line="240" w:lineRule="auto"/>
            </w:pPr>
            <w:r>
              <w:rPr>
                <w:b w:val="0"/>
                <w:i w:val="0"/>
                <w:color w:val="27333B"/>
                <w:sz w:val="15"/>
              </w:rPr>
              <w:t>Consent, quotas, receipts, deduplication, fallback.</w:t>
            </w:r>
          </w:p>
        </w:tc>
        <w:tc>
          <w:tcPr>
            <w:tcW w:type="dxa" w:w="2952"/>
            <w:tcMar>
              <w:top w:w="70" w:type="dxa"/>
              <w:start w:w="85" w:type="dxa"/>
              <w:bottom w:w="70" w:type="dxa"/>
              <w:end w:w="85" w:type="dxa"/>
            </w:tcMar>
            <w:vAlign w:val="top"/>
          </w:tcPr>
          <w:p>
            <w:pPr>
              <w:spacing w:after="0" w:line="240" w:lineRule="auto"/>
            </w:pPr>
            <w:r>
              <w:rPr>
                <w:b w:val="0"/>
                <w:i w:val="0"/>
                <w:color w:val="27333B"/>
                <w:sz w:val="15"/>
              </w:rPr>
              <w:t>Provider fault simulation, pumping test, consent workflow test.</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Privacy overcollection</w:t>
            </w:r>
          </w:p>
        </w:tc>
        <w:tc>
          <w:tcPr>
            <w:tcW w:type="dxa" w:w="4752"/>
            <w:tcMar>
              <w:top w:w="70" w:type="dxa"/>
              <w:start w:w="85" w:type="dxa"/>
              <w:bottom w:w="70" w:type="dxa"/>
              <w:end w:w="85" w:type="dxa"/>
            </w:tcMar>
            <w:vAlign w:val="top"/>
            <w:shd w:fill="F5F7F8"/>
          </w:tcPr>
          <w:p>
            <w:pPr>
              <w:spacing w:after="0" w:line="240" w:lineRule="auto"/>
            </w:pPr>
            <w:r>
              <w:rPr>
                <w:b w:val="0"/>
                <w:i w:val="0"/>
                <w:color w:val="27333B"/>
                <w:sz w:val="15"/>
              </w:rPr>
              <w:t>PRIV-001–007; D5 exclusion; local-first processing.</w:t>
            </w:r>
          </w:p>
        </w:tc>
        <w:tc>
          <w:tcPr>
            <w:tcW w:type="dxa" w:w="2952"/>
            <w:tcMar>
              <w:top w:w="70" w:type="dxa"/>
              <w:start w:w="85" w:type="dxa"/>
              <w:bottom w:w="70" w:type="dxa"/>
              <w:end w:w="85" w:type="dxa"/>
            </w:tcMar>
            <w:vAlign w:val="top"/>
            <w:shd w:fill="F5F7F8"/>
          </w:tcPr>
          <w:p>
            <w:pPr>
              <w:spacing w:after="0" w:line="240" w:lineRule="auto"/>
            </w:pPr>
            <w:r>
              <w:rPr>
                <w:b w:val="0"/>
                <w:i w:val="0"/>
                <w:color w:val="27333B"/>
                <w:sz w:val="15"/>
              </w:rPr>
              <w:t>Telemetry capture review, data inventory, deletion test.</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Misleading tamper classification</w:t>
            </w:r>
          </w:p>
        </w:tc>
        <w:tc>
          <w:tcPr>
            <w:tcW w:type="dxa" w:w="4752"/>
            <w:tcMar>
              <w:top w:w="70" w:type="dxa"/>
              <w:start w:w="85" w:type="dxa"/>
              <w:bottom w:w="70" w:type="dxa"/>
              <w:end w:w="85" w:type="dxa"/>
            </w:tcMar>
            <w:vAlign w:val="top"/>
          </w:tcPr>
          <w:p>
            <w:pPr>
              <w:spacing w:after="0" w:line="240" w:lineRule="auto"/>
            </w:pPr>
            <w:r>
              <w:rPr>
                <w:b w:val="0"/>
                <w:i w:val="0"/>
                <w:color w:val="27333B"/>
                <w:sz w:val="15"/>
              </w:rPr>
              <w:t>Evidence confidence, systemic-event correlation, language rules.</w:t>
            </w:r>
          </w:p>
        </w:tc>
        <w:tc>
          <w:tcPr>
            <w:tcW w:type="dxa" w:w="2952"/>
            <w:tcMar>
              <w:top w:w="70" w:type="dxa"/>
              <w:start w:w="85" w:type="dxa"/>
              <w:bottom w:w="70" w:type="dxa"/>
              <w:end w:w="85" w:type="dxa"/>
            </w:tcMar>
            <w:vAlign w:val="top"/>
          </w:tcPr>
          <w:p>
            <w:pPr>
              <w:spacing w:after="0" w:line="240" w:lineRule="auto"/>
            </w:pPr>
            <w:r>
              <w:rPr>
                <w:b w:val="0"/>
                <w:i w:val="0"/>
                <w:color w:val="27333B"/>
                <w:sz w:val="15"/>
              </w:rPr>
              <w:t>Incident scenario suite and product copy review.</w:t>
            </w:r>
          </w:p>
        </w:tc>
      </w:tr>
    </w:tbl>
    <w:p>
      <w:pPr>
        <w:spacing w:after="0"/>
      </w:pPr>
    </w:p>
    <w:p>
      <w:pPr>
        <w:pStyle w:val="Heading2"/>
        <w:keepNext/>
      </w:pPr>
      <w:r>
        <w:t>24.2 Open security decisions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2E6078"/>
            <w:tcMar>
              <w:top w:w="80" w:type="dxa"/>
              <w:start w:w="90" w:type="dxa"/>
              <w:bottom w:w="80" w:type="dxa"/>
              <w:end w:w="90" w:type="dxa"/>
            </w:tcMar>
          </w:tcPr>
          <w:p>
            <w:pPr>
              <w:spacing w:after="0"/>
              <w:jc w:val="left"/>
            </w:pPr>
            <w:r>
              <w:rPr>
                <w:b/>
                <w:i w:val="0"/>
                <w:color w:val="FFFFFF"/>
                <w:sz w:val="16"/>
              </w:rPr>
              <w:t>Decision</w:t>
            </w:r>
          </w:p>
        </w:tc>
        <w:tc>
          <w:tcPr>
            <w:tcW w:type="dxa" w:w="5544"/>
            <w:shd w:fill="2E6078"/>
            <w:tcMar>
              <w:top w:w="80" w:type="dxa"/>
              <w:start w:w="90" w:type="dxa"/>
              <w:bottom w:w="80" w:type="dxa"/>
              <w:end w:w="90" w:type="dxa"/>
            </w:tcMar>
          </w:tcPr>
          <w:p>
            <w:pPr>
              <w:spacing w:after="0"/>
              <w:jc w:val="left"/>
            </w:pPr>
            <w:r>
              <w:rPr>
                <w:b/>
                <w:i w:val="0"/>
                <w:color w:val="FFFFFF"/>
                <w:sz w:val="16"/>
              </w:rPr>
              <w:t>Options to evaluate</w:t>
            </w:r>
          </w:p>
        </w:tc>
        <w:tc>
          <w:tcPr>
            <w:tcW w:type="dxa" w:w="2016"/>
            <w:shd w:fill="2E6078"/>
            <w:tcMar>
              <w:top w:w="80" w:type="dxa"/>
              <w:start w:w="90" w:type="dxa"/>
              <w:bottom w:w="80" w:type="dxa"/>
              <w:end w:w="90" w:type="dxa"/>
            </w:tcMar>
          </w:tcPr>
          <w:p>
            <w:pPr>
              <w:spacing w:after="0"/>
              <w:jc w:val="left"/>
            </w:pPr>
            <w:r>
              <w:rPr>
                <w:b/>
                <w:i w:val="0"/>
                <w:color w:val="FFFFFF"/>
                <w:sz w:val="16"/>
              </w:rPr>
              <w:t>Decision deadline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Agent authentication primitive</w:t>
            </w:r>
          </w:p>
        </w:tc>
        <w:tc>
          <w:tcPr>
            <w:tcW w:type="dxa" w:w="5544"/>
            <w:tcMar>
              <w:top w:w="70" w:type="dxa"/>
              <w:start w:w="85" w:type="dxa"/>
              <w:bottom w:w="70" w:type="dxa"/>
              <w:end w:w="85" w:type="dxa"/>
            </w:tcMar>
            <w:vAlign w:val="top"/>
          </w:tcPr>
          <w:p>
            <w:pPr>
              <w:spacing w:after="0" w:line="240" w:lineRule="auto"/>
            </w:pPr>
            <w:r>
              <w:rPr>
                <w:b w:val="0"/>
                <w:i w:val="0"/>
                <w:color w:val="27333B"/>
                <w:sz w:val="15"/>
              </w:rPr>
              <w:t>High-entropy bearer secret with rotation vs. asymmetric key pair/mTLS; consider operational complexity and clone detection.</w:t>
            </w:r>
          </w:p>
        </w:tc>
        <w:tc>
          <w:tcPr>
            <w:tcW w:type="dxa" w:w="2016"/>
            <w:tcMar>
              <w:top w:w="70" w:type="dxa"/>
              <w:start w:w="85" w:type="dxa"/>
              <w:bottom w:w="70" w:type="dxa"/>
              <w:end w:w="85" w:type="dxa"/>
            </w:tcMar>
            <w:vAlign w:val="top"/>
          </w:tcPr>
          <w:p>
            <w:pPr>
              <w:spacing w:after="0" w:line="240" w:lineRule="auto"/>
            </w:pPr>
            <w:r>
              <w:rPr>
                <w:b w:val="0"/>
                <w:i w:val="0"/>
                <w:color w:val="27333B"/>
                <w:sz w:val="15"/>
              </w:rPr>
              <w:t>Before prototype cloud registration is finalized</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Local secret store</w:t>
            </w:r>
          </w:p>
        </w:tc>
        <w:tc>
          <w:tcPr>
            <w:tcW w:type="dxa" w:w="5544"/>
            <w:tcMar>
              <w:top w:w="70" w:type="dxa"/>
              <w:start w:w="85" w:type="dxa"/>
              <w:bottom w:w="70" w:type="dxa"/>
              <w:end w:w="85" w:type="dxa"/>
            </w:tcMar>
            <w:vAlign w:val="top"/>
            <w:shd w:fill="F5F7F8"/>
          </w:tcPr>
          <w:p>
            <w:pPr>
              <w:spacing w:after="0" w:line="240" w:lineRule="auto"/>
            </w:pPr>
            <w:r>
              <w:rPr>
                <w:b w:val="0"/>
                <w:i w:val="0"/>
                <w:color w:val="27333B"/>
                <w:sz w:val="15"/>
              </w:rPr>
              <w:t>DPAPI machine/user scope, Windows Credential Manager, TPM-backed key, or hybrid.</w:t>
            </w:r>
          </w:p>
        </w:tc>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Before credentialed camera prototype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Identity provider and MFA</w:t>
            </w:r>
          </w:p>
        </w:tc>
        <w:tc>
          <w:tcPr>
            <w:tcW w:type="dxa" w:w="5544"/>
            <w:tcMar>
              <w:top w:w="70" w:type="dxa"/>
              <w:start w:w="85" w:type="dxa"/>
              <w:bottom w:w="70" w:type="dxa"/>
              <w:end w:w="85" w:type="dxa"/>
            </w:tcMar>
            <w:vAlign w:val="top"/>
          </w:tcPr>
          <w:p>
            <w:pPr>
              <w:spacing w:after="0" w:line="240" w:lineRule="auto"/>
            </w:pPr>
            <w:r>
              <w:rPr>
                <w:b w:val="0"/>
                <w:i w:val="0"/>
                <w:color w:val="27333B"/>
                <w:sz w:val="15"/>
              </w:rPr>
              <w:t>Managed identity vendor vs. self-hosted components; passkeys/TOTP/recovery strategy.</w:t>
            </w:r>
          </w:p>
        </w:tc>
        <w:tc>
          <w:tcPr>
            <w:tcW w:type="dxa" w:w="2016"/>
            <w:tcMar>
              <w:top w:w="70" w:type="dxa"/>
              <w:start w:w="85" w:type="dxa"/>
              <w:bottom w:w="70" w:type="dxa"/>
              <w:end w:w="85" w:type="dxa"/>
            </w:tcMar>
            <w:vAlign w:val="top"/>
          </w:tcPr>
          <w:p>
            <w:pPr>
              <w:spacing w:after="0" w:line="240" w:lineRule="auto"/>
            </w:pPr>
            <w:r>
              <w:rPr>
                <w:b w:val="0"/>
                <w:i w:val="0"/>
                <w:color w:val="27333B"/>
                <w:sz w:val="15"/>
              </w:rPr>
              <w:t>Before private beta onboarding</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Database tenant defense</w:t>
            </w:r>
          </w:p>
        </w:tc>
        <w:tc>
          <w:tcPr>
            <w:tcW w:type="dxa" w:w="5544"/>
            <w:tcMar>
              <w:top w:w="70" w:type="dxa"/>
              <w:start w:w="85" w:type="dxa"/>
              <w:bottom w:w="70" w:type="dxa"/>
              <w:end w:w="85" w:type="dxa"/>
            </w:tcMar>
            <w:vAlign w:val="top"/>
            <w:shd w:fill="F5F7F8"/>
          </w:tcPr>
          <w:p>
            <w:pPr>
              <w:spacing w:after="0" w:line="240" w:lineRule="auto"/>
            </w:pPr>
            <w:r>
              <w:rPr>
                <w:b w:val="0"/>
                <w:i w:val="0"/>
                <w:color w:val="27333B"/>
                <w:sz w:val="15"/>
              </w:rPr>
              <w:t>Service-layer scoping only vs. row-level security for selected tables.</w:t>
            </w:r>
          </w:p>
        </w:tc>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Before production schema freeze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Support elevation</w:t>
            </w:r>
          </w:p>
        </w:tc>
        <w:tc>
          <w:tcPr>
            <w:tcW w:type="dxa" w:w="5544"/>
            <w:tcMar>
              <w:top w:w="70" w:type="dxa"/>
              <w:start w:w="85" w:type="dxa"/>
              <w:bottom w:w="70" w:type="dxa"/>
              <w:end w:w="85" w:type="dxa"/>
            </w:tcMar>
            <w:vAlign w:val="top"/>
          </w:tcPr>
          <w:p>
            <w:pPr>
              <w:spacing w:after="0" w:line="240" w:lineRule="auto"/>
            </w:pPr>
            <w:r>
              <w:rPr>
                <w:b w:val="0"/>
                <w:i w:val="0"/>
                <w:color w:val="27333B"/>
                <w:sz w:val="15"/>
              </w:rPr>
              <w:t>Customer-approved access, JIT platform role, dual approval for exports, or combinations.</w:t>
            </w:r>
          </w:p>
        </w:tc>
        <w:tc>
          <w:tcPr>
            <w:tcW w:type="dxa" w:w="2016"/>
            <w:tcMar>
              <w:top w:w="70" w:type="dxa"/>
              <w:start w:w="85" w:type="dxa"/>
              <w:bottom w:w="70" w:type="dxa"/>
              <w:end w:w="85" w:type="dxa"/>
            </w:tcMar>
            <w:vAlign w:val="top"/>
          </w:tcPr>
          <w:p>
            <w:pPr>
              <w:spacing w:after="0" w:line="240" w:lineRule="auto"/>
            </w:pPr>
            <w:r>
              <w:rPr>
                <w:b w:val="0"/>
                <w:i w:val="0"/>
                <w:color w:val="27333B"/>
                <w:sz w:val="15"/>
              </w:rPr>
              <w:t>Before beta support begins</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Telemetry retention</w:t>
            </w:r>
          </w:p>
        </w:tc>
        <w:tc>
          <w:tcPr>
            <w:tcW w:type="dxa" w:w="5544"/>
            <w:tcMar>
              <w:top w:w="70" w:type="dxa"/>
              <w:start w:w="85" w:type="dxa"/>
              <w:bottom w:w="70" w:type="dxa"/>
              <w:end w:w="85" w:type="dxa"/>
            </w:tcMar>
            <w:vAlign w:val="top"/>
            <w:shd w:fill="F5F7F8"/>
          </w:tcPr>
          <w:p>
            <w:pPr>
              <w:spacing w:after="0" w:line="240" w:lineRule="auto"/>
            </w:pPr>
            <w:r>
              <w:rPr>
                <w:b w:val="0"/>
                <w:i w:val="0"/>
                <w:color w:val="27333B"/>
                <w:sz w:val="15"/>
              </w:rPr>
              <w:t>Exact windows by class and plan; security-log retention; backup expiration.</w:t>
            </w:r>
          </w:p>
        </w:tc>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Before privacy notice</w:t>
            </w:r>
          </w:p>
        </w:tc>
      </w:tr>
      <w:tr>
        <w:trPr>
          <w:cantSplit/>
        </w:trPr>
        <w:tc>
          <w:tcPr>
            <w:tcW w:type="dxa" w:w="2376"/>
            <w:tcMar>
              <w:top w:w="70" w:type="dxa"/>
              <w:start w:w="85" w:type="dxa"/>
              <w:bottom w:w="70" w:type="dxa"/>
              <w:end w:w="85" w:type="dxa"/>
            </w:tcMar>
            <w:vAlign w:val="top"/>
          </w:tcPr>
          <w:p>
            <w:pPr>
              <w:spacing w:after="0" w:line="240" w:lineRule="auto"/>
            </w:pPr>
            <w:r>
              <w:rPr>
                <w:b w:val="0"/>
                <w:i w:val="0"/>
                <w:color w:val="27333B"/>
                <w:sz w:val="15"/>
              </w:rPr>
              <w:t>Update signing custody</w:t>
            </w:r>
          </w:p>
        </w:tc>
        <w:tc>
          <w:tcPr>
            <w:tcW w:type="dxa" w:w="5544"/>
            <w:tcMar>
              <w:top w:w="70" w:type="dxa"/>
              <w:start w:w="85" w:type="dxa"/>
              <w:bottom w:w="70" w:type="dxa"/>
              <w:end w:w="85" w:type="dxa"/>
            </w:tcMar>
            <w:vAlign w:val="top"/>
          </w:tcPr>
          <w:p>
            <w:pPr>
              <w:spacing w:after="0" w:line="240" w:lineRule="auto"/>
            </w:pPr>
            <w:r>
              <w:rPr>
                <w:b w:val="0"/>
                <w:i w:val="0"/>
                <w:color w:val="27333B"/>
                <w:sz w:val="15"/>
              </w:rPr>
              <w:t>Commercial code-signing service/HSM, certificate type, approval process, and emergency migration.</w:t>
            </w:r>
          </w:p>
        </w:tc>
        <w:tc>
          <w:tcPr>
            <w:tcW w:type="dxa" w:w="2016"/>
            <w:tcMar>
              <w:top w:w="70" w:type="dxa"/>
              <w:start w:w="85" w:type="dxa"/>
              <w:bottom w:w="70" w:type="dxa"/>
              <w:end w:w="85" w:type="dxa"/>
            </w:tcMar>
            <w:vAlign w:val="top"/>
          </w:tcPr>
          <w:p>
            <w:pPr>
              <w:spacing w:after="0" w:line="240" w:lineRule="auto"/>
            </w:pPr>
            <w:r>
              <w:rPr>
                <w:b w:val="0"/>
                <w:i w:val="0"/>
                <w:color w:val="27333B"/>
                <w:sz w:val="15"/>
              </w:rPr>
              <w:t>Before first external installer</w:t>
            </w:r>
          </w:p>
        </w:tc>
      </w:tr>
      <w:tr>
        <w:trPr>
          <w:cantSplit/>
        </w:trPr>
        <w:tc>
          <w:tcPr>
            <w:tcW w:type="dxa" w:w="2376"/>
            <w:tcMar>
              <w:top w:w="70" w:type="dxa"/>
              <w:start w:w="85" w:type="dxa"/>
              <w:bottom w:w="70" w:type="dxa"/>
              <w:end w:w="85" w:type="dxa"/>
            </w:tcMar>
            <w:vAlign w:val="top"/>
            <w:shd w:fill="F5F7F8"/>
          </w:tcPr>
          <w:p>
            <w:pPr>
              <w:spacing w:after="0" w:line="240" w:lineRule="auto"/>
            </w:pPr>
            <w:r>
              <w:rPr>
                <w:b w:val="0"/>
                <w:i w:val="0"/>
                <w:color w:val="27333B"/>
                <w:sz w:val="15"/>
              </w:rPr>
              <w:t>Notification privacy mode</w:t>
            </w:r>
          </w:p>
        </w:tc>
        <w:tc>
          <w:tcPr>
            <w:tcW w:type="dxa" w:w="5544"/>
            <w:tcMar>
              <w:top w:w="70" w:type="dxa"/>
              <w:start w:w="85" w:type="dxa"/>
              <w:bottom w:w="70" w:type="dxa"/>
              <w:end w:w="85" w:type="dxa"/>
            </w:tcMar>
            <w:vAlign w:val="top"/>
            <w:shd w:fill="F5F7F8"/>
          </w:tcPr>
          <w:p>
            <w:pPr>
              <w:spacing w:after="0" w:line="240" w:lineRule="auto"/>
            </w:pPr>
            <w:r>
              <w:rPr>
                <w:b w:val="0"/>
                <w:i w:val="0"/>
                <w:color w:val="27333B"/>
                <w:sz w:val="15"/>
              </w:rPr>
              <w:t>Default level of property/device detail in SMS/push and trusted-contact messages.</w:t>
            </w:r>
          </w:p>
        </w:tc>
        <w:tc>
          <w:tcPr>
            <w:tcW w:type="dxa" w:w="2016"/>
            <w:tcMar>
              <w:top w:w="70" w:type="dxa"/>
              <w:start w:w="85" w:type="dxa"/>
              <w:bottom w:w="70" w:type="dxa"/>
              <w:end w:w="85" w:type="dxa"/>
            </w:tcMar>
            <w:vAlign w:val="top"/>
            <w:shd w:fill="F5F7F8"/>
          </w:tcPr>
          <w:p>
            <w:pPr>
              <w:spacing w:after="0" w:line="240" w:lineRule="auto"/>
            </w:pPr>
            <w:r>
              <w:rPr>
                <w:b w:val="0"/>
                <w:i w:val="0"/>
                <w:color w:val="27333B"/>
                <w:sz w:val="15"/>
              </w:rPr>
              <w:t>Before alert UX freeze</w:t>
            </w:r>
          </w:p>
        </w:tc>
      </w:tr>
    </w:tbl>
    <w:p>
      <w:pPr>
        <w:spacing w:after="0"/>
      </w:pPr>
    </w:p>
    <w:p>
      <w:pPr>
        <w:pStyle w:val="Heading1"/>
        <w:keepNext/>
      </w:pPr>
      <w:r>
        <w:t>Appendix A — Normative Security Requirements Catalog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2E6078"/>
            <w:tcMar>
              <w:top w:w="80" w:type="dxa"/>
              <w:start w:w="90" w:type="dxa"/>
              <w:bottom w:w="80" w:type="dxa"/>
              <w:end w:w="90" w:type="dxa"/>
            </w:tcMar>
          </w:tcPr>
          <w:p>
            <w:pPr>
              <w:spacing w:after="0"/>
              <w:jc w:val="left"/>
            </w:pPr>
            <w:r>
              <w:rPr>
                <w:b/>
                <w:i w:val="0"/>
                <w:color w:val="FFFFFF"/>
                <w:sz w:val="16"/>
              </w:rPr>
              <w:t>ID</w:t>
            </w:r>
          </w:p>
        </w:tc>
        <w:tc>
          <w:tcPr>
            <w:tcW w:type="dxa" w:w="1080"/>
            <w:shd w:fill="2E6078"/>
            <w:tcMar>
              <w:top w:w="80" w:type="dxa"/>
              <w:start w:w="90" w:type="dxa"/>
              <w:bottom w:w="80" w:type="dxa"/>
              <w:end w:w="90" w:type="dxa"/>
            </w:tcMar>
          </w:tcPr>
          <w:p>
            <w:pPr>
              <w:spacing w:after="0"/>
              <w:jc w:val="left"/>
            </w:pPr>
            <w:r>
              <w:rPr>
                <w:b/>
                <w:i w:val="0"/>
                <w:color w:val="FFFFFF"/>
                <w:sz w:val="16"/>
              </w:rPr>
              <w:t>Priority</w:t>
            </w:r>
          </w:p>
        </w:tc>
        <w:tc>
          <w:tcPr>
            <w:tcW w:type="dxa" w:w="7776"/>
            <w:shd w:fill="2E6078"/>
            <w:tcMar>
              <w:top w:w="80" w:type="dxa"/>
              <w:start w:w="90" w:type="dxa"/>
              <w:bottom w:w="80" w:type="dxa"/>
              <w:end w:w="90" w:type="dxa"/>
            </w:tcMar>
          </w:tcPr>
          <w:p>
            <w:pPr>
              <w:spacing w:after="0"/>
              <w:jc w:val="left"/>
            </w:pPr>
            <w:r>
              <w:rPr>
                <w:b/>
                <w:i w:val="0"/>
                <w:color w:val="FFFFFF"/>
                <w:sz w:val="16"/>
              </w:rPr>
              <w:t>Requirement</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SEC-001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Persisted fields have owner, purpose, classification, retention, and access path.</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SEC-002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Restricted secrets never enter logs, analytics, support bundles, crash reports, or exports.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SEC-003</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Surveillance content is excluded from MVP collection.</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SEC-004</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Support views mask sensitive contact/network data by default.</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SEC-005</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Retention/deletion jobs are idempotent, observable, and tested.</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SEC-020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Probe implementations do not invoke shells with untrusted text.</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SEC-021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Network operations have deadlines, size limits, cancellation, and concurrency limits.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SEC-022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Malformed device responses cannot crash service or corrupt journal.</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SEC-023</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Discovery traffic is bounded and non-disruptive.</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SEC-024</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Device metadata is safely encoded for UI/log/notification/export.</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SEC-025</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Credentialed checks use local secret references, not cloud plaintext.</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SEC-030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Customer-data access is tenant scoped and negative-tested.</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SEC-031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Authenticated agent identity is server-bound to property assignment.</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SEC-032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Unauthorized object identifiers reveal no data or action.</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SEC-033</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Background jobs carry explicit tenant/property context.</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SEC-034</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Database row-level defense is evaluated for sensitive tables.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SEC-040</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Production admin uses individual identity, MFA, and audit.</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SEC-041</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Customer-data support access uses separate JIT elevation.</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SEC-042</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High-risk actions create immutable audit records.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SEC-043</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Support tools do not expose restricted secrets.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SEC-050</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Production installer and update packages are code-signed.</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SEC-051</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Agent verifies signed metadata and artifact integrity.</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SEC-052</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Signing credentials are isolated from routine developer/CI contexts.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SEC-053</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Rollout supports stages, pause, rollback, and revocation.</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SEC-054</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Builds produce SBOM/provenance where practical.</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SEC-055</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Dependencies are locked, scanned, and reviewed.</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SEC-056</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Protected branches/review/least-privilege CI guard releases.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SEC-070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Secrets are absent from source, images, CI logs, and clients.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SEC-071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Production and non-production secrets are isolated.</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SEC-072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Privileged secret access is attributable and logged.</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SEC-073</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Credential rotation is operationally tested.</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SEC-080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Sensitive code areas require qualified second-person review.</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SEC-081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CI includes cross-tenant, replay, idempotency, and malformed-input tests.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SEC-082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CI runs static, dependency, secret, and artifact scans.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SEC-083</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Critical parsers receive fuzz/property-based testing.</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SEC-084</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Production infrastructure is reviewed as code and drift monitored.</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SEC-085</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Security acceptance criteria trace to release gates.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SEC-090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Critical cloud data has tested backup/restore with RPO/RTO.</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SEC-091</w:t>
            </w:r>
          </w:p>
        </w:tc>
        <w:tc>
          <w:tcPr>
            <w:tcW w:type="dxa" w:w="1080"/>
            <w:tcMar>
              <w:top w:w="70" w:type="dxa"/>
              <w:start w:w="85" w:type="dxa"/>
              <w:bottom w:w="70" w:type="dxa"/>
              <w:end w:w="85" w:type="dxa"/>
            </w:tcMar>
            <w:vAlign w:val="top"/>
          </w:tcPr>
          <w:p>
            <w:pPr>
              <w:spacing w:after="0" w:line="240" w:lineRule="auto"/>
            </w:pPr>
            <w:r>
              <w:rPr>
                <w:b w:val="0"/>
                <w:i w:val="0"/>
                <w:color w:val="27333B"/>
                <w:sz w:val="14"/>
              </w:rPr>
              <w:t>P0</w:t>
            </w:r>
          </w:p>
        </w:tc>
        <w:tc>
          <w:tcPr>
            <w:tcW w:type="dxa" w:w="7776"/>
            <w:tcMar>
              <w:top w:w="70" w:type="dxa"/>
              <w:start w:w="85" w:type="dxa"/>
              <w:bottom w:w="70" w:type="dxa"/>
              <w:end w:w="85" w:type="dxa"/>
            </w:tcMar>
            <w:vAlign w:val="top"/>
          </w:tcPr>
          <w:p>
            <w:pPr>
              <w:spacing w:after="0" w:line="240" w:lineRule="auto"/>
            </w:pPr>
            <w:r>
              <w:rPr>
                <w:b w:val="0"/>
                <w:i w:val="0"/>
                <w:color w:val="27333B"/>
                <w:sz w:val="14"/>
              </w:rPr>
              <w:t>Notification jobs and incident state survive restarts/deployments.</w:t>
            </w:r>
          </w:p>
        </w:tc>
      </w:tr>
      <w:tr>
        <w:trPr>
          <w:cantSplit/>
        </w:trPr>
        <w:tc>
          <w:tcPr>
            <w:tcW w:type="dxa" w:w="1080"/>
            <w:tcMar>
              <w:top w:w="70" w:type="dxa"/>
              <w:start w:w="85" w:type="dxa"/>
              <w:bottom w:w="70" w:type="dxa"/>
              <w:end w:w="85" w:type="dxa"/>
            </w:tcMar>
            <w:vAlign w:val="top"/>
            <w:shd w:fill="F5F7F8"/>
          </w:tcPr>
          <w:p>
            <w:pPr>
              <w:spacing w:after="0" w:line="240" w:lineRule="auto"/>
            </w:pPr>
            <w:r>
              <w:rPr>
                <w:b/>
                <w:i w:val="0"/>
                <w:color w:val="27333B"/>
                <w:sz w:val="14"/>
              </w:rPr>
              <w:t>SEC-092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shd w:fill="F5F7F8"/>
          </w:tcPr>
          <w:p>
            <w:pPr>
              <w:spacing w:after="0" w:line="240" w:lineRule="auto"/>
            </w:pPr>
            <w:r>
              <w:rPr>
                <w:b w:val="0"/>
                <w:i w:val="0"/>
                <w:color w:val="27333B"/>
                <w:sz w:val="14"/>
              </w:rPr>
              <w:t>Agent restarts preserve evidence and avoid duplicate notifications.</w:t>
            </w:r>
          </w:p>
        </w:tc>
      </w:tr>
      <w:tr>
        <w:trPr>
          <w:cantSplit/>
        </w:trPr>
        <w:tc>
          <w:tcPr>
            <w:tcW w:type="dxa" w:w="1080"/>
            <w:tcMar>
              <w:top w:w="70" w:type="dxa"/>
              <w:start w:w="85" w:type="dxa"/>
              <w:bottom w:w="70" w:type="dxa"/>
              <w:end w:w="85" w:type="dxa"/>
            </w:tcMar>
            <w:vAlign w:val="top"/>
          </w:tcPr>
          <w:p>
            <w:pPr>
              <w:spacing w:after="0" w:line="240" w:lineRule="auto"/>
            </w:pPr>
            <w:r>
              <w:rPr>
                <w:b/>
                <w:i w:val="0"/>
                <w:color w:val="27333B"/>
                <w:sz w:val="14"/>
              </w:rPr>
              <w:t>SEC-093</w:t>
            </w:r>
          </w:p>
        </w:tc>
        <w:tc>
          <w:tcPr>
            <w:tcW w:type="dxa" w:w="1080"/>
            <w:tcMar>
              <w:top w:w="70" w:type="dxa"/>
              <w:start w:w="85" w:type="dxa"/>
              <w:bottom w:w="70" w:type="dxa"/>
              <w:end w:w="85" w:type="dxa"/>
            </w:tcMar>
            <w:vAlign w:val="top"/>
          </w:tcPr>
          <w:p>
            <w:pPr>
              <w:spacing w:after="0" w:line="240" w:lineRule="auto"/>
            </w:pPr>
            <w:r>
              <w:rPr>
                <w:b w:val="0"/>
                <w:i w:val="0"/>
                <w:color w:val="27333B"/>
                <w:sz w:val="14"/>
              </w:rPr>
              <w:t>P1</w:t>
            </w:r>
          </w:p>
        </w:tc>
        <w:tc>
          <w:tcPr>
            <w:tcW w:type="dxa" w:w="7776"/>
            <w:tcMar>
              <w:top w:w="70" w:type="dxa"/>
              <w:start w:w="85" w:type="dxa"/>
              <w:bottom w:w="70" w:type="dxa"/>
              <w:end w:w="85" w:type="dxa"/>
            </w:tcMar>
            <w:vAlign w:val="top"/>
          </w:tcPr>
          <w:p>
            <w:pPr>
              <w:spacing w:after="0" w:line="240" w:lineRule="auto"/>
            </w:pPr>
            <w:r>
              <w:rPr>
                <w:b w:val="0"/>
                <w:i w:val="0"/>
                <w:color w:val="27333B"/>
                <w:sz w:val="14"/>
              </w:rPr>
              <w:t>Platform-wide incidents suppress misleading property-specific tamper wording.</w:t>
            </w:r>
          </w:p>
        </w:tc>
      </w:tr>
    </w:tbl>
    <w:p>
      <w:pPr>
        <w:spacing w:after="0"/>
      </w:pPr>
    </w:p>
    <w:p>
      <w:pPr>
        <w:pStyle w:val="Heading1"/>
        <w:keepNext/>
      </w:pPr>
      <w:r>
        <w:t>Appendix B — Normative Privacy Requirements Catalog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shd w:fill="2E6078"/>
            <w:tcMar>
              <w:top w:w="80" w:type="dxa"/>
              <w:start w:w="90" w:type="dxa"/>
              <w:bottom w:w="80" w:type="dxa"/>
              <w:end w:w="90" w:type="dxa"/>
            </w:tcMar>
          </w:tcPr>
          <w:p>
            <w:pPr>
              <w:spacing w:after="0"/>
              <w:jc w:val="left"/>
            </w:pPr>
            <w:r>
              <w:rPr>
                <w:b/>
                <w:i w:val="0"/>
                <w:color w:val="FFFFFF"/>
                <w:sz w:val="16"/>
              </w:rPr>
              <w:t>ID</w:t>
            </w:r>
          </w:p>
        </w:tc>
        <w:tc>
          <w:tcPr>
            <w:tcW w:type="dxa" w:w="1080"/>
            <w:shd w:fill="2E6078"/>
            <w:tcMar>
              <w:top w:w="80" w:type="dxa"/>
              <w:start w:w="90" w:type="dxa"/>
              <w:bottom w:w="80" w:type="dxa"/>
              <w:end w:w="90" w:type="dxa"/>
            </w:tcMar>
          </w:tcPr>
          <w:p>
            <w:pPr>
              <w:spacing w:after="0"/>
              <w:jc w:val="left"/>
            </w:pPr>
            <w:r>
              <w:rPr>
                <w:b/>
                <w:i w:val="0"/>
                <w:color w:val="FFFFFF"/>
                <w:sz w:val="16"/>
              </w:rPr>
              <w:t>Priority</w:t>
            </w:r>
          </w:p>
        </w:tc>
        <w:tc>
          <w:tcPr>
            <w:tcW w:type="dxa" w:w="7704"/>
            <w:shd w:fill="2E6078"/>
            <w:tcMar>
              <w:top w:w="80" w:type="dxa"/>
              <w:start w:w="90" w:type="dxa"/>
              <w:bottom w:w="80" w:type="dxa"/>
              <w:end w:w="90" w:type="dxa"/>
            </w:tcMar>
          </w:tcPr>
          <w:p>
            <w:pPr>
              <w:spacing w:after="0"/>
              <w:jc w:val="left"/>
            </w:pPr>
            <w:r>
              <w:rPr>
                <w:b/>
                <w:i w:val="0"/>
                <w:color w:val="FFFFFF"/>
                <w:sz w:val="16"/>
              </w:rPr>
              <w:t>Requirement</w:t>
            </w:r>
          </w:p>
        </w:tc>
      </w:tr>
      <w:tr>
        <w:trPr>
          <w:cantSplit/>
        </w:trPr>
        <w:tc>
          <w:tcPr>
            <w:tcW w:type="dxa" w:w="1152"/>
            <w:tcMar>
              <w:top w:w="70" w:type="dxa"/>
              <w:start w:w="85" w:type="dxa"/>
              <w:bottom w:w="70" w:type="dxa"/>
              <w:end w:w="85" w:type="dxa"/>
            </w:tcMar>
            <w:vAlign w:val="top"/>
          </w:tcPr>
          <w:p>
            <w:pPr>
              <w:spacing w:after="0" w:line="240" w:lineRule="auto"/>
            </w:pPr>
            <w:r>
              <w:rPr>
                <w:b/>
                <w:i w:val="0"/>
                <w:color w:val="27333B"/>
                <w:sz w:val="15"/>
              </w:rPr>
              <w:t>PRIV-001</w:t>
            </w:r>
          </w:p>
        </w:tc>
        <w:tc>
          <w:tcPr>
            <w:tcW w:type="dxa" w:w="1080"/>
            <w:tcMar>
              <w:top w:w="70" w:type="dxa"/>
              <w:start w:w="85" w:type="dxa"/>
              <w:bottom w:w="70" w:type="dxa"/>
              <w:end w:w="85" w:type="dxa"/>
            </w:tcMar>
            <w:vAlign w:val="top"/>
          </w:tcPr>
          <w:p>
            <w:pPr>
              <w:spacing w:after="0" w:line="240" w:lineRule="auto"/>
            </w:pPr>
            <w:r>
              <w:rPr>
                <w:b w:val="0"/>
                <w:i w:val="0"/>
                <w:color w:val="27333B"/>
                <w:sz w:val="15"/>
              </w:rPr>
              <w:t>P0</w:t>
            </w:r>
          </w:p>
        </w:tc>
        <w:tc>
          <w:tcPr>
            <w:tcW w:type="dxa" w:w="7704"/>
            <w:tcMar>
              <w:top w:w="70" w:type="dxa"/>
              <w:start w:w="85" w:type="dxa"/>
              <w:bottom w:w="70" w:type="dxa"/>
              <w:end w:w="85" w:type="dxa"/>
            </w:tcMar>
            <w:vAlign w:val="top"/>
          </w:tcPr>
          <w:p>
            <w:pPr>
              <w:spacing w:after="0" w:line="240" w:lineRule="auto"/>
            </w:pPr>
            <w:r>
              <w:rPr>
                <w:b w:val="0"/>
                <w:i w:val="0"/>
                <w:color w:val="27333B"/>
                <w:sz w:val="15"/>
              </w:rPr>
              <w:t>Cloud collection is limited to approved product, security, billing, or support purposes.</w:t>
            </w:r>
          </w:p>
        </w:tc>
      </w:tr>
      <w:tr>
        <w:trPr>
          <w:cantSplit/>
        </w:trPr>
        <w:tc>
          <w:tcPr>
            <w:tcW w:type="dxa" w:w="1152"/>
            <w:tcMar>
              <w:top w:w="70" w:type="dxa"/>
              <w:start w:w="85" w:type="dxa"/>
              <w:bottom w:w="70" w:type="dxa"/>
              <w:end w:w="85" w:type="dxa"/>
            </w:tcMar>
            <w:vAlign w:val="top"/>
            <w:shd w:fill="F5F7F8"/>
          </w:tcPr>
          <w:p>
            <w:pPr>
              <w:spacing w:after="0" w:line="240" w:lineRule="auto"/>
            </w:pPr>
            <w:r>
              <w:rPr>
                <w:b/>
                <w:i w:val="0"/>
                <w:color w:val="27333B"/>
                <w:sz w:val="15"/>
              </w:rPr>
              <w:t>PRIV-002</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5"/>
              </w:rPr>
              <w:t>P0</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5"/>
              </w:rPr>
              <w:t>Raw video, audio, still images, and biometric content are not collected in MVP.</w:t>
            </w:r>
          </w:p>
        </w:tc>
      </w:tr>
      <w:tr>
        <w:trPr>
          <w:cantSplit/>
        </w:trPr>
        <w:tc>
          <w:tcPr>
            <w:tcW w:type="dxa" w:w="1152"/>
            <w:tcMar>
              <w:top w:w="70" w:type="dxa"/>
              <w:start w:w="85" w:type="dxa"/>
              <w:bottom w:w="70" w:type="dxa"/>
              <w:end w:w="85" w:type="dxa"/>
            </w:tcMar>
            <w:vAlign w:val="top"/>
          </w:tcPr>
          <w:p>
            <w:pPr>
              <w:spacing w:after="0" w:line="240" w:lineRule="auto"/>
            </w:pPr>
            <w:r>
              <w:rPr>
                <w:b/>
                <w:i w:val="0"/>
                <w:color w:val="27333B"/>
                <w:sz w:val="15"/>
              </w:rPr>
              <w:t>PRIV-003</w:t>
            </w:r>
          </w:p>
        </w:tc>
        <w:tc>
          <w:tcPr>
            <w:tcW w:type="dxa" w:w="1080"/>
            <w:tcMar>
              <w:top w:w="70" w:type="dxa"/>
              <w:start w:w="85" w:type="dxa"/>
              <w:bottom w:w="70" w:type="dxa"/>
              <w:end w:w="85" w:type="dxa"/>
            </w:tcMar>
            <w:vAlign w:val="top"/>
          </w:tcPr>
          <w:p>
            <w:pPr>
              <w:spacing w:after="0" w:line="240" w:lineRule="auto"/>
            </w:pPr>
            <w:r>
              <w:rPr>
                <w:b w:val="0"/>
                <w:i w:val="0"/>
                <w:color w:val="27333B"/>
                <w:sz w:val="15"/>
              </w:rPr>
              <w:t>P0</w:t>
            </w:r>
          </w:p>
        </w:tc>
        <w:tc>
          <w:tcPr>
            <w:tcW w:type="dxa" w:w="7704"/>
            <w:tcMar>
              <w:top w:w="70" w:type="dxa"/>
              <w:start w:w="85" w:type="dxa"/>
              <w:bottom w:w="70" w:type="dxa"/>
              <w:end w:w="85" w:type="dxa"/>
            </w:tcMar>
            <w:vAlign w:val="top"/>
          </w:tcPr>
          <w:p>
            <w:pPr>
              <w:spacing w:after="0" w:line="240" w:lineRule="auto"/>
            </w:pPr>
            <w:r>
              <w:rPr>
                <w:b w:val="0"/>
                <w:i w:val="0"/>
                <w:color w:val="27333B"/>
                <w:sz w:val="15"/>
              </w:rPr>
              <w:t>Camera/DVR credentials remain local by default and never enter general telemetry.</w:t>
            </w:r>
          </w:p>
        </w:tc>
      </w:tr>
      <w:tr>
        <w:trPr>
          <w:cantSplit/>
        </w:trPr>
        <w:tc>
          <w:tcPr>
            <w:tcW w:type="dxa" w:w="1152"/>
            <w:tcMar>
              <w:top w:w="70" w:type="dxa"/>
              <w:start w:w="85" w:type="dxa"/>
              <w:bottom w:w="70" w:type="dxa"/>
              <w:end w:w="85" w:type="dxa"/>
            </w:tcMar>
            <w:vAlign w:val="top"/>
            <w:shd w:fill="F5F7F8"/>
          </w:tcPr>
          <w:p>
            <w:pPr>
              <w:spacing w:after="0" w:line="240" w:lineRule="auto"/>
            </w:pPr>
            <w:r>
              <w:rPr>
                <w:b/>
                <w:i w:val="0"/>
                <w:color w:val="27333B"/>
                <w:sz w:val="15"/>
              </w:rPr>
              <w:t>PRIV-004</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5"/>
              </w:rPr>
              <w:t>Customers can view, correct where applicable, export, and delete data subject to documented exceptions.</w:t>
            </w:r>
          </w:p>
        </w:tc>
      </w:tr>
      <w:tr>
        <w:trPr>
          <w:cantSplit/>
        </w:trPr>
        <w:tc>
          <w:tcPr>
            <w:tcW w:type="dxa" w:w="1152"/>
            <w:tcMar>
              <w:top w:w="70" w:type="dxa"/>
              <w:start w:w="85" w:type="dxa"/>
              <w:bottom w:w="70" w:type="dxa"/>
              <w:end w:w="85" w:type="dxa"/>
            </w:tcMar>
            <w:vAlign w:val="top"/>
          </w:tcPr>
          <w:p>
            <w:pPr>
              <w:spacing w:after="0" w:line="240" w:lineRule="auto"/>
            </w:pPr>
            <w:r>
              <w:rPr>
                <w:b/>
                <w:i w:val="0"/>
                <w:color w:val="27333B"/>
                <w:sz w:val="15"/>
              </w:rPr>
              <w:t>PRIV-005</w:t>
            </w:r>
          </w:p>
        </w:tc>
        <w:tc>
          <w:tcPr>
            <w:tcW w:type="dxa" w:w="1080"/>
            <w:tcMar>
              <w:top w:w="70" w:type="dxa"/>
              <w:start w:w="85" w:type="dxa"/>
              <w:bottom w:w="70" w:type="dxa"/>
              <w:end w:w="85" w:type="dxa"/>
            </w:tcMar>
            <w:vAlign w:val="top"/>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tcPr>
          <w:p>
            <w:pPr>
              <w:spacing w:after="0" w:line="240" w:lineRule="auto"/>
            </w:pPr>
            <w:r>
              <w:rPr>
                <w:b w:val="0"/>
                <w:i w:val="0"/>
                <w:color w:val="27333B"/>
                <w:sz w:val="15"/>
              </w:rPr>
              <w:t>Retention differs by purpose and is automatically enforced.</w:t>
            </w:r>
          </w:p>
        </w:tc>
      </w:tr>
      <w:tr>
        <w:trPr>
          <w:cantSplit/>
        </w:trPr>
        <w:tc>
          <w:tcPr>
            <w:tcW w:type="dxa" w:w="1152"/>
            <w:tcMar>
              <w:top w:w="70" w:type="dxa"/>
              <w:start w:w="85" w:type="dxa"/>
              <w:bottom w:w="70" w:type="dxa"/>
              <w:end w:w="85" w:type="dxa"/>
            </w:tcMar>
            <w:vAlign w:val="top"/>
            <w:shd w:fill="F5F7F8"/>
          </w:tcPr>
          <w:p>
            <w:pPr>
              <w:spacing w:after="0" w:line="240" w:lineRule="auto"/>
            </w:pPr>
            <w:r>
              <w:rPr>
                <w:b/>
                <w:i w:val="0"/>
                <w:color w:val="27333B"/>
                <w:sz w:val="15"/>
              </w:rPr>
              <w:t>PRIV-006</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5"/>
              </w:rPr>
              <w:t>Analytics excludes raw labels, full IPs, contacts, and detailed evidence unless necessary.</w:t>
            </w:r>
          </w:p>
        </w:tc>
      </w:tr>
      <w:tr>
        <w:trPr>
          <w:cantSplit/>
        </w:trPr>
        <w:tc>
          <w:tcPr>
            <w:tcW w:type="dxa" w:w="1152"/>
            <w:tcMar>
              <w:top w:w="70" w:type="dxa"/>
              <w:start w:w="85" w:type="dxa"/>
              <w:bottom w:w="70" w:type="dxa"/>
              <w:end w:w="85" w:type="dxa"/>
            </w:tcMar>
            <w:vAlign w:val="top"/>
          </w:tcPr>
          <w:p>
            <w:pPr>
              <w:spacing w:after="0" w:line="240" w:lineRule="auto"/>
            </w:pPr>
            <w:r>
              <w:rPr>
                <w:b/>
                <w:i w:val="0"/>
                <w:color w:val="27333B"/>
                <w:sz w:val="15"/>
              </w:rPr>
              <w:t>PRIV-007</w:t>
            </w:r>
          </w:p>
        </w:tc>
        <w:tc>
          <w:tcPr>
            <w:tcW w:type="dxa" w:w="1080"/>
            <w:tcMar>
              <w:top w:w="70" w:type="dxa"/>
              <w:start w:w="85" w:type="dxa"/>
              <w:bottom w:w="70" w:type="dxa"/>
              <w:end w:w="85" w:type="dxa"/>
            </w:tcMar>
            <w:vAlign w:val="top"/>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tcPr>
          <w:p>
            <w:pPr>
              <w:spacing w:after="0" w:line="240" w:lineRule="auto"/>
            </w:pPr>
            <w:r>
              <w:rPr>
                <w:b w:val="0"/>
                <w:i w:val="0"/>
                <w:color w:val="27333B"/>
                <w:sz w:val="15"/>
              </w:rPr>
              <w:t>Privacy notices accurately describe local/cloud processing and provider disclosures.</w:t>
            </w:r>
          </w:p>
        </w:tc>
      </w:tr>
      <w:tr>
        <w:trPr>
          <w:cantSplit/>
        </w:trPr>
        <w:tc>
          <w:tcPr>
            <w:tcW w:type="dxa" w:w="1152"/>
            <w:tcMar>
              <w:top w:w="70" w:type="dxa"/>
              <w:start w:w="85" w:type="dxa"/>
              <w:bottom w:w="70" w:type="dxa"/>
              <w:end w:w="85" w:type="dxa"/>
            </w:tcMar>
            <w:vAlign w:val="top"/>
            <w:shd w:fill="F5F7F8"/>
          </w:tcPr>
          <w:p>
            <w:pPr>
              <w:spacing w:after="0" w:line="240" w:lineRule="auto"/>
            </w:pPr>
            <w:r>
              <w:rPr>
                <w:b/>
                <w:i w:val="0"/>
                <w:color w:val="27333B"/>
                <w:sz w:val="15"/>
              </w:rPr>
              <w:t>PRIV-008</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5"/>
              </w:rPr>
              <w:t>Trusted-contact messaging records verification, consent, purpose, and opt-out/removal state.</w:t>
            </w:r>
          </w:p>
        </w:tc>
      </w:tr>
      <w:tr>
        <w:trPr>
          <w:cantSplit/>
        </w:trPr>
        <w:tc>
          <w:tcPr>
            <w:tcW w:type="dxa" w:w="1152"/>
            <w:tcMar>
              <w:top w:w="70" w:type="dxa"/>
              <w:start w:w="85" w:type="dxa"/>
              <w:bottom w:w="70" w:type="dxa"/>
              <w:end w:w="85" w:type="dxa"/>
            </w:tcMar>
            <w:vAlign w:val="top"/>
          </w:tcPr>
          <w:p>
            <w:pPr>
              <w:spacing w:after="0" w:line="240" w:lineRule="auto"/>
            </w:pPr>
            <w:r>
              <w:rPr>
                <w:b/>
                <w:i w:val="0"/>
                <w:color w:val="27333B"/>
                <w:sz w:val="15"/>
              </w:rPr>
              <w:t>PRIV-009</w:t>
            </w:r>
          </w:p>
        </w:tc>
        <w:tc>
          <w:tcPr>
            <w:tcW w:type="dxa" w:w="1080"/>
            <w:tcMar>
              <w:top w:w="70" w:type="dxa"/>
              <w:start w:w="85" w:type="dxa"/>
              <w:bottom w:w="70" w:type="dxa"/>
              <w:end w:w="85" w:type="dxa"/>
            </w:tcMar>
            <w:vAlign w:val="top"/>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tcPr>
          <w:p>
            <w:pPr>
              <w:spacing w:after="0" w:line="240" w:lineRule="auto"/>
            </w:pPr>
            <w:r>
              <w:rPr>
                <w:b w:val="0"/>
                <w:i w:val="0"/>
                <w:color w:val="27333B"/>
                <w:sz w:val="15"/>
              </w:rPr>
              <w:t>Notification templates minimize occupancy, address, and security-layout disclosure.</w:t>
            </w:r>
          </w:p>
        </w:tc>
      </w:tr>
      <w:tr>
        <w:trPr>
          <w:cantSplit/>
        </w:trPr>
        <w:tc>
          <w:tcPr>
            <w:tcW w:type="dxa" w:w="1152"/>
            <w:tcMar>
              <w:top w:w="70" w:type="dxa"/>
              <w:start w:w="85" w:type="dxa"/>
              <w:bottom w:w="70" w:type="dxa"/>
              <w:end w:w="85" w:type="dxa"/>
            </w:tcMar>
            <w:vAlign w:val="top"/>
            <w:shd w:fill="F5F7F8"/>
          </w:tcPr>
          <w:p>
            <w:pPr>
              <w:spacing w:after="0" w:line="240" w:lineRule="auto"/>
            </w:pPr>
            <w:r>
              <w:rPr>
                <w:b/>
                <w:i w:val="0"/>
                <w:color w:val="27333B"/>
                <w:sz w:val="15"/>
              </w:rPr>
              <w:t>PRIV-010</w:t>
            </w:r>
          </w:p>
        </w:tc>
        <w:tc>
          <w:tcPr>
            <w:tcW w:type="dxa" w:w="1080"/>
            <w:tcMar>
              <w:top w:w="70" w:type="dxa"/>
              <w:start w:w="85" w:type="dxa"/>
              <w:bottom w:w="70" w:type="dxa"/>
              <w:end w:w="85" w:type="dxa"/>
            </w:tcMar>
            <w:vAlign w:val="top"/>
            <w:shd w:fill="F5F7F8"/>
          </w:tcPr>
          <w:p>
            <w:pPr>
              <w:spacing w:after="0" w:line="240" w:lineRule="auto"/>
            </w:pPr>
            <w:r>
              <w:rPr>
                <w:b w:val="0"/>
                <w:i w:val="0"/>
                <w:color w:val="27333B"/>
                <w:sz w:val="15"/>
              </w:rPr>
              <w:t>P1</w:t>
            </w:r>
          </w:p>
        </w:tc>
        <w:tc>
          <w:tcPr>
            <w:tcW w:type="dxa" w:w="7704"/>
            <w:tcMar>
              <w:top w:w="70" w:type="dxa"/>
              <w:start w:w="85" w:type="dxa"/>
              <w:bottom w:w="70" w:type="dxa"/>
              <w:end w:w="85" w:type="dxa"/>
            </w:tcMar>
            <w:vAlign w:val="top"/>
            <w:shd w:fill="F5F7F8"/>
          </w:tcPr>
          <w:p>
            <w:pPr>
              <w:spacing w:after="0" w:line="240" w:lineRule="auto"/>
            </w:pPr>
            <w:r>
              <w:rPr>
                <w:b w:val="0"/>
                <w:i w:val="0"/>
                <w:color w:val="27333B"/>
                <w:sz w:val="15"/>
              </w:rPr>
              <w:t>Support access to sensitive data is masked, purpose-limited, and audited.</w:t>
            </w:r>
          </w:p>
        </w:tc>
      </w:tr>
    </w:tbl>
    <w:p>
      <w:pPr>
        <w:spacing w:after="0"/>
      </w:pPr>
    </w:p>
    <w:p>
      <w:pPr>
        <w:pStyle w:val="Heading1"/>
        <w:keepNext/>
      </w:pPr>
      <w:r>
        <w:t>Appendix C — Priority Incident Playbooks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E6078"/>
            <w:tcMar>
              <w:top w:w="80" w:type="dxa"/>
              <w:start w:w="90" w:type="dxa"/>
              <w:bottom w:w="80" w:type="dxa"/>
              <w:end w:w="90" w:type="dxa"/>
            </w:tcMar>
          </w:tcPr>
          <w:p>
            <w:pPr>
              <w:spacing w:after="0"/>
              <w:jc w:val="left"/>
            </w:pPr>
            <w:r>
              <w:rPr>
                <w:b/>
                <w:i w:val="0"/>
                <w:color w:val="FFFFFF"/>
                <w:sz w:val="16"/>
              </w:rPr>
              <w:t>Playbook</w:t>
            </w:r>
          </w:p>
        </w:tc>
        <w:tc>
          <w:tcPr>
            <w:tcW w:type="dxa" w:w="7056"/>
            <w:shd w:fill="2E6078"/>
            <w:tcMar>
              <w:top w:w="80" w:type="dxa"/>
              <w:start w:w="90" w:type="dxa"/>
              <w:bottom w:w="80" w:type="dxa"/>
              <w:end w:w="90" w:type="dxa"/>
            </w:tcMar>
          </w:tcPr>
          <w:p>
            <w:pPr>
              <w:spacing w:after="0"/>
              <w:jc w:val="left"/>
            </w:pPr>
            <w:r>
              <w:rPr>
                <w:b/>
                <w:i w:val="0"/>
                <w:color w:val="FFFFFF"/>
                <w:sz w:val="16"/>
              </w:rPr>
              <w:t>Immediate actions</w:t>
            </w:r>
          </w:p>
        </w:tc>
      </w:tr>
      <w:tr>
        <w:trPr>
          <w:cantSplit/>
        </w:trPr>
        <w:tc>
          <w:tcPr>
            <w:tcW w:type="dxa" w:w="2880"/>
            <w:tcMar>
              <w:top w:w="70" w:type="dxa"/>
              <w:start w:w="85" w:type="dxa"/>
              <w:bottom w:w="70" w:type="dxa"/>
              <w:end w:w="85" w:type="dxa"/>
            </w:tcMar>
            <w:vAlign w:val="top"/>
          </w:tcPr>
          <w:p>
            <w:pPr>
              <w:spacing w:after="0" w:line="240" w:lineRule="auto"/>
            </w:pPr>
            <w:r>
              <w:rPr>
                <w:b/>
                <w:i w:val="0"/>
                <w:color w:val="27333B"/>
                <w:sz w:val="15"/>
              </w:rPr>
              <w:t>Suspected cross-tenant exposure</w:t>
            </w:r>
          </w:p>
        </w:tc>
        <w:tc>
          <w:tcPr>
            <w:tcW w:type="dxa" w:w="7056"/>
            <w:tcMar>
              <w:top w:w="70" w:type="dxa"/>
              <w:start w:w="85" w:type="dxa"/>
              <w:bottom w:w="70" w:type="dxa"/>
              <w:end w:w="85" w:type="dxa"/>
            </w:tcMar>
            <w:vAlign w:val="top"/>
          </w:tcPr>
          <w:p>
            <w:pPr>
              <w:spacing w:after="0" w:line="240" w:lineRule="auto"/>
            </w:pPr>
            <w:r>
              <w:rPr>
                <w:b w:val="0"/>
                <w:i w:val="0"/>
                <w:color w:val="27333B"/>
                <w:sz w:val="15"/>
              </w:rPr>
              <w:t>Disable affected endpoint/feature if necessary; preserve request/audit/database evidence; identify affected tenants and fields; revoke implicated sessions; patch and negative-test; assess notice with counsel; monitor recurrence.</w:t>
            </w:r>
          </w:p>
        </w:tc>
      </w:tr>
      <w:tr>
        <w:trPr>
          <w:cantSplit/>
        </w:trPr>
        <w:tc>
          <w:tcPr>
            <w:tcW w:type="dxa" w:w="2880"/>
            <w:tcMar>
              <w:top w:w="70" w:type="dxa"/>
              <w:start w:w="85" w:type="dxa"/>
              <w:bottom w:w="70" w:type="dxa"/>
              <w:end w:w="85" w:type="dxa"/>
            </w:tcMar>
            <w:vAlign w:val="top"/>
            <w:shd w:fill="F5F7F8"/>
          </w:tcPr>
          <w:p>
            <w:pPr>
              <w:spacing w:after="0" w:line="240" w:lineRule="auto"/>
            </w:pPr>
            <w:r>
              <w:rPr>
                <w:b/>
                <w:i w:val="0"/>
                <w:color w:val="27333B"/>
                <w:sz w:val="15"/>
              </w:rPr>
              <w:t>Agent signing key or update compromise</w:t>
            </w:r>
          </w:p>
        </w:tc>
        <w:tc>
          <w:tcPr>
            <w:tcW w:type="dxa" w:w="7056"/>
            <w:tcMar>
              <w:top w:w="70" w:type="dxa"/>
              <w:start w:w="85" w:type="dxa"/>
              <w:bottom w:w="70" w:type="dxa"/>
              <w:end w:w="85" w:type="dxa"/>
            </w:tcMar>
            <w:vAlign w:val="top"/>
            <w:shd w:fill="F5F7F8"/>
          </w:tcPr>
          <w:p>
            <w:pPr>
              <w:spacing w:after="0" w:line="240" w:lineRule="auto"/>
            </w:pPr>
            <w:r>
              <w:rPr>
                <w:b w:val="0"/>
                <w:i w:val="0"/>
                <w:color w:val="27333B"/>
                <w:sz w:val="15"/>
              </w:rPr>
              <w:t>Stop releases; remove update metadata/artifacts; revoke/replace signing trust according to plan; identify installed versions; communicate through independent channel; distribute known-good recovery; investigate build/signing systems.</w:t>
            </w:r>
          </w:p>
        </w:tc>
      </w:tr>
      <w:tr>
        <w:trPr>
          <w:cantSplit/>
        </w:trPr>
        <w:tc>
          <w:tcPr>
            <w:tcW w:type="dxa" w:w="2880"/>
            <w:tcMar>
              <w:top w:w="70" w:type="dxa"/>
              <w:start w:w="85" w:type="dxa"/>
              <w:bottom w:w="70" w:type="dxa"/>
              <w:end w:w="85" w:type="dxa"/>
            </w:tcMar>
            <w:vAlign w:val="top"/>
          </w:tcPr>
          <w:p>
            <w:pPr>
              <w:spacing w:after="0" w:line="240" w:lineRule="auto"/>
            </w:pPr>
            <w:r>
              <w:rPr>
                <w:b/>
                <w:i w:val="0"/>
                <w:color w:val="27333B"/>
                <w:sz w:val="15"/>
              </w:rPr>
              <w:t>Customer account takeover</w:t>
            </w:r>
          </w:p>
        </w:tc>
        <w:tc>
          <w:tcPr>
            <w:tcW w:type="dxa" w:w="7056"/>
            <w:tcMar>
              <w:top w:w="70" w:type="dxa"/>
              <w:start w:w="85" w:type="dxa"/>
              <w:bottom w:w="70" w:type="dxa"/>
              <w:end w:w="85" w:type="dxa"/>
            </w:tcMar>
            <w:vAlign w:val="top"/>
          </w:tcPr>
          <w:p>
            <w:pPr>
              <w:spacing w:after="0" w:line="240" w:lineRule="auto"/>
            </w:pPr>
            <w:r>
              <w:rPr>
                <w:b w:val="0"/>
                <w:i w:val="0"/>
                <w:color w:val="27333B"/>
                <w:sz w:val="15"/>
              </w:rPr>
              <w:t>Revoke sessions; secure identity account; reverse unauthorized contacts/settings where verified; preserve audit; notify customer through known channel; examine export and suppression actions.</w:t>
            </w:r>
          </w:p>
        </w:tc>
      </w:tr>
      <w:tr>
        <w:trPr>
          <w:cantSplit/>
        </w:trPr>
        <w:tc>
          <w:tcPr>
            <w:tcW w:type="dxa" w:w="2880"/>
            <w:tcMar>
              <w:top w:w="70" w:type="dxa"/>
              <w:start w:w="85" w:type="dxa"/>
              <w:bottom w:w="70" w:type="dxa"/>
              <w:end w:w="85" w:type="dxa"/>
            </w:tcMar>
            <w:vAlign w:val="top"/>
            <w:shd w:fill="F5F7F8"/>
          </w:tcPr>
          <w:p>
            <w:pPr>
              <w:spacing w:after="0" w:line="240" w:lineRule="auto"/>
            </w:pPr>
            <w:r>
              <w:rPr>
                <w:b/>
                <w:i w:val="0"/>
                <w:color w:val="27333B"/>
                <w:sz w:val="15"/>
              </w:rPr>
              <w:t>SMS/provider abuse</w:t>
            </w:r>
          </w:p>
        </w:tc>
        <w:tc>
          <w:tcPr>
            <w:tcW w:type="dxa" w:w="7056"/>
            <w:tcMar>
              <w:top w:w="70" w:type="dxa"/>
              <w:start w:w="85" w:type="dxa"/>
              <w:bottom w:w="70" w:type="dxa"/>
              <w:end w:w="85" w:type="dxa"/>
            </w:tcMar>
            <w:vAlign w:val="top"/>
            <w:shd w:fill="F5F7F8"/>
          </w:tcPr>
          <w:p>
            <w:pPr>
              <w:spacing w:after="0" w:line="240" w:lineRule="auto"/>
            </w:pPr>
            <w:r>
              <w:rPr>
                <w:b w:val="0"/>
                <w:i w:val="0"/>
                <w:color w:val="27333B"/>
                <w:sz w:val="15"/>
              </w:rPr>
              <w:t>Disable affected credentials/destinations/accounts; apply spending cap; preserve provider logs/receipts; rotate key if exposed; coordinate with provider; restore controlled delivery.</w:t>
            </w:r>
          </w:p>
        </w:tc>
      </w:tr>
      <w:tr>
        <w:trPr>
          <w:cantSplit/>
        </w:trPr>
        <w:tc>
          <w:tcPr>
            <w:tcW w:type="dxa" w:w="2880"/>
            <w:tcMar>
              <w:top w:w="70" w:type="dxa"/>
              <w:start w:w="85" w:type="dxa"/>
              <w:bottom w:w="70" w:type="dxa"/>
              <w:end w:w="85" w:type="dxa"/>
            </w:tcMar>
            <w:vAlign w:val="top"/>
          </w:tcPr>
          <w:p>
            <w:pPr>
              <w:spacing w:after="0" w:line="240" w:lineRule="auto"/>
            </w:pPr>
            <w:r>
              <w:rPr>
                <w:b/>
                <w:i w:val="0"/>
                <w:color w:val="27333B"/>
                <w:sz w:val="15"/>
              </w:rPr>
              <w:t>Provider or cloud outage causing false alerts</w:t>
            </w:r>
          </w:p>
        </w:tc>
        <w:tc>
          <w:tcPr>
            <w:tcW w:type="dxa" w:w="7056"/>
            <w:tcMar>
              <w:top w:w="70" w:type="dxa"/>
              <w:start w:w="85" w:type="dxa"/>
              <w:bottom w:w="70" w:type="dxa"/>
              <w:end w:w="85" w:type="dxa"/>
            </w:tcMar>
            <w:vAlign w:val="top"/>
          </w:tcPr>
          <w:p>
            <w:pPr>
              <w:spacing w:after="0" w:line="240" w:lineRule="auto"/>
            </w:pPr>
            <w:r>
              <w:rPr>
                <w:b w:val="0"/>
                <w:i w:val="0"/>
                <w:color w:val="27333B"/>
                <w:sz w:val="15"/>
              </w:rPr>
              <w:t>Declare systemic incident; correlate missed heartbeats; suppress or reclassify property-specific tamper wording; status communication; replay and reconcile after recovery.</w:t>
            </w:r>
          </w:p>
        </w:tc>
      </w:tr>
      <w:tr>
        <w:trPr>
          <w:cantSplit/>
        </w:trPr>
        <w:tc>
          <w:tcPr>
            <w:tcW w:type="dxa" w:w="2880"/>
            <w:tcMar>
              <w:top w:w="70" w:type="dxa"/>
              <w:start w:w="85" w:type="dxa"/>
              <w:bottom w:w="70" w:type="dxa"/>
              <w:end w:w="85" w:type="dxa"/>
            </w:tcMar>
            <w:vAlign w:val="top"/>
            <w:shd w:fill="F5F7F8"/>
          </w:tcPr>
          <w:p>
            <w:pPr>
              <w:spacing w:after="0" w:line="240" w:lineRule="auto"/>
            </w:pPr>
            <w:r>
              <w:rPr>
                <w:b/>
                <w:i w:val="0"/>
                <w:color w:val="27333B"/>
                <w:sz w:val="15"/>
              </w:rPr>
              <w:t>Camera credential leakage</w:t>
            </w:r>
          </w:p>
        </w:tc>
        <w:tc>
          <w:tcPr>
            <w:tcW w:type="dxa" w:w="7056"/>
            <w:tcMar>
              <w:top w:w="70" w:type="dxa"/>
              <w:start w:w="85" w:type="dxa"/>
              <w:bottom w:w="70" w:type="dxa"/>
              <w:end w:w="85" w:type="dxa"/>
            </w:tcMar>
            <w:vAlign w:val="top"/>
            <w:shd w:fill="F5F7F8"/>
          </w:tcPr>
          <w:p>
            <w:pPr>
              <w:spacing w:after="0" w:line="240" w:lineRule="auto"/>
            </w:pPr>
            <w:r>
              <w:rPr>
                <w:b w:val="0"/>
                <w:i w:val="0"/>
                <w:color w:val="27333B"/>
                <w:sz w:val="15"/>
              </w:rPr>
              <w:t>Revoke/remove leaked credential; identify stores/logs/exports; instruct customer to rotate camera/DVR password; patch source; purge where possible; assess affected properties.</w:t>
            </w:r>
          </w:p>
        </w:tc>
      </w:tr>
    </w:tbl>
    <w:p>
      <w:pPr>
        <w:spacing w:after="0"/>
      </w:pPr>
    </w:p>
    <w:p>
      <w:pPr>
        <w:pStyle w:val="Heading1"/>
        <w:keepNext/>
      </w:pPr>
      <w:r>
        <w:t>Appendix D — Security Review Checklist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2E6078"/>
            <w:tcMar>
              <w:top w:w="80" w:type="dxa"/>
              <w:start w:w="90" w:type="dxa"/>
              <w:bottom w:w="80" w:type="dxa"/>
              <w:end w:w="90" w:type="dxa"/>
            </w:tcMar>
          </w:tcPr>
          <w:p>
            <w:pPr>
              <w:spacing w:after="0"/>
              <w:jc w:val="left"/>
            </w:pPr>
            <w:r>
              <w:rPr>
                <w:b/>
                <w:i w:val="0"/>
                <w:color w:val="FFFFFF"/>
                <w:sz w:val="16"/>
              </w:rPr>
              <w:t>Review area</w:t>
            </w:r>
          </w:p>
        </w:tc>
        <w:tc>
          <w:tcPr>
            <w:tcW w:type="dxa" w:w="7992"/>
            <w:shd w:fill="2E6078"/>
            <w:tcMar>
              <w:top w:w="80" w:type="dxa"/>
              <w:start w:w="90" w:type="dxa"/>
              <w:bottom w:w="80" w:type="dxa"/>
              <w:end w:w="90" w:type="dxa"/>
            </w:tcMar>
          </w:tcPr>
          <w:p>
            <w:pPr>
              <w:spacing w:after="0"/>
              <w:jc w:val="left"/>
            </w:pPr>
            <w:r>
              <w:rPr>
                <w:b/>
                <w:i w:val="0"/>
                <w:color w:val="FFFFFF"/>
                <w:sz w:val="16"/>
              </w:rPr>
              <w:t>Questions / evidence</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6"/>
              </w:rPr>
              <w:t>Architecture</w:t>
            </w:r>
          </w:p>
        </w:tc>
        <w:tc>
          <w:tcPr>
            <w:tcW w:type="dxa" w:w="7992"/>
            <w:tcMar>
              <w:top w:w="70" w:type="dxa"/>
              <w:start w:w="85" w:type="dxa"/>
              <w:bottom w:w="70" w:type="dxa"/>
              <w:end w:w="85" w:type="dxa"/>
            </w:tcMar>
            <w:vAlign w:val="top"/>
          </w:tcPr>
          <w:p>
            <w:pPr>
              <w:spacing w:after="0" w:line="240" w:lineRule="auto"/>
            </w:pPr>
            <w:r>
              <w:rPr>
                <w:b w:val="0"/>
                <w:i w:val="0"/>
                <w:color w:val="27333B"/>
                <w:sz w:val="16"/>
              </w:rPr>
              <w:t>Trust boundaries current; no new inbound property exposure; tenant context explicit; secrets and data stores identified; failure modes documented.</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6"/>
              </w:rPr>
              <w:t>Agent</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Least privilege; signed binaries; secure IPC; protected secrets; bounded probes; no shell injection; crash/replay tested; update rollback works.</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6"/>
              </w:rPr>
              <w:t>API/cloud</w:t>
            </w:r>
          </w:p>
        </w:tc>
        <w:tc>
          <w:tcPr>
            <w:tcW w:type="dxa" w:w="7992"/>
            <w:tcMar>
              <w:top w:w="70" w:type="dxa"/>
              <w:start w:w="85" w:type="dxa"/>
              <w:bottom w:w="70" w:type="dxa"/>
              <w:end w:w="85" w:type="dxa"/>
            </w:tcMar>
            <w:vAlign w:val="top"/>
          </w:tcPr>
          <w:p>
            <w:pPr>
              <w:spacing w:after="0" w:line="240" w:lineRule="auto"/>
            </w:pPr>
            <w:r>
              <w:rPr>
                <w:b w:val="0"/>
                <w:i w:val="0"/>
                <w:color w:val="27333B"/>
                <w:sz w:val="16"/>
              </w:rPr>
              <w:t>Authentication and authorization negative tests; idempotency; validation; rate limits; provider callback verification; background job tenant scope.</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6"/>
              </w:rPr>
              <w:t>Dashboard</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Secure session; CSRF/XSS/CSP; step-up actions; masked sensitive data; export/delete authorization; no secrets in client.</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6"/>
              </w:rPr>
              <w:t>Notifications</w:t>
            </w:r>
          </w:p>
        </w:tc>
        <w:tc>
          <w:tcPr>
            <w:tcW w:type="dxa" w:w="7992"/>
            <w:tcMar>
              <w:top w:w="70" w:type="dxa"/>
              <w:start w:w="85" w:type="dxa"/>
              <w:bottom w:w="70" w:type="dxa"/>
              <w:end w:w="85" w:type="dxa"/>
            </w:tcMar>
            <w:vAlign w:val="top"/>
          </w:tcPr>
          <w:p>
            <w:pPr>
              <w:spacing w:after="0" w:line="240" w:lineRule="auto"/>
            </w:pPr>
            <w:r>
              <w:rPr>
                <w:b w:val="0"/>
                <w:i w:val="0"/>
                <w:color w:val="27333B"/>
                <w:sz w:val="16"/>
              </w:rPr>
              <w:t>Destination verification/consent; dedup; quotas; minimal content; provider receipts; fallback/failure visibility; abuse controls.</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6"/>
              </w:rPr>
              <w:t>Privacy</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Actual telemetry captured and reviewed; data purpose/class/retention assigned; D5 excluded; deletion/export tested; provider inventory accurate.</w:t>
            </w:r>
          </w:p>
        </w:tc>
      </w:tr>
      <w:tr>
        <w:trPr>
          <w:cantSplit/>
        </w:trPr>
        <w:tc>
          <w:tcPr>
            <w:tcW w:type="dxa" w:w="1944"/>
            <w:tcMar>
              <w:top w:w="70" w:type="dxa"/>
              <w:start w:w="85" w:type="dxa"/>
              <w:bottom w:w="70" w:type="dxa"/>
              <w:end w:w="85" w:type="dxa"/>
            </w:tcMar>
            <w:vAlign w:val="top"/>
          </w:tcPr>
          <w:p>
            <w:pPr>
              <w:spacing w:after="0" w:line="240" w:lineRule="auto"/>
            </w:pPr>
            <w:r>
              <w:rPr>
                <w:b w:val="0"/>
                <w:i w:val="0"/>
                <w:color w:val="27333B"/>
                <w:sz w:val="16"/>
              </w:rPr>
              <w:t>Operations</w:t>
            </w:r>
          </w:p>
        </w:tc>
        <w:tc>
          <w:tcPr>
            <w:tcW w:type="dxa" w:w="7992"/>
            <w:tcMar>
              <w:top w:w="70" w:type="dxa"/>
              <w:start w:w="85" w:type="dxa"/>
              <w:bottom w:w="70" w:type="dxa"/>
              <w:end w:w="85" w:type="dxa"/>
            </w:tcMar>
            <w:vAlign w:val="top"/>
          </w:tcPr>
          <w:p>
            <w:pPr>
              <w:spacing w:after="0" w:line="240" w:lineRule="auto"/>
            </w:pPr>
            <w:r>
              <w:rPr>
                <w:b w:val="0"/>
                <w:i w:val="0"/>
                <w:color w:val="27333B"/>
                <w:sz w:val="16"/>
              </w:rPr>
              <w:t>MFA/admin access; JIT/break-glass; audit; backups/restores; incident contacts; key rotation; cost alarms; status communications.</w:t>
            </w:r>
          </w:p>
        </w:tc>
      </w:tr>
      <w:tr>
        <w:trPr>
          <w:cantSplit/>
        </w:trPr>
        <w:tc>
          <w:tcPr>
            <w:tcW w:type="dxa" w:w="1944"/>
            <w:tcMar>
              <w:top w:w="70" w:type="dxa"/>
              <w:start w:w="85" w:type="dxa"/>
              <w:bottom w:w="70" w:type="dxa"/>
              <w:end w:w="85" w:type="dxa"/>
            </w:tcMar>
            <w:vAlign w:val="top"/>
            <w:shd w:fill="F5F7F8"/>
          </w:tcPr>
          <w:p>
            <w:pPr>
              <w:spacing w:after="0" w:line="240" w:lineRule="auto"/>
            </w:pPr>
            <w:r>
              <w:rPr>
                <w:b w:val="0"/>
                <w:i w:val="0"/>
                <w:color w:val="27333B"/>
                <w:sz w:val="16"/>
              </w:rPr>
              <w:t>Supply chain</w:t>
            </w:r>
          </w:p>
        </w:tc>
        <w:tc>
          <w:tcPr>
            <w:tcW w:type="dxa" w:w="7992"/>
            <w:tcMar>
              <w:top w:w="70" w:type="dxa"/>
              <w:start w:w="85" w:type="dxa"/>
              <w:bottom w:w="70" w:type="dxa"/>
              <w:end w:w="85" w:type="dxa"/>
            </w:tcMar>
            <w:vAlign w:val="top"/>
            <w:shd w:fill="F5F7F8"/>
          </w:tcPr>
          <w:p>
            <w:pPr>
              <w:spacing w:after="0" w:line="240" w:lineRule="auto"/>
            </w:pPr>
            <w:r>
              <w:rPr>
                <w:b w:val="0"/>
                <w:i w:val="0"/>
                <w:color w:val="27333B"/>
                <w:sz w:val="16"/>
              </w:rPr>
              <w:t>Protected source/CI; dependencies locked/scanned; artifacts signed; provenance/SBOM; staged rollout; emergency revoke/rollback.</w:t>
            </w:r>
          </w:p>
        </w:tc>
      </w:tr>
    </w:tbl>
    <w:p>
      <w:pPr>
        <w:spacing w:after="0"/>
      </w:pP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APPROVAL RECORD</w:t>
            </w:r>
          </w:p>
          <w:p>
            <w:pPr>
              <w:spacing w:after="0"/>
            </w:pPr>
            <w:r>
              <w:rPr>
                <w:b w:val="0"/>
                <w:i w:val="0"/>
                <w:color w:val="27333B"/>
                <w:sz w:val="20"/>
              </w:rPr>
              <w:t>Before each release gate, record the reviewer, date, evidence links, unresolved findings, risk owners, and explicit approval. The checklist is not complete merely because every row has a checkmark; evidence must demonstrate the behavior.</w:t>
            </w:r>
          </w:p>
        </w:tc>
      </w:tr>
    </w:tbl>
    <w:p>
      <w:pPr>
        <w:spacing w:after="0"/>
      </w:pPr>
    </w:p>
    <w:p>
      <w:pPr>
        <w:pStyle w:val="Heading1"/>
        <w:keepNext/>
      </w:pPr>
      <w:r>
        <w:t>Appendix E — Customer-Safe Security Language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E6078"/>
            <w:tcMar>
              <w:top w:w="80" w:type="dxa"/>
              <w:start w:w="90" w:type="dxa"/>
              <w:bottom w:w="80" w:type="dxa"/>
              <w:end w:w="90" w:type="dxa"/>
            </w:tcMar>
          </w:tcPr>
          <w:p>
            <w:pPr>
              <w:spacing w:after="0"/>
              <w:jc w:val="left"/>
            </w:pPr>
            <w:r>
              <w:rPr>
                <w:b/>
                <w:i w:val="0"/>
                <w:color w:val="FFFFFF"/>
                <w:sz w:val="16"/>
              </w:rPr>
              <w:t>Situation</w:t>
            </w:r>
          </w:p>
        </w:tc>
        <w:tc>
          <w:tcPr>
            <w:tcW w:type="dxa" w:w="4968"/>
            <w:shd w:fill="2E6078"/>
            <w:tcMar>
              <w:top w:w="80" w:type="dxa"/>
              <w:start w:w="90" w:type="dxa"/>
              <w:bottom w:w="80" w:type="dxa"/>
              <w:end w:w="90" w:type="dxa"/>
            </w:tcMar>
          </w:tcPr>
          <w:p>
            <w:pPr>
              <w:spacing w:after="0"/>
              <w:jc w:val="left"/>
            </w:pPr>
            <w:r>
              <w:rPr>
                <w:b/>
                <w:i w:val="0"/>
                <w:color w:val="FFFFFF"/>
                <w:sz w:val="16"/>
              </w:rPr>
              <w:t>Preferred wording</w:t>
            </w:r>
          </w:p>
        </w:tc>
        <w:tc>
          <w:tcPr>
            <w:tcW w:type="dxa" w:w="2736"/>
            <w:shd w:fill="2E6078"/>
            <w:tcMar>
              <w:top w:w="80" w:type="dxa"/>
              <w:start w:w="90" w:type="dxa"/>
              <w:bottom w:w="80" w:type="dxa"/>
              <w:end w:w="90" w:type="dxa"/>
            </w:tcMar>
          </w:tcPr>
          <w:p>
            <w:pPr>
              <w:spacing w:after="0"/>
              <w:jc w:val="left"/>
            </w:pPr>
            <w:r>
              <w:rPr>
                <w:b/>
                <w:i w:val="0"/>
                <w:color w:val="FFFFFF"/>
                <w:sz w:val="16"/>
              </w:rPr>
              <w:t>Avoid</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Single camera offline</w:t>
            </w:r>
          </w:p>
        </w:tc>
        <w:tc>
          <w:tcPr>
            <w:tcW w:type="dxa" w:w="4968"/>
            <w:tcMar>
              <w:top w:w="70" w:type="dxa"/>
              <w:start w:w="85" w:type="dxa"/>
              <w:bottom w:w="70" w:type="dxa"/>
              <w:end w:w="85" w:type="dxa"/>
            </w:tcMar>
            <w:vAlign w:val="top"/>
          </w:tcPr>
          <w:p>
            <w:pPr>
              <w:spacing w:after="0" w:line="240" w:lineRule="auto"/>
            </w:pPr>
            <w:r>
              <w:rPr>
                <w:b w:val="0"/>
                <w:i w:val="0"/>
                <w:color w:val="27333B"/>
                <w:sz w:val="15"/>
              </w:rPr>
              <w:t>“Driveway Camera stopped responding. Internet and other monitored devices remain online. Check camera power, cable, or device health.”</w:t>
            </w:r>
          </w:p>
        </w:tc>
        <w:tc>
          <w:tcPr>
            <w:tcW w:type="dxa" w:w="2736"/>
            <w:tcMar>
              <w:top w:w="70" w:type="dxa"/>
              <w:start w:w="85" w:type="dxa"/>
              <w:bottom w:w="70" w:type="dxa"/>
              <w:end w:w="85" w:type="dxa"/>
            </w:tcMar>
            <w:vAlign w:val="top"/>
          </w:tcPr>
          <w:p>
            <w:pPr>
              <w:spacing w:after="0" w:line="240" w:lineRule="auto"/>
            </w:pPr>
            <w:r>
              <w:rPr>
                <w:b w:val="0"/>
                <w:i w:val="0"/>
                <w:color w:val="27333B"/>
                <w:sz w:val="15"/>
              </w:rPr>
              <w:t>“Someone unplugged your camera.”</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Whole property stops communicating</w:t>
            </w:r>
          </w:p>
        </w:tc>
        <w:tc>
          <w:tcPr>
            <w:tcW w:type="dxa" w:w="4968"/>
            <w:tcMar>
              <w:top w:w="70" w:type="dxa"/>
              <w:start w:w="85" w:type="dxa"/>
              <w:bottom w:w="70" w:type="dxa"/>
              <w:end w:w="85" w:type="dxa"/>
            </w:tcMar>
            <w:vAlign w:val="top"/>
            <w:shd w:fill="F5F7F8"/>
          </w:tcPr>
          <w:p>
            <w:pPr>
              <w:spacing w:after="0" w:line="240" w:lineRule="auto"/>
            </w:pPr>
            <w:r>
              <w:rPr>
                <w:b w:val="0"/>
                <w:i w:val="0"/>
                <w:color w:val="27333B"/>
                <w:sz w:val="15"/>
              </w:rPr>
              <w:t>“The property monitoring agent stopped communicating. Possible causes include internet loss, power loss, computer shutdown, or equipment disconnection.”</w:t>
            </w:r>
          </w:p>
        </w:tc>
        <w:tc>
          <w:tcPr>
            <w:tcW w:type="dxa" w:w="2736"/>
            <w:tcMar>
              <w:top w:w="70" w:type="dxa"/>
              <w:start w:w="85" w:type="dxa"/>
              <w:bottom w:w="70" w:type="dxa"/>
              <w:end w:w="85" w:type="dxa"/>
            </w:tcMar>
            <w:vAlign w:val="top"/>
            <w:shd w:fill="F5F7F8"/>
          </w:tcPr>
          <w:p>
            <w:pPr>
              <w:spacing w:after="0" w:line="240" w:lineRule="auto"/>
            </w:pPr>
            <w:r>
              <w:rPr>
                <w:b w:val="0"/>
                <w:i w:val="0"/>
                <w:color w:val="27333B"/>
                <w:sz w:val="15"/>
              </w:rPr>
              <w:t>“Your phone line was cut.”</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Sequential critical-device failures</w:t>
            </w:r>
          </w:p>
        </w:tc>
        <w:tc>
          <w:tcPr>
            <w:tcW w:type="dxa" w:w="4968"/>
            <w:tcMar>
              <w:top w:w="70" w:type="dxa"/>
              <w:start w:w="85" w:type="dxa"/>
              <w:bottom w:w="70" w:type="dxa"/>
              <w:end w:w="85" w:type="dxa"/>
            </w:tcMar>
            <w:vAlign w:val="top"/>
          </w:tcPr>
          <w:p>
            <w:pPr>
              <w:spacing w:after="0" w:line="240" w:lineRule="auto"/>
            </w:pPr>
            <w:r>
              <w:rPr>
                <w:b w:val="0"/>
                <w:i w:val="0"/>
                <w:color w:val="27333B"/>
                <w:sz w:val="15"/>
              </w:rPr>
              <w:t>“Several monitored security devices went offline one at a time while internet remained available. This pattern is unusual. Review the incident timeline.”</w:t>
            </w:r>
          </w:p>
        </w:tc>
        <w:tc>
          <w:tcPr>
            <w:tcW w:type="dxa" w:w="2736"/>
            <w:tcMar>
              <w:top w:w="70" w:type="dxa"/>
              <w:start w:w="85" w:type="dxa"/>
              <w:bottom w:w="70" w:type="dxa"/>
              <w:end w:w="85" w:type="dxa"/>
            </w:tcMar>
            <w:vAlign w:val="top"/>
          </w:tcPr>
          <w:p>
            <w:pPr>
              <w:spacing w:after="0" w:line="240" w:lineRule="auto"/>
            </w:pPr>
            <w:r>
              <w:rPr>
                <w:b w:val="0"/>
                <w:i w:val="0"/>
                <w:color w:val="27333B"/>
                <w:sz w:val="15"/>
              </w:rPr>
              <w:t>“An intruder is disabling your cameras.”</w:t>
            </w:r>
          </w:p>
        </w:tc>
      </w:tr>
      <w:tr>
        <w:trPr>
          <w:cantSplit/>
        </w:trPr>
        <w:tc>
          <w:tcPr>
            <w:tcW w:type="dxa" w:w="2232"/>
            <w:tcMar>
              <w:top w:w="70" w:type="dxa"/>
              <w:start w:w="85" w:type="dxa"/>
              <w:bottom w:w="70" w:type="dxa"/>
              <w:end w:w="85" w:type="dxa"/>
            </w:tcMar>
            <w:vAlign w:val="top"/>
            <w:shd w:fill="F5F7F8"/>
          </w:tcPr>
          <w:p>
            <w:pPr>
              <w:spacing w:after="0" w:line="240" w:lineRule="auto"/>
            </w:pPr>
            <w:r>
              <w:rPr>
                <w:b w:val="0"/>
                <w:i w:val="0"/>
                <w:color w:val="27333B"/>
                <w:sz w:val="15"/>
              </w:rPr>
              <w:t>Platform outage</w:t>
            </w:r>
          </w:p>
        </w:tc>
        <w:tc>
          <w:tcPr>
            <w:tcW w:type="dxa" w:w="4968"/>
            <w:tcMar>
              <w:top w:w="70" w:type="dxa"/>
              <w:start w:w="85" w:type="dxa"/>
              <w:bottom w:w="70" w:type="dxa"/>
              <w:end w:w="85" w:type="dxa"/>
            </w:tcMar>
            <w:vAlign w:val="top"/>
            <w:shd w:fill="F5F7F8"/>
          </w:tcPr>
          <w:p>
            <w:pPr>
              <w:spacing w:after="0" w:line="240" w:lineRule="auto"/>
            </w:pPr>
            <w:r>
              <w:rPr>
                <w:b w:val="0"/>
                <w:i w:val="0"/>
                <w:color w:val="27333B"/>
                <w:sz w:val="15"/>
              </w:rPr>
              <w:t>“Our monitoring service is experiencing an outage. Property status may be delayed; we will update you when service is restored.”</w:t>
            </w:r>
          </w:p>
        </w:tc>
        <w:tc>
          <w:tcPr>
            <w:tcW w:type="dxa" w:w="2736"/>
            <w:tcMar>
              <w:top w:w="70" w:type="dxa"/>
              <w:start w:w="85" w:type="dxa"/>
              <w:bottom w:w="70" w:type="dxa"/>
              <w:end w:w="85" w:type="dxa"/>
            </w:tcMar>
            <w:vAlign w:val="top"/>
            <w:shd w:fill="F5F7F8"/>
          </w:tcPr>
          <w:p>
            <w:pPr>
              <w:spacing w:after="0" w:line="240" w:lineRule="auto"/>
            </w:pPr>
            <w:r>
              <w:rPr>
                <w:b w:val="0"/>
                <w:i w:val="0"/>
                <w:color w:val="27333B"/>
                <w:sz w:val="15"/>
              </w:rPr>
              <w:t>Property-specific tamper warnings generated from missing cloud heartbeats.</w:t>
            </w:r>
          </w:p>
        </w:tc>
      </w:tr>
      <w:tr>
        <w:trPr>
          <w:cantSplit/>
        </w:trPr>
        <w:tc>
          <w:tcPr>
            <w:tcW w:type="dxa" w:w="2232"/>
            <w:tcMar>
              <w:top w:w="70" w:type="dxa"/>
              <w:start w:w="85" w:type="dxa"/>
              <w:bottom w:w="70" w:type="dxa"/>
              <w:end w:w="85" w:type="dxa"/>
            </w:tcMar>
            <w:vAlign w:val="top"/>
          </w:tcPr>
          <w:p>
            <w:pPr>
              <w:spacing w:after="0" w:line="240" w:lineRule="auto"/>
            </w:pPr>
            <w:r>
              <w:rPr>
                <w:b w:val="0"/>
                <w:i w:val="0"/>
                <w:color w:val="27333B"/>
                <w:sz w:val="15"/>
              </w:rPr>
              <w:t>Agent manually stopped when observable</w:t>
            </w:r>
          </w:p>
        </w:tc>
        <w:tc>
          <w:tcPr>
            <w:tcW w:type="dxa" w:w="4968"/>
            <w:tcMar>
              <w:top w:w="70" w:type="dxa"/>
              <w:start w:w="85" w:type="dxa"/>
              <w:bottom w:w="70" w:type="dxa"/>
              <w:end w:w="85" w:type="dxa"/>
            </w:tcMar>
            <w:vAlign w:val="top"/>
          </w:tcPr>
          <w:p>
            <w:pPr>
              <w:spacing w:after="0" w:line="240" w:lineRule="auto"/>
            </w:pPr>
            <w:r>
              <w:rPr>
                <w:b w:val="0"/>
                <w:i w:val="0"/>
                <w:color w:val="27333B"/>
                <w:sz w:val="15"/>
              </w:rPr>
              <w:t>“Monitoring service stopped on the property computer at 1:16 AM. The system cannot determine who stopped it.”</w:t>
            </w:r>
          </w:p>
        </w:tc>
        <w:tc>
          <w:tcPr>
            <w:tcW w:type="dxa" w:w="2736"/>
            <w:tcMar>
              <w:top w:w="70" w:type="dxa"/>
              <w:start w:w="85" w:type="dxa"/>
              <w:bottom w:w="70" w:type="dxa"/>
              <w:end w:w="85" w:type="dxa"/>
            </w:tcMar>
            <w:vAlign w:val="top"/>
          </w:tcPr>
          <w:p>
            <w:pPr>
              <w:spacing w:after="0" w:line="240" w:lineRule="auto"/>
            </w:pPr>
            <w:r>
              <w:rPr>
                <w:b w:val="0"/>
                <w:i w:val="0"/>
                <w:color w:val="27333B"/>
                <w:sz w:val="15"/>
              </w:rPr>
              <w:t>“Monitoring was sabotaged.”</w:t>
            </w:r>
          </w:p>
        </w:tc>
      </w:tr>
    </w:tbl>
    <w:p>
      <w:pPr>
        <w:spacing w:after="0"/>
      </w:pPr>
    </w:p>
    <w:p>
      <w:pPr>
        <w:pStyle w:val="Heading1"/>
        <w:keepNext/>
      </w:pPr>
      <w:r>
        <w:t>Approval and Next Actions</w:t>
      </w:r>
    </w:p>
    <w:p>
      <w:pPr/>
      <w:r>
        <w:t>This v0.1 threat model is intended to guide the prototype, architecture decisions, security backlog, and private-beta gates. It should be updated as implementation reveals actual provider choices, data payloads, endpoint privileges, update mechanisms, and operational practices.</w:t>
      </w:r>
    </w:p>
    <w:p>
      <w:pPr>
        <w:pStyle w:val="Heading2"/>
        <w:keepNext/>
      </w:pPr>
      <w:r>
        <w:t>Immediate next actions</w:t>
      </w:r>
    </w:p>
    <w:p>
      <w:pPr>
        <w:spacing w:after="40"/>
        <w:ind w:left="346" w:hanging="346"/>
      </w:pPr>
      <w:r>
        <w:rPr>
          <w:b w:val="0"/>
          <w:i w:val="0"/>
          <w:color w:val="27333B"/>
          <w:sz w:val="20"/>
        </w:rPr>
        <w:t>1.</w:t>
      </w:r>
      <w:r>
        <w:rPr>
          <w:b w:val="0"/>
          <w:i w:val="0"/>
          <w:color w:val="27333B"/>
          <w:sz w:val="20"/>
        </w:rPr>
        <w:t xml:space="preserve">  Assign owners to all P0 requirements and open high risks.</w:t>
      </w:r>
    </w:p>
    <w:p>
      <w:pPr>
        <w:spacing w:after="40"/>
        <w:ind w:left="346" w:hanging="346"/>
      </w:pPr>
      <w:r>
        <w:rPr>
          <w:b w:val="0"/>
          <w:i w:val="0"/>
          <w:color w:val="27333B"/>
          <w:sz w:val="20"/>
        </w:rPr>
        <w:t>2.</w:t>
      </w:r>
      <w:r>
        <w:rPr>
          <w:b w:val="0"/>
          <w:i w:val="0"/>
          <w:color w:val="27333B"/>
          <w:sz w:val="20"/>
        </w:rPr>
        <w:t xml:space="preserve">  Resolve the agent authentication, local secret storage, identity provider, and update-signing decisions before their implementation paths harden.</w:t>
      </w:r>
    </w:p>
    <w:p>
      <w:pPr>
        <w:spacing w:after="40"/>
        <w:ind w:left="346" w:hanging="346"/>
      </w:pPr>
      <w:r>
        <w:rPr>
          <w:b w:val="0"/>
          <w:i w:val="0"/>
          <w:color w:val="27333B"/>
          <w:sz w:val="20"/>
        </w:rPr>
        <w:t>3.</w:t>
      </w:r>
      <w:r>
        <w:rPr>
          <w:b w:val="0"/>
          <w:i w:val="0"/>
          <w:color w:val="27333B"/>
          <w:sz w:val="20"/>
        </w:rPr>
        <w:t xml:space="preserve">  Convert launch gates and normative requirements into the MVP development backlog with verification tasks.</w:t>
      </w:r>
    </w:p>
    <w:p>
      <w:pPr>
        <w:spacing w:after="40"/>
        <w:ind w:left="346" w:hanging="346"/>
      </w:pPr>
      <w:r>
        <w:rPr>
          <w:b w:val="0"/>
          <w:i w:val="0"/>
          <w:color w:val="27333B"/>
          <w:sz w:val="20"/>
        </w:rPr>
        <w:t>4.</w:t>
      </w:r>
      <w:r>
        <w:rPr>
          <w:b w:val="0"/>
          <w:i w:val="0"/>
          <w:color w:val="27333B"/>
          <w:sz w:val="20"/>
        </w:rPr>
        <w:t xml:space="preserve">  Create a telemetry/data inventory from the first prototype packet captures and logs; compare actual behavior against this specification.</w:t>
      </w:r>
    </w:p>
    <w:p>
      <w:pPr>
        <w:spacing w:after="40"/>
        <w:ind w:left="346" w:hanging="346"/>
      </w:pPr>
      <w:r>
        <w:rPr>
          <w:b w:val="0"/>
          <w:i w:val="0"/>
          <w:color w:val="27333B"/>
          <w:sz w:val="20"/>
        </w:rPr>
        <w:t>5.</w:t>
      </w:r>
      <w:r>
        <w:rPr>
          <w:b w:val="0"/>
          <w:i w:val="0"/>
          <w:color w:val="27333B"/>
          <w:sz w:val="20"/>
        </w:rPr>
        <w:t xml:space="preserve">  Schedule an architecture/security review after the heartbeat and replay vertical slice is operational.</w:t>
      </w:r>
    </w:p>
    <w:p>
      <w:pPr>
        <w:spacing w:after="40"/>
        <w:ind w:left="346" w:hanging="346"/>
      </w:pPr>
      <w:r>
        <w:rPr>
          <w:b w:val="0"/>
          <w:i w:val="0"/>
          <w:color w:val="27333B"/>
          <w:sz w:val="20"/>
        </w:rPr>
        <w:t>6.</w:t>
      </w:r>
      <w:r>
        <w:rPr>
          <w:b w:val="0"/>
          <w:i w:val="0"/>
          <w:color w:val="27333B"/>
          <w:sz w:val="20"/>
        </w:rPr>
        <w:t xml:space="preserve">  Prepare the independent assessment scope before private beta rather than immediately before public launch.</w:t>
      </w:r>
    </w:p>
    <w:tbl>
      <w:tblPr>
        <w:tblW w:type="auto" w:w="0"/>
        <w:jc w:val="center"/>
        <w:tblLayout w:type="fixed"/>
        <w:tblLook w:firstColumn="1" w:firstRow="1" w:lastColumn="0" w:lastRow="0" w:noHBand="0" w:noVBand="1" w:val="04A0"/>
      </w:tblPr>
      <w:tblGrid>
        <w:gridCol w:w="10080"/>
      </w:tblGrid>
      <w:tr>
        <w:trPr>
          <w:cantSplit/>
        </w:trPr>
        <w:tc>
          <w:tcPr>
            <w:tcW w:type="dxa" w:w="10166"/>
            <w:shd w:fill="EAF0F2"/>
            <w:tcMar>
              <w:top w:w="105" w:type="dxa"/>
              <w:start w:w="125" w:type="dxa"/>
              <w:bottom w:w="105" w:type="dxa"/>
              <w:end w:w="125" w:type="dxa"/>
            </w:tcMar>
            <w:tcBorders>
              <w:top w:val="nil"/>
              <w:left w:sz="26" w:val="single" w:color="E45713" w:space="0"/>
              <w:bottom w:val="nil"/>
              <w:right w:val="nil"/>
            </w:tcBorders>
          </w:tcPr>
          <w:p>
            <w:pPr>
              <w:spacing w:after="20"/>
            </w:pPr>
            <w:r>
              <w:rPr>
                <w:b/>
                <w:i w:val="0"/>
                <w:color w:val="E45713"/>
                <w:sz w:val="18"/>
              </w:rPr>
              <w:t>NEXT DELIVERABLE</w:t>
            </w:r>
          </w:p>
          <w:p>
            <w:pPr>
              <w:spacing w:after="0"/>
            </w:pPr>
            <w:r>
              <w:rPr>
                <w:b w:val="0"/>
                <w:i w:val="0"/>
                <w:color w:val="27333B"/>
                <w:sz w:val="20"/>
              </w:rPr>
              <w:t>The next planned product-development document is the MVP Development Backlog v0.1, which should convert the PRD, prototype, architecture, API, and security requirements into prioritized epics, user stories, engineering tasks, dependencies, acceptance criteria, and launch blockers.</w:t>
            </w:r>
          </w:p>
        </w:tc>
      </w:tr>
    </w:tbl>
    <w:p>
      <w:pPr>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val="0"/>
        <w:i w:val="0"/>
        <w:color w:val="66737A"/>
        <w:sz w:val="16"/>
      </w:rPr>
      <w:t xml:space="preserve">CONFIDENTIAL WORKING DOCUMENT   •   v0.1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i w:val="0"/>
        <w:color w:val="2E6078"/>
        <w:sz w:val="17"/>
      </w:rPr>
      <w:t>REMOTE PROPERTY WATCHDOG   |   SECURITY, PRIVACY &amp; THREAT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733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202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E60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E457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D9E7E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color w:val="2733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color w:val="2733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737A"/>
      <w:sz w:val="15"/>
    </w:rPr>
  </w:style>
  <w:style w:type="character" w:customStyle="1" w:styleId="CodeInline">
    <w:name w:val="Code Inline"/>
    <w:rPr>
      <w:rFonts w:ascii="Consolas" w:hAnsi="Consolas"/>
      <w:color w:val="1220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 Security, Privacy &amp; Threat Model v0.1</dc:title>
  <dc:subject>Security architecture, privacy-by-design, threat analysis, controls, and launch gates</dc:subject>
  <dc:creator>Remote Property Watchdog project</dc:creator>
  <cp:keywords>network monitoring, property watchdog, API specification, data model, Windows agent, incident monitoring</cp:keywords>
  <dc:description>Confidential working document</dc:description>
  <cp:lastModifiedBy/>
  <cp:revision>1</cp:revision>
  <dcterms:created xsi:type="dcterms:W3CDTF">2013-12-23T23:15:00Z</dcterms:created>
  <dcterms:modified xsi:type="dcterms:W3CDTF">2013-12-23T23:15:00Z</dcterms:modified>
  <cp:category/>
</cp:coreProperties>
</file>