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实干奋进“十五五”开局新征程</w:t>
      </w:r>
    </w:p>
    <w:p>
      <w:pPr>
        <w:spacing w:after="240"/>
      </w:pPr>
      <w:r>
        <w:rPr>
          <w:color w:val="777777"/>
          <w:sz w:val="18"/>
        </w:rPr>
        <w:t>配套4页PPT｜建议领学时长约12—14分钟，不含现场讨论。正文可直接朗读，页标题和换页提示不朗读。</w:t>
      </w:r>
    </w:p>
    <w:p>
      <w:pPr>
        <w:pStyle w:val="Heading1"/>
      </w:pPr>
      <w:r>
        <w:rPr>
          <w:sz w:val="32"/>
        </w:rPr>
        <w:t>第1页｜实干奋进“十五五”开局新征程</w:t>
      </w:r>
    </w:p>
    <w:p>
      <w:pPr>
        <w:ind w:firstLine="480"/>
      </w:pPr>
      <w:r>
        <w:t>各位同志，大家好！今天，我们围绕第129期组织生活参考《实干奋进“十五五”开局新征程》开展专题学习，重点学习习近平总书记在庆祝中华人民共和国成立77周年招待会上的重要讲话，并结合“十五五”规划纲要，讨论学生党员如何把学习体会落实到科研学习和社会实践中。</w:t>
      </w:r>
    </w:p>
    <w:p>
      <w:pPr>
        <w:ind w:firstLine="480"/>
      </w:pPr>
      <w:r>
        <w:t>2026年是中国共产党成立105周年，也是“十五五”开局之年。理解这次学习的主题，可以从“坚定信心、锚定目标，一步一步扎实往前走”这句话入手。这里既有对发展前景的坚定判断，也有对做好具体工作的明确要求。</w:t>
      </w:r>
    </w:p>
    <w:p>
      <w:pPr>
        <w:ind w:firstLine="480"/>
      </w:pPr>
      <w:r>
        <w:t>首先，要从历史成就中理解信心的来源。讲话回顾了新中国成立77年来取得的伟大成就，指出党团结带领人民创造了经济快速发展和社会长期稳定两大奇迹，实现了全面建成小康社会的第一个百年奋斗目标。学习这些内容，要进一步认识中国特色社会主义制度优势，理解我们向第二个百年奋斗目标前进的历史基础。</w:t>
      </w:r>
    </w:p>
    <w:p>
      <w:pPr>
        <w:ind w:firstLine="480"/>
      </w:pPr>
      <w:r>
        <w:t>其次，要把信心落实到开局之年的任务中。讲话强调，坚持稳中求进工作总基调，完整准确全面贯彻新发展理念，加快构建新发展格局，进一步深化改革开放，更好统筹发展和安全，切实保障和改善民生。这些部署说明，良好开局需要发展质量、改革动力、民生保障和风险防范共同支撑。</w:t>
      </w:r>
    </w:p>
    <w:p>
      <w:pPr>
        <w:ind w:firstLine="480"/>
      </w:pPr>
      <w:r>
        <w:t>第三，要从国家发展大局把握前进方向。讲话对坚持“一国两制”、推进祖国统一大业，以及坚持独立自主的和平外交政策、推动构建人类命运共同体等作出阐述。我们学习讲话，需要将国内发展与国际环境联系起来，把握其中的整体要求。</w:t>
      </w:r>
    </w:p>
    <w:p>
      <w:pPr>
        <w:ind w:firstLine="480"/>
      </w:pPr>
      <w:r>
        <w:t>对于学生党员而言，学习可以从一个具体问题展开：我们如何理解个人成长与国家发展的联系？带着这个问题，下面进一步学习“十五五”规划纲要。</w:t>
      </w:r>
    </w:p>
    <w:p>
      <w:r>
        <w:rPr>
          <w:color w:val="888888"/>
          <w:sz w:val="20"/>
        </w:rPr>
        <w:t>【翻至下一页】</w:t>
      </w:r>
    </w:p>
    <w:p>
      <w:r>
        <w:br w:type="page"/>
      </w:r>
    </w:p>
    <w:p>
      <w:pPr>
        <w:pStyle w:val="Heading1"/>
      </w:pPr>
      <w:r>
        <w:rPr>
          <w:sz w:val="32"/>
        </w:rPr>
        <w:t>第2页｜读懂“十五五”规划纲要</w:t>
      </w:r>
    </w:p>
    <w:p>
      <w:pPr>
        <w:ind w:firstLine="480"/>
      </w:pPr>
      <w:r>
        <w:t>“十五五”规划对应2026年至2030年，是基本实现社会主义现代化夯实基础、全面发力的关键时期。规划把长远目标转化为这一阶段的重点任务，为到2035年基本实现社会主义现代化奠定更加坚实的基础。</w:t>
      </w:r>
    </w:p>
    <w:p>
      <w:pPr>
        <w:ind w:firstLine="480"/>
      </w:pPr>
      <w:r>
        <w:t>学习纲要，可以先把握四个关键词：主题是推动高质量发展，根本动力是改革创新，根本目的是满足人民日益增长的美好生活需要，根本保障是全面从严治党。同时，纲要提出六项必须遵循的原则：党的全面领导、人民至上、高质量发展、全面深化改革、有效市场和有为政府相结合、统筹发展和安全。</w:t>
      </w:r>
    </w:p>
    <w:p>
      <w:pPr>
        <w:ind w:firstLine="480"/>
      </w:pPr>
      <w:r>
        <w:t>把这些原则放到具体部署中理解，关系就更清楚了。比如，坚持人民至上，体现在就业、教育、医疗、养老等民生安排中；坚持高质量发展，体现在现代化产业体系、科技创新和绿色转型中；统筹发展和安全，则要求在推动发展的同时，提高防范和化解风险的能力。</w:t>
      </w:r>
    </w:p>
    <w:p>
      <w:pPr>
        <w:ind w:firstLine="480"/>
      </w:pPr>
      <w:r>
        <w:t>这一页将重点任务归纳为六个方面。科技创新和现代产业建设，强调原始创新、关键核心技术攻关，以及教育科技人才一体发展；改革开放和扩大内需，强调全国统一大市场、高水平开放与消费投资的良性互动；民生改善和共同富裕，关注更加充分、更高质量的就业和公共服务；城乡协调与文化繁荣，着眼乡村振兴、区域协调和文化创新创造。</w:t>
      </w:r>
    </w:p>
    <w:p>
      <w:pPr>
        <w:ind w:firstLine="480"/>
      </w:pPr>
      <w:r>
        <w:t>另外两个方面与大气学科有紧密联系。绿色转型和安全保障，要求协同推进降碳、减污、扩绿、增长，提高自然灾害防御和公共安全治理能力；规划实施保障，则强调将部署落实到具体任务，并通过实施、监测和评估不断推进。</w:t>
      </w:r>
    </w:p>
    <w:p>
      <w:pPr>
        <w:ind w:firstLine="480"/>
      </w:pPr>
      <w:r>
        <w:t>我们由此可以看到，大气科学研究既关系科技创新，也关系生态环境、群众健康和城市安全。阅读规划时，可以先找到与自身研究相关的章节，再理解它与其他任务之间的联系，从而更准确地把握课题的现实意义。接下来，我们围绕三个方向，讨论专业学习与国家需求怎样衔接。</w:t>
      </w:r>
    </w:p>
    <w:p>
      <w:r>
        <w:rPr>
          <w:color w:val="888888"/>
          <w:sz w:val="20"/>
        </w:rPr>
        <w:t>【翻至下一页】</w:t>
      </w:r>
    </w:p>
    <w:p>
      <w:r>
        <w:br w:type="page"/>
      </w:r>
    </w:p>
    <w:p>
      <w:pPr>
        <w:pStyle w:val="Heading1"/>
      </w:pPr>
      <w:r>
        <w:rPr>
          <w:sz w:val="32"/>
        </w:rPr>
        <w:t>第3页｜把国家所需转化为专业所长</w:t>
      </w:r>
    </w:p>
    <w:p>
      <w:pPr>
        <w:ind w:firstLine="480"/>
      </w:pPr>
      <w:r>
        <w:t>参考资料中的各界反响报道，介绍了科研攻关、工程建设和基层服务等方面的实践。其中，“国家所需，就是科研所向”这句话，为我们思考专业学习的方向提供了启发。结合大气学科特点，这一页提出三个供支部研讨的实践切口。</w:t>
      </w:r>
    </w:p>
    <w:p>
      <w:pPr>
        <w:ind w:firstLine="480"/>
      </w:pPr>
      <w:r>
        <w:t>第一个方向是绿色低碳与气候应对。纲要第47章强调减缓与适应并重，完善碳排放统计核算和动态监测，提高气候变化风险评估能力。结合自身基础，我们可以讨论校园或社区碳排放核算，也可以关注极端高温带来的生活风险。选择问题时，要同时想清楚数据从哪里来、分析能支持什么结论，以及建议是否具有可操作性。适合的成果可以是一份核算案例、一项气候风险分析，或者一堂面向公众的科普微课。</w:t>
      </w:r>
    </w:p>
    <w:p>
      <w:pPr>
        <w:ind w:firstLine="480"/>
      </w:pPr>
      <w:r>
        <w:t>第二个方向是大气环境与健康民生。纲要第48章强调强化PM2.5控制、挥发性有机物源头治理，推进减污降碳和多污染物协同控制。我们可以结合长三角空气质量特点，分析典型污染过程，也可以通过社区调研了解居民对于空气质量信息和健康防护的实际疑问。研究和调研的结果，可以整理为污染成因分析、空气质量调研报告，或者通俗易懂的科普材料。</w:t>
      </w:r>
    </w:p>
    <w:p>
      <w:pPr>
        <w:ind w:firstLine="480"/>
      </w:pPr>
      <w:r>
        <w:t>第三个方向是极端天气与城市韧性。纲要第53章提出推动公共安全治理向事前预防转型，提高灾害监测预报预警和防灾减灾救灾能力。对我们而言，可以关注预警信息能否及时触达居民、公众能否理解其含义，以及社区有哪些需要改进的服务环节。围绕暴雨、高温等问题开展调研，有机会形成风险点位清单、预警传播评估或防灾科普课程。</w:t>
      </w:r>
    </w:p>
    <w:p>
      <w:pPr>
        <w:ind w:firstLine="480"/>
      </w:pPr>
      <w:r>
        <w:t>上述内容是供大家讨论的选题建议，具体项目还需要结合成员能力、合作单位需求和时间安排来确定。第129期参考资料强调，要形成调研报告、政策建议、技术解决方案等成果，推动实践成效转化为服务社会的实际行动。评价实践时，可以重点看问题是否找准、方法是否可靠、成果是否对服务对象有用。</w:t>
      </w:r>
    </w:p>
    <w:p>
      <w:pPr>
        <w:ind w:firstLine="480"/>
      </w:pPr>
      <w:r>
        <w:t>请大家带着三个问题思考：我的课题或专业能力能够回应哪项需求？本学期可以完成一项什么具体成果？我们准备怎样了解服务对象的反馈，避免活动流于形式？稍后的交流可以围绕这三个问题展开。</w:t>
      </w:r>
    </w:p>
    <w:p>
      <w:r>
        <w:rPr>
          <w:color w:val="888888"/>
          <w:sz w:val="20"/>
        </w:rPr>
        <w:t>【翻至下一页】</w:t>
      </w:r>
    </w:p>
    <w:p>
      <w:r>
        <w:br w:type="page"/>
      </w:r>
    </w:p>
    <w:p>
      <w:pPr>
        <w:pStyle w:val="Heading1"/>
      </w:pPr>
      <w:r>
        <w:rPr>
          <w:sz w:val="32"/>
        </w:rPr>
        <w:t>第4页｜学思用贯通，知信行统一</w:t>
      </w:r>
    </w:p>
    <w:p>
      <w:pPr>
        <w:ind w:firstLine="480"/>
      </w:pPr>
      <w:r>
        <w:t>最后，我们回到支部如何组织学习、推动实践这个问题。按照第129期组织生活参考的要求，可以把工作贯通为领学、研讨、实践和复盘四个环节。</w:t>
      </w:r>
    </w:p>
    <w:p>
      <w:pPr>
        <w:ind w:firstLine="480"/>
      </w:pPr>
      <w:r>
        <w:t>第一，学原文、悟原理。通过书记领学、小组研学、个人自学相结合的方式，把讲话和规划纲要联系起来学习。有条件的支部可以开展支部联学、师生共建，围绕具体主题交流认识。研讨时，既要讲清原文的要求，也可以说明它与自身学习研究之间的联系。</w:t>
      </w:r>
    </w:p>
    <w:p>
      <w:pPr>
        <w:ind w:firstLine="480"/>
      </w:pPr>
      <w:r>
        <w:t>第二，讲理论、察实情。参考资料提出，可以打磨理论微课，走进社区、中小学开展宣讲，讲好“四史”故事；也可以发挥学科专长，深入基层和企业开展调查研究。我们需要根据对象特点安排内容，了解对方真正关心的问题，使宣讲和服务更有针对性。</w:t>
      </w:r>
    </w:p>
    <w:p>
      <w:pPr>
        <w:ind w:firstLine="480"/>
      </w:pPr>
      <w:r>
        <w:t>第三，出成果、促转化。实践可以形成调研报告、政策建议或技术解决方案，并在学期末开展交流。复盘时，要说明实际发现了什么问题、形成了哪些成果、哪些建议得到反馈，以及还有哪些不足需要改进。成熟的项目，可以进一步融入支部实践品牌建设。</w:t>
      </w:r>
    </w:p>
    <w:p>
      <w:pPr>
        <w:ind w:firstLine="480"/>
      </w:pPr>
      <w:r>
        <w:t>关于项目组织，参考材料所附秋季社会实践通知明确，实践时间为2026年9月至12月。常规项目申报已于10月13日截止；“千企百巷”专项科创实践在秋季学期内可申报，每院系限报两项，同一项目不得同时申报两个主题。有意参与的同学应结合院系安排，进一步确认项目条件和具体流程。</w:t>
      </w:r>
    </w:p>
    <w:p>
      <w:pPr>
        <w:ind w:firstLine="480"/>
      </w:pPr>
      <w:r>
        <w:t>开展活动前，应当明确选题、责任分工、服务对象和成果形式。线下实践需要提前购买保险，并按要求留存真实过程材料。常规项目和“千企百巷”的材料要求有所区别，结项以相应通知为准。本次组织生活结束后，也请及时汇总学习记录、交流要点和行动安排，按要求上传1925。</w:t>
      </w:r>
    </w:p>
    <w:p>
      <w:pPr>
        <w:ind w:firstLine="480"/>
      </w:pPr>
      <w:r>
        <w:t>今天的学习，希望帮助大家把讲话精神、规划任务与自身学习实践联系起来。对于支部来说，下一步可以从大家共同关心、具备实施条件的具体问题入手，形成明确的行动安排，在实际工作中检验学习成效。我的领学就到这里，下面请大家结合第三页的研讨问题交流发言。</w:t>
      </w:r>
    </w:p>
    <w:sectPr w:rsidR="00FC693F" w:rsidRPr="0006063C" w:rsidSect="00034616">
      <w:headerReference w:type="default" r:id="rId9"/>
      <w:footerReference w:type="default" r:id="rId10"/>
      <w:pgSz w:w="11906" w:h="16838"/>
      <w:pgMar w:top="1191" w:right="1332"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第129期组织生活专题学习  ·  配套讲稿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after="140"/>
    </w:pPr>
    <w:rPr>
      <w:rFonts w:ascii="Noto Serif CJK SC" w:hAnsi="Noto Serif CJK SC"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A61B1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A61B1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A61B1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第129期组织生活专题学习讲稿</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