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r w:rsidRPr="00626338">
        <w:rPr>
          <w:b/>
          <w:bCs/>
          <w:u w:val="single"/>
          <w:rPrChange w:id="5" w:author="Brian E McGreal" w:date="2026-03-27T10:38:00Z" w16du:dateUtc="2026-03-27T17:38:00Z">
            <w:rPr/>
          </w:rPrChange>
        </w:rPr>
        <w:lastRenderedPageBreak/>
        <w:t xml:space="preserve">Introduction </w:t>
      </w:r>
    </w:p>
    <w:p w14:paraId="226B7545" w14:textId="7583F15A" w:rsidR="008E583F" w:rsidRDefault="00226B01" w:rsidP="00A017CB">
      <w:pPr>
        <w:spacing w:after="0" w:line="480" w:lineRule="auto"/>
        <w:ind w:firstLine="720"/>
        <w:rPr>
          <w:ins w:id="6" w:author="Brian E McGreal" w:date="2026-03-09T09:14:00Z" w16du:dateUtc="2026-03-09T16:14:00Z"/>
        </w:rPr>
      </w:pPr>
      <w:ins w:id="7" w:author="Brian E McGreal" w:date="2026-03-09T09:22:00Z" w16du:dateUtc="2026-03-09T16:22:00Z">
        <w:r>
          <w:t>C</w:t>
        </w:r>
      </w:ins>
      <w:ins w:id="8" w:author="Brian E McGreal" w:date="2026-03-09T09:21:00Z" w16du:dateUtc="2026-03-09T16:21:00Z">
        <w:r>
          <w:t xml:space="preserve">onservation issues </w:t>
        </w:r>
      </w:ins>
      <w:ins w:id="9" w:author="Brian E McGreal" w:date="2026-03-09T09:22:00Z" w16du:dateUtc="2026-03-09T16:22:00Z">
        <w:r>
          <w:t xml:space="preserve">related to individual species are often the result of either the scarcity </w:t>
        </w:r>
      </w:ins>
      <w:ins w:id="10" w:author="Brian E McGreal" w:date="2026-03-09T09:24:00Z" w16du:dateUtc="2026-03-09T16:24:00Z">
        <w:r>
          <w:t xml:space="preserve">of a native plant or animal species, or </w:t>
        </w:r>
      </w:ins>
      <w:ins w:id="11" w:author="Brian E McGreal" w:date="2026-03-09T09:25:00Z" w16du:dateUtc="2026-03-09T16:25:00Z">
        <w:r>
          <w:t xml:space="preserve">of </w:t>
        </w:r>
      </w:ins>
      <w:ins w:id="12" w:author="Brian E McGreal" w:date="2026-03-09T09:24:00Z" w16du:dateUtc="2026-03-09T16:24:00Z">
        <w:r>
          <w:t>an abundance of non-native (exotic, invasive) species</w:t>
        </w:r>
      </w:ins>
      <w:ins w:id="13" w:author="Brian E McGreal" w:date="2026-03-09T09:25:00Z" w16du:dateUtc="2026-03-09T16:25:00Z">
        <w:r>
          <w:t xml:space="preserve">, </w:t>
        </w:r>
      </w:ins>
      <w:ins w:id="14" w:author="Brian E McGreal" w:date="2026-03-09T09:26:00Z" w16du:dateUtc="2026-03-09T16:26:00Z">
        <w:r>
          <w:t xml:space="preserve">with </w:t>
        </w:r>
      </w:ins>
      <w:ins w:id="15" w:author="Brian E McGreal" w:date="2026-03-09T09:25:00Z" w16du:dateUtc="2026-03-09T16:25:00Z">
        <w:r>
          <w:t xml:space="preserve">either </w:t>
        </w:r>
      </w:ins>
      <w:ins w:id="16" w:author="Brian E McGreal" w:date="2026-03-09T09:26:00Z" w16du:dateUtc="2026-03-09T16:26:00Z">
        <w:r>
          <w:t xml:space="preserve">scenario capable </w:t>
        </w:r>
      </w:ins>
      <w:ins w:id="17" w:author="Brian E McGreal" w:date="2026-03-09T09:25:00Z" w16du:dateUtc="2026-03-09T16:25:00Z">
        <w:r>
          <w:t xml:space="preserve">of </w:t>
        </w:r>
      </w:ins>
      <w:ins w:id="18" w:author="Brian E McGreal" w:date="2026-03-09T09:26:00Z" w16du:dateUtc="2026-03-09T16:26:00Z">
        <w:r>
          <w:t>imperiling</w:t>
        </w:r>
      </w:ins>
      <w:ins w:id="19" w:author="Brian E McGreal" w:date="2026-03-09T09:25:00Z" w16du:dateUtc="2026-03-09T16:25:00Z">
        <w:r>
          <w:t xml:space="preserve"> the ecosystems in which they occur</w:t>
        </w:r>
      </w:ins>
      <w:ins w:id="20" w:author="Brian E McGreal" w:date="2026-03-09T10:11:00Z" w16du:dateUtc="2026-03-09T17:11:00Z">
        <w:r w:rsidR="005D5E6A">
          <w:t xml:space="preserve"> (</w:t>
        </w:r>
      </w:ins>
      <w:ins w:id="21" w:author="Brian E McGreal" w:date="2026-03-09T11:06:00Z" w16du:dateUtc="2026-03-09T18:06:00Z">
        <w:r w:rsidR="00E06BFE">
          <w:t>El</w:t>
        </w:r>
      </w:ins>
      <w:ins w:id="22" w:author="Brian E McGreal" w:date="2026-03-09T11:07:00Z" w16du:dateUtc="2026-03-09T18:07:00Z">
        <w:r w:rsidR="00E06BFE">
          <w:t xml:space="preserve">lison et al. 2005, </w:t>
        </w:r>
      </w:ins>
      <w:ins w:id="23" w:author="Brian E McGreal" w:date="2026-03-09T11:08:00Z" w16du:dateUtc="2026-03-09T18:08:00Z">
        <w:r w:rsidR="00E06BFE">
          <w:t xml:space="preserve">Gallardo et al. 2015, </w:t>
        </w:r>
      </w:ins>
      <w:ins w:id="24" w:author="Brian E McGreal" w:date="2026-03-09T10:11:00Z" w16du:dateUtc="2026-03-09T17:11:00Z">
        <w:r w:rsidR="005D5E6A">
          <w:t>Jes</w:t>
        </w:r>
      </w:ins>
      <w:ins w:id="25" w:author="Brian E McGreal" w:date="2026-03-09T10:12:00Z" w16du:dateUtc="2026-03-09T17:12:00Z">
        <w:r w:rsidR="005D5E6A">
          <w:t>chke et al. 2014</w:t>
        </w:r>
      </w:ins>
      <w:ins w:id="26" w:author="Brian E McGreal" w:date="2026-03-09T10:11:00Z" w16du:dateUtc="2026-03-09T17:11:00Z">
        <w:r w:rsidR="005D5E6A">
          <w:t>)</w:t>
        </w:r>
      </w:ins>
      <w:ins w:id="27" w:author="Brian E McGreal" w:date="2026-03-09T09:25:00Z" w16du:dateUtc="2026-03-09T16:25:00Z">
        <w:r>
          <w:t>.</w:t>
        </w:r>
      </w:ins>
      <w:ins w:id="28" w:author="Brian E McGreal" w:date="2026-03-09T09:17:00Z" w16du:dateUtc="2026-03-09T16:17:00Z">
        <w:r w:rsidR="008E583F">
          <w:t xml:space="preserve"> </w:t>
        </w:r>
      </w:ins>
      <w:ins w:id="29" w:author="Brian E McGreal" w:date="2026-03-09T09:16:00Z" w16du:dateUtc="2026-03-09T16:16:00Z">
        <w:r w:rsidR="008E583F">
          <w:t xml:space="preserve"> </w:t>
        </w:r>
      </w:ins>
      <w:ins w:id="30"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1"/>
      <w:r>
        <w:t>confronted with either the scarcity of native plant or animal species</w:t>
      </w:r>
      <w:r w:rsidR="005078EE">
        <w:t>,</w:t>
      </w:r>
      <w:r>
        <w:t xml:space="preserve"> or an abundance of non-native (exotic, invasive) species that may damage park ecosystems </w:t>
      </w:r>
      <w:commentRangeEnd w:id="31"/>
      <w:r w:rsidR="00226B01">
        <w:rPr>
          <w:rStyle w:val="CommentReference"/>
          <w:rFonts w:cstheme="minorHAnsi"/>
          <w:color w:val="202122"/>
          <w:sz w:val="24"/>
          <w:szCs w:val="24"/>
          <w:shd w:val="clear" w:color="auto" w:fill="FFFFFF"/>
        </w:rPr>
        <w:commentReference w:id="31"/>
      </w:r>
      <w:r>
        <w:rPr>
          <w:rFonts w:cstheme="minorHAnsi"/>
          <w:color w:val="202122"/>
          <w:shd w:val="clear" w:color="auto" w:fill="FFFFFF"/>
        </w:rPr>
        <w:t>(National Park Service 2025a)</w:t>
      </w:r>
      <w:r>
        <w:t xml:space="preserve">. </w:t>
      </w:r>
      <w:del w:id="32"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 xml:space="preserve">While there is little debate that </w:t>
      </w:r>
      <w:r>
        <w:lastRenderedPageBreak/>
        <w:t>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3"/>
      <w:r w:rsidR="009056D1" w:rsidRPr="00A017CB">
        <w:rPr>
          <w:rStyle w:val="CommentReference"/>
          <w:rFonts w:cstheme="minorHAnsi"/>
          <w:color w:val="202122"/>
          <w:sz w:val="24"/>
          <w:szCs w:val="24"/>
          <w:shd w:val="clear" w:color="auto" w:fill="FFFFFF"/>
        </w:rPr>
        <w:commentReference w:id="33"/>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 xml:space="preserve">enter the </w:t>
      </w:r>
      <w:r w:rsidRPr="00CD14B8">
        <w:lastRenderedPageBreak/>
        <w:t>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w:t>
      </w:r>
      <w:r>
        <w:lastRenderedPageBreak/>
        <w:t xml:space="preserve">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w:t>
      </w:r>
      <w:r>
        <w:lastRenderedPageBreak/>
        <w:t>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w:t>
      </w:r>
      <w:r>
        <w:lastRenderedPageBreak/>
        <w:t xml:space="preserve">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w:t>
      </w:r>
      <w:r>
        <w:lastRenderedPageBreak/>
        <w:t>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w:t>
      </w:r>
      <w:r w:rsidR="007C46E2" w:rsidRPr="007C46E2">
        <w:lastRenderedPageBreak/>
        <w:t>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lastRenderedPageBreak/>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w:t>
      </w:r>
      <w:r w:rsidR="00336763">
        <w:lastRenderedPageBreak/>
        <w:t xml:space="preserve">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w:t>
      </w:r>
      <w:r>
        <w:lastRenderedPageBreak/>
        <w:t xml:space="preserve">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estimated for the observation process, but the model allows for distinct trends in both 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lastRenderedPageBreak/>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w:t>
      </w:r>
      <w:r>
        <w:lastRenderedPageBreak/>
        <w:t>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D02F288" w:rsidR="00060EB8" w:rsidRDefault="00060EB8" w:rsidP="00060EB8">
      <w:pPr>
        <w:spacing w:after="0" w:line="480" w:lineRule="auto"/>
        <w:ind w:firstLine="720"/>
      </w:pPr>
      <w:r>
        <w:t>This research seeks to take advantage of these distinct time periods by utilizing a difference-in-difference (DD) framework. This quasi-experimental approach</w:t>
      </w:r>
      <w:r w:rsidR="00597FAB">
        <w:t xml:space="preserve"> is</w:t>
      </w:r>
      <w:r w:rsidR="0096153E">
        <w:t xml:space="preserve"> </w:t>
      </w:r>
      <w:r>
        <w:t xml:space="preserve">designed to assess the </w:t>
      </w:r>
      <w:r w:rsidR="00597FAB">
        <w:t>effect</w:t>
      </w:r>
      <w:r>
        <w:t xml:space="preserve"> of </w:t>
      </w:r>
      <w:r w:rsidR="00597FAB">
        <w:t>a treatment</w:t>
      </w:r>
      <w:r>
        <w:t xml:space="preserve"> (in this case the operations of SJH) on an outcome of interest (pink salmon abundance at Indian River)</w:t>
      </w:r>
      <w:r w:rsidR="00597FAB">
        <w:t>, and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w:t>
      </w:r>
      <w:r w:rsidR="00734A33">
        <w:lastRenderedPageBreak/>
        <w:t xml:space="preserve">2001, </w:t>
      </w:r>
      <w:r w:rsidR="00AC48BB">
        <w:t>Berejikian et al. 2025</w:t>
      </w:r>
      <w:r w:rsidR="00C02ADB">
        <w:t>, Pearsons and Hillman 2025</w:t>
      </w:r>
      <w:r w:rsidR="00AC48BB">
        <w:t>)</w:t>
      </w:r>
      <w:r>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28256842" w14:textId="1B0ACCFB" w:rsidR="00A2387C" w:rsidRDefault="00060EB8" w:rsidP="006F4BBF">
      <w:pPr>
        <w:spacing w:after="0" w:line="480" w:lineRule="auto"/>
        <w:ind w:firstLine="360"/>
      </w:pPr>
      <w:r>
        <w:t xml:space="preserve">This research applies a DD framework to MARSS models </w:t>
      </w:r>
      <w:r w:rsidR="004F779B">
        <w:t>to</w:t>
      </w:r>
      <w:r>
        <w:t xml:space="preserve"> once again control for observation error and to capture the autoregressive behavior of the underlying state processes. </w:t>
      </w:r>
      <w:r>
        <w:lastRenderedPageBreak/>
        <w:t>The indicator variables described above are</w:t>
      </w:r>
      <w:r w:rsidR="004F779B">
        <w:t xml:space="preserve"> represented in the MARSS framework with careful model specification and the</w:t>
      </w:r>
      <w:r>
        <w:t xml:space="preserve"> inclu</w:t>
      </w:r>
      <w:r w:rsidR="004F779B">
        <w:t>sion of</w:t>
      </w:r>
      <w:r>
        <w:t xml:space="preserve">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rsidR="004F779B">
        <w: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004F779B">
        <w:t>Rather than include an indicator variable for treatment group (</w:t>
      </w:r>
      <w:r w:rsidR="004F779B" w:rsidRPr="00C64BF8">
        <w:rPr>
          <w:rFonts w:ascii="MathJax_Math-italic" w:eastAsia="Times New Roman" w:hAnsi="MathJax_Math-italic" w:cs="Times New Roman"/>
          <w:kern w:val="0"/>
          <w:sz w:val="26"/>
          <w:szCs w:val="26"/>
          <w:bdr w:val="none" w:sz="0" w:space="0" w:color="auto" w:frame="1"/>
          <w14:ligatures w14:val="none"/>
        </w:rPr>
        <w:t>β</w:t>
      </w:r>
      <w:r w:rsidR="004F779B"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4F779B">
        <w:t xml:space="preserve">), </w:t>
      </w:r>
      <w:r w:rsidR="004F779B" w:rsidRPr="00C64BF8">
        <w:rPr>
          <w:rFonts w:ascii="MathJax_Math-italic" w:eastAsia="Times New Roman" w:hAnsi="MathJax_Math-italic" w:cs="Times New Roman"/>
          <w:b/>
          <w:bCs/>
          <w:kern w:val="0"/>
          <w:sz w:val="26"/>
          <w:szCs w:val="26"/>
          <w:bdr w:val="none" w:sz="0" w:space="0" w:color="auto" w:frame="1"/>
          <w14:ligatures w14:val="none"/>
        </w:rPr>
        <w:t>Z</w:t>
      </w:r>
      <w:r w:rsidR="004F779B">
        <w:t xml:space="preserve"> is specified to allow the treatment group (observations at Indian River) to be estimated as a separate state from the control group (observations made at ADFG’s other </w:t>
      </w:r>
      <w:r w:rsidR="004F779B" w:rsidRPr="003C6E79">
        <w:rPr>
          <w:i/>
          <w:iCs/>
        </w:rPr>
        <w:t>north southeast (outside)</w:t>
      </w:r>
      <w:r w:rsidR="004F779B">
        <w:t xml:space="preserve"> index stream). Separate models consider two treatment periods: 1) t</w:t>
      </w:r>
      <w:r>
        <w:t xml:space="preserve">he period </w:t>
      </w:r>
      <w:r w:rsidR="004F779B">
        <w:t xml:space="preserve">related to the commencement of hatchery operations </w:t>
      </w:r>
      <w:r w:rsidR="005B7404">
        <w:t>(</w:t>
      </w:r>
      <w:r>
        <w:t>post-1980</w:t>
      </w:r>
      <w:r w:rsidR="005B7404">
        <w:t>)</w:t>
      </w:r>
      <w:r>
        <w:t xml:space="preserve">, </w:t>
      </w:r>
      <w:r w:rsidR="005B7404">
        <w:t>and 2) the period related to the expansion of permitted pink salmon production at SJH (p</w:t>
      </w:r>
      <w:r>
        <w:t>ost-2010</w:t>
      </w:r>
      <w:r w:rsidR="005B7404">
        <w:t>)</w:t>
      </w:r>
      <w:r>
        <w:t xml:space="preserve">. </w:t>
      </w:r>
      <w:r w:rsidR="00DF0566">
        <w:t>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w:t>
      </w:r>
      <w:r w:rsidR="00D15E91">
        <w:t xml:space="preserve">. </w:t>
      </w:r>
      <w:r w:rsidR="006745B4">
        <w:t>However, i</w:t>
      </w:r>
      <w:r w:rsidR="00D15E91">
        <w:t xml:space="preserve">n </w:t>
      </w:r>
      <w:r w:rsidR="006745B4">
        <w:t>a</w:t>
      </w:r>
      <w:r w:rsidR="00D15E91">
        <w:t xml:space="preserve"> case </w:t>
      </w:r>
      <w:r w:rsidR="006745B4">
        <w:t xml:space="preserve">wherein a recurring intervention is driving the abundance of some natural population, there </w:t>
      </w:r>
      <w:r w:rsidR="000E5A64">
        <w:t>is likely to exist</w:t>
      </w:r>
      <w:r w:rsidR="006745B4">
        <w:t xml:space="preserve"> some upper limit beyond which the effect of an intervention </w:t>
      </w:r>
      <w:r w:rsidR="006745B4">
        <w:t>would be detectable due to the carrying capacity of the ecosystem in which the population exists</w:t>
      </w:r>
      <w:r w:rsidR="000E5A64">
        <w:t xml:space="preserve"> (del Monte-Luna et al. 2004)</w:t>
      </w:r>
      <w:r w:rsidR="006745B4">
        <w:t xml:space="preserve">. </w:t>
      </w:r>
      <w:r w:rsidR="0086192A">
        <w:t>In order to thoroughly explore this possibilit</w:t>
      </w:r>
      <w:r w:rsidR="00AB15D6">
        <w:t>y</w:t>
      </w:r>
      <w:r w:rsidR="0086192A">
        <w:t xml:space="preserve">, </w:t>
      </w:r>
      <w:r w:rsidR="00AB15D6">
        <w:t>i</w:t>
      </w:r>
      <w:r w:rsidR="005B7404">
        <w:t>terations of covariate data related to treatment period (</w:t>
      </w:r>
      <w:r w:rsidR="005B7404" w:rsidRPr="00C64BF8">
        <w:rPr>
          <w:rFonts w:ascii="MathJax_Math-italic" w:eastAsia="Times New Roman" w:hAnsi="MathJax_Math-italic" w:cs="Times New Roman"/>
          <w:b/>
          <w:bCs/>
          <w:kern w:val="0"/>
          <w:sz w:val="26"/>
          <w:szCs w:val="26"/>
          <w:bdr w:val="none" w:sz="0" w:space="0" w:color="auto" w:frame="1"/>
          <w14:ligatures w14:val="none"/>
        </w:rPr>
        <w:t>c</w:t>
      </w:r>
      <w:r w:rsidR="005B7404"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B7404">
        <w:t xml:space="preserve">) were constructed to </w:t>
      </w:r>
      <w:r w:rsidR="0086192A">
        <w:t>indicate</w:t>
      </w:r>
      <w:r w:rsidR="005B7404">
        <w:t xml:space="preserve"> </w:t>
      </w:r>
      <w:r w:rsidR="0086192A">
        <w:t xml:space="preserve">the occurrence of </w:t>
      </w:r>
      <w:r w:rsidR="005B7404">
        <w:t>treatment</w:t>
      </w:r>
      <w:r w:rsidR="0086192A">
        <w:t xml:space="preserve"> in any number of consecutive years following the initial application of treatment</w:t>
      </w:r>
      <w:r w:rsidR="00AB15D6">
        <w:t xml:space="preserve">. </w:t>
      </w:r>
      <w:r w:rsidR="006F4BBF">
        <w:t>The comparison of m</w:t>
      </w:r>
      <w:r w:rsidR="00AB15D6">
        <w:t xml:space="preserve">ultiple specifications of </w:t>
      </w:r>
      <w:r w:rsidR="00AB15D6" w:rsidRPr="00344E76">
        <w:rPr>
          <w:rFonts w:ascii="MathJax_Math-italic" w:eastAsia="Times New Roman" w:hAnsi="MathJax_Math-italic" w:cs="Times New Roman"/>
          <w:b/>
          <w:bCs/>
          <w:kern w:val="0"/>
          <w:sz w:val="26"/>
          <w:szCs w:val="26"/>
          <w:bdr w:val="none" w:sz="0" w:space="0" w:color="auto" w:frame="1"/>
          <w14:ligatures w14:val="none"/>
        </w:rPr>
        <w:t>C</w:t>
      </w:r>
      <w:r w:rsidR="00AB15D6">
        <w:t xml:space="preserve"> capture</w:t>
      </w:r>
      <w:r w:rsidR="006F4BBF">
        <w:t>s</w:t>
      </w:r>
      <w:r w:rsidR="00AB15D6">
        <w:t xml:space="preserve">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Pr>
          <w:rFonts w:ascii="MathJax_Math-italic" w:eastAsia="Times New Roman" w:hAnsi="MathJax_Math-italic" w:cs="Times New Roman"/>
          <w:kern w:val="0"/>
          <w:sz w:val="26"/>
          <w:szCs w:val="26"/>
          <w:bdr w:val="none" w:sz="0" w:space="0" w:color="auto" w:frame="1"/>
          <w:vertAlign w:val="subscript"/>
          <w14:ligatures w14:val="none"/>
        </w:rPr>
        <w:t>2</w:t>
      </w:r>
      <w:r w:rsidR="006F4BBF">
        <w:t xml:space="preserve"> and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F4BBF">
        <w:t xml:space="preserve">. By comparing the fit of a model which allows separate effects for the treatment period </w:t>
      </w:r>
      <w:r w:rsidR="006F4BBF">
        <w:t xml:space="preserve">to be estimated </w:t>
      </w:r>
      <w:r w:rsidR="006F4BBF">
        <w:t xml:space="preserve">at Indian River and throughout the wider region, to the fit of a model which asserts one region wide effect of the treatment period, it can be determined whether some additional effect of treatment at Indian River exists beyond that of the treatment period throughout the study area. </w:t>
      </w:r>
      <w:r w:rsidR="006F4BBF">
        <w:lastRenderedPageBreak/>
        <w:t>Finally, m</w:t>
      </w:r>
      <w:r>
        <w:t>odels are specified including additional covariates to further isolate the effect of interest, controlling for observer</w:t>
      </w:r>
      <w:r w:rsidR="005B7404">
        <w:t xml:space="preserve"> and</w:t>
      </w:r>
      <w:r>
        <w:t xml:space="preserve"> for </w:t>
      </w:r>
      <w:r w:rsidR="005B7404">
        <w:t xml:space="preserve">ocean climate via </w:t>
      </w:r>
      <w:r>
        <w:t>PDO. Th</w:t>
      </w:r>
      <w:r w:rsidR="006F4BBF">
        <w:t>is procedure leads to many</w:t>
      </w:r>
      <w:r>
        <w:t xml:space="preserve"> competing specifications</w:t>
      </w:r>
      <w:r w:rsidR="006F4BBF">
        <w:t xml:space="preserve">: 22 sets of covariate data </w:t>
      </w:r>
      <w:r w:rsidR="006F4BBF">
        <w:t>(</w:t>
      </w:r>
      <w:r w:rsidR="006F4BBF" w:rsidRPr="00C64BF8">
        <w:rPr>
          <w:rFonts w:ascii="MathJax_Math-italic" w:eastAsia="Times New Roman" w:hAnsi="MathJax_Math-italic" w:cs="Times New Roman"/>
          <w:b/>
          <w:bCs/>
          <w:kern w:val="0"/>
          <w:sz w:val="26"/>
          <w:szCs w:val="26"/>
          <w:bdr w:val="none" w:sz="0" w:space="0" w:color="auto" w:frame="1"/>
          <w14:ligatures w14:val="none"/>
        </w:rPr>
        <w:t>c</w:t>
      </w:r>
      <w:r w:rsidR="006F4BB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F4BBF">
        <w:t xml:space="preserve">) </w:t>
      </w:r>
      <w:r w:rsidR="006F4BBF">
        <w:t xml:space="preserve">in the post-1980 model which each must be evaluated against 2 competing </w:t>
      </w:r>
      <w:r w:rsidR="006F4BBF" w:rsidRPr="00344E76">
        <w:rPr>
          <w:rFonts w:ascii="MathJax_Math-italic" w:eastAsia="Times New Roman" w:hAnsi="MathJax_Math-italic" w:cs="Times New Roman"/>
          <w:b/>
          <w:bCs/>
          <w:kern w:val="0"/>
          <w:sz w:val="26"/>
          <w:szCs w:val="26"/>
          <w:bdr w:val="none" w:sz="0" w:space="0" w:color="auto" w:frame="1"/>
          <w14:ligatures w14:val="none"/>
        </w:rPr>
        <w:t>C</w:t>
      </w:r>
      <w:r>
        <w:t xml:space="preserve"> </w:t>
      </w:r>
      <w:r w:rsidR="006F4BBF">
        <w:t xml:space="preserve">matrices. These models are fit and then </w:t>
      </w:r>
      <w:r>
        <w:t>evaluated using AICc</w:t>
      </w:r>
      <w:r w:rsidR="006F4BBF">
        <w:t xml:space="preserve"> to determine which specification best describes the </w:t>
      </w:r>
      <w:r w:rsidR="004B21F9">
        <w:t>data</w:t>
      </w:r>
      <w:r>
        <w:t xml:space="preserve">.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Simple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6D6F02AA" w:rsidR="00060EB8" w:rsidRDefault="00060EB8" w:rsidP="00060EB8">
      <w:pPr>
        <w:spacing w:after="0" w:line="480" w:lineRule="auto"/>
        <w:ind w:firstLine="360"/>
      </w:pPr>
      <w:commentRangeStart w:id="34"/>
      <w:commentRangeStart w:id="35"/>
      <w:r>
        <w:t xml:space="preserve">Parametric bootstrapping is employed on the best fit models to construct confidence intervals around these </w:t>
      </w:r>
      <w:commentRangeEnd w:id="35"/>
      <w:r w:rsidR="00A2387C">
        <w:rPr>
          <w:rStyle w:val="CommentReference"/>
          <w:sz w:val="24"/>
          <w:szCs w:val="24"/>
        </w:rPr>
        <w:commentReference w:id="35"/>
      </w:r>
      <w:r>
        <w:t xml:space="preserve">parameter estimates.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w:t>
      </w:r>
      <w:r>
        <w:lastRenderedPageBreak/>
        <w:t xml:space="preserve">of the effect must also be considered, as even a significant effect may not be responsible for a large impact on salmon abundance. </w:t>
      </w:r>
      <w:commentRangeEnd w:id="34"/>
      <w:r w:rsidR="00A6298E">
        <w:rPr>
          <w:rStyle w:val="CommentReference"/>
          <w:sz w:val="24"/>
          <w:szCs w:val="24"/>
        </w:rPr>
        <w:commentReference w:id="34"/>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6"/>
      <w:commentRangeStart w:id="37"/>
      <w:commentRangeStart w:id="38"/>
      <w:commentRangeStart w:id="39"/>
      <w:r w:rsidR="00670218">
        <w:t xml:space="preserve">It is important to consider the effect of straying both to and from Indian River, as both would influence the abundances observed in stream. </w:t>
      </w:r>
      <w:commentRangeEnd w:id="38"/>
      <w:r w:rsidR="00205B63">
        <w:rPr>
          <w:rStyle w:val="CommentReference"/>
          <w:sz w:val="24"/>
          <w:szCs w:val="24"/>
        </w:rPr>
        <w:commentReference w:id="38"/>
      </w:r>
      <w:commentRangeEnd w:id="39"/>
      <w:r w:rsidR="00F275C7">
        <w:rPr>
          <w:rStyle w:val="CommentReference"/>
          <w:sz w:val="24"/>
          <w:szCs w:val="24"/>
        </w:rPr>
        <w:commentReference w:id="39"/>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6"/>
      <w:r w:rsidR="009B5B49">
        <w:rPr>
          <w:rStyle w:val="CommentReference"/>
          <w:sz w:val="24"/>
          <w:szCs w:val="24"/>
        </w:rPr>
        <w:commentReference w:id="36"/>
      </w:r>
      <w:commentRangeEnd w:id="37"/>
      <w:r w:rsidR="00F275C7">
        <w:rPr>
          <w:rStyle w:val="CommentReference"/>
          <w:sz w:val="24"/>
          <w:szCs w:val="24"/>
        </w:rPr>
        <w:commentReference w:id="37"/>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w:t>
      </w:r>
      <w:r w:rsidR="00D56989">
        <w:lastRenderedPageBreak/>
        <w:t xml:space="preserve">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40"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C23291B" w:rsidR="00C3066D" w:rsidRDefault="007635F3" w:rsidP="00F4350E">
      <w:pPr>
        <w:spacing w:after="0" w:line="480" w:lineRule="auto"/>
      </w:pPr>
      <w:r>
        <w:t>For both even- and odd-year runs</w:t>
      </w:r>
      <w:commentRangeStart w:id="41"/>
      <w:commentRangeStart w:id="42"/>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3"/>
      <w:r w:rsidR="00837571">
        <w:t>regional average</w:t>
      </w:r>
      <w:commentRangeEnd w:id="43"/>
      <w:r w:rsidR="00837571">
        <w:rPr>
          <w:rStyle w:val="CommentReference"/>
          <w:sz w:val="24"/>
          <w:szCs w:val="24"/>
        </w:rPr>
        <w:commentReference w:id="43"/>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t>
      </w:r>
      <w:r w:rsidR="001A405D">
        <w:lastRenderedPageBreak/>
        <w:t>with the average index stream, exceeding the average in some years and falling short in others, but in either case not by an amount that appears drastic when visually appraised</w:t>
      </w:r>
      <w:r>
        <w:t xml:space="preserve"> (Figure 3)</w:t>
      </w:r>
      <w:r w:rsidR="001A405D">
        <w:t>.</w:t>
      </w:r>
      <w:commentRangeEnd w:id="41"/>
      <w:r w:rsidR="009C0B82">
        <w:rPr>
          <w:rStyle w:val="CommentReference"/>
          <w:sz w:val="24"/>
          <w:szCs w:val="24"/>
        </w:rPr>
        <w:commentReference w:id="41"/>
      </w:r>
      <w:commentRangeEnd w:id="42"/>
      <w:r w:rsidR="00F9527E">
        <w:rPr>
          <w:rStyle w:val="CommentReference"/>
          <w:sz w:val="24"/>
          <w:szCs w:val="24"/>
        </w:rPr>
        <w:commentReference w:id="42"/>
      </w:r>
    </w:p>
    <w:p w14:paraId="09E780EF" w14:textId="511D4277" w:rsidR="00FC2324" w:rsidRPr="00C3066D" w:rsidRDefault="006A0FFE" w:rsidP="00A2387C">
      <w:pPr>
        <w:spacing w:after="0" w:line="480" w:lineRule="auto"/>
      </w:pPr>
      <w:r>
        <w:tab/>
      </w:r>
      <w:r w:rsidR="007635F3">
        <w:t>P</w:t>
      </w:r>
      <w:commentRangeStart w:id="44"/>
      <w:r>
        <w:t>ink salmon abundances observed in recent years at Indian River</w:t>
      </w:r>
      <w:r w:rsidR="008D3168">
        <w:t xml:space="preserve"> do not seem to </w:t>
      </w:r>
      <w:r w:rsidR="001B7645">
        <w:t xml:space="preserve">deviate wildly from the </w:t>
      </w:r>
      <w:commentRangeStart w:id="45"/>
      <w:r w:rsidR="001B7645">
        <w:t>regional average</w:t>
      </w:r>
      <w:commentRangeEnd w:id="45"/>
      <w:r w:rsidR="00AF5677">
        <w:rPr>
          <w:rStyle w:val="CommentReference"/>
          <w:sz w:val="24"/>
          <w:szCs w:val="24"/>
        </w:rPr>
        <w:commentReference w:id="45"/>
      </w:r>
      <w:r>
        <w:t xml:space="preserve">. However, plotting these time series is not enough to conclusively state that abundances at Indian River do not differ from those that would be expected of an average pink salmon index stream in the region in a statistically significant way. </w:t>
      </w:r>
      <w:commentRangeEnd w:id="44"/>
      <w:del w:id="46" w:author="Brian McGreal" w:date="2026-03-30T12:29:00Z" w16du:dateUtc="2026-03-30T19:29:00Z">
        <w:r w:rsidR="00AF5677" w:rsidDel="002A4213">
          <w:rPr>
            <w:rStyle w:val="CommentReference"/>
            <w:sz w:val="24"/>
            <w:szCs w:val="24"/>
          </w:rPr>
          <w:commentReference w:id="44"/>
        </w:r>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0395B4CB"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In both cases, </w:t>
      </w:r>
      <w:r w:rsidR="003D1E65">
        <w:t xml:space="preserve">AICc comparisons find that the best fit </w:t>
      </w:r>
      <w:r w:rsidR="00FE133B">
        <w:t>DD</w:t>
      </w:r>
      <w:r w:rsidR="003D1E65">
        <w:t xml:space="preserve"> models include </w:t>
      </w:r>
      <w:r>
        <w:t xml:space="preserve">only </w:t>
      </w:r>
      <w:r w:rsidR="003D1E65">
        <w:t xml:space="preserve">covariates controlling for observer, </w:t>
      </w:r>
      <w:r>
        <w:t>although the difference in AICc between the best fit model and the</w:t>
      </w:r>
      <w:r w:rsidR="00FE133B">
        <w:t xml:space="preserve"> full</w:t>
      </w:r>
      <w:r>
        <w:t xml:space="preserve"> model</w:t>
      </w:r>
      <w:r w:rsidR="003D1E65">
        <w:t xml:space="preserve"> </w:t>
      </w:r>
      <w:r w:rsidR="00FE133B">
        <w:t>(</w:t>
      </w:r>
      <w:r>
        <w:t>which</w:t>
      </w:r>
      <w:r w:rsidR="003D1E65">
        <w:t xml:space="preserve"> includ</w:t>
      </w:r>
      <w:r>
        <w:t>es</w:t>
      </w:r>
      <w:r w:rsidR="003D1E65">
        <w:t xml:space="preserve"> </w:t>
      </w:r>
      <w:r>
        <w:t xml:space="preserve">covariates for both observer and </w:t>
      </w:r>
      <w:r w:rsidR="003D1E65">
        <w:t>PDO</w:t>
      </w:r>
      <w:r w:rsidR="00FE133B">
        <w:t>)</w:t>
      </w:r>
      <w:r w:rsidR="003D1E65">
        <w:t xml:space="preserve"> </w:t>
      </w:r>
      <w:r>
        <w:t>is less than two</w:t>
      </w:r>
      <w:r w:rsidR="00FE133B">
        <w:t xml:space="preserve"> (</w:t>
      </w:r>
      <w:r w:rsidR="00FE133B">
        <w:rPr>
          <w:rFonts w:cstheme="minorHAnsi"/>
        </w:rPr>
        <w:t>Δ</w:t>
      </w:r>
      <w:r w:rsidR="00FE133B">
        <w:t xml:space="preserve">AICc = 1.577 in the post-1980 model set, and </w:t>
      </w:r>
      <w:r w:rsidR="00FE133B">
        <w:rPr>
          <w:rFonts w:cstheme="minorHAnsi"/>
        </w:rPr>
        <w:t>Δ</w:t>
      </w:r>
      <w:r w:rsidR="00FE133B">
        <w:t>AICc = 0.96 in the post-2010 model set)</w:t>
      </w:r>
      <w:r w:rsidR="003D1E65">
        <w:t xml:space="preserve">. </w:t>
      </w:r>
      <w:r w:rsidR="00FE133B">
        <w:t>This means that despite not being the best fit model, the statistical confidence to reject the full model is lacking. Due to this model uncertainty, an Akaike-weighted average of parameters from each model are</w:t>
      </w:r>
      <w:r w:rsidR="00BB24CA">
        <w:t xml:space="preserve"> evaluated (Burnham </w:t>
      </w:r>
      <w:r w:rsidR="00A928CA">
        <w:t>and</w:t>
      </w:r>
      <w:r w:rsidR="00BB24CA">
        <w:t xml:space="preserve"> Anderson 2002)</w:t>
      </w:r>
      <w:r w:rsidR="00FE133B">
        <w:t>.</w:t>
      </w:r>
      <w:r w:rsidR="00BB24CA">
        <w:t xml:space="preserve"> </w:t>
      </w:r>
    </w:p>
    <w:p w14:paraId="19FCCE81" w14:textId="723D6094" w:rsidR="003D1E65" w:rsidRDefault="007B0F67" w:rsidP="007B0F67">
      <w:pPr>
        <w:spacing w:after="0" w:line="480" w:lineRule="auto"/>
        <w:ind w:firstLine="720"/>
      </w:pPr>
      <w:r>
        <w:t>When evaluating model fit in both the pre-treatment periods, AICc indicates that the best fit models include only covariates controlling for observer, meaning the</w:t>
      </w:r>
      <w:r w:rsidR="00BB24CA">
        <w:t xml:space="preserve"> </w:t>
      </w:r>
      <w:r w:rsidR="003D1E65">
        <w:t xml:space="preserve">parallel trends assumption </w:t>
      </w:r>
      <w:r w:rsidR="00BB24CA">
        <w:t xml:space="preserve">is </w:t>
      </w:r>
      <w:r>
        <w:t>will be evaluated including these covariates</w:t>
      </w:r>
      <w:r w:rsidR="00BB24CA">
        <w:t xml:space="preserve">. </w:t>
      </w:r>
      <w:r w:rsidR="003D1E65">
        <w:t>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2509FB1" w14:textId="77777777" w:rsidR="005B1CFB" w:rsidRDefault="00CD3E62" w:rsidP="005B1CFB">
      <w:pPr>
        <w:spacing w:after="0" w:line="480" w:lineRule="auto"/>
      </w:pPr>
      <w:r>
        <w:tab/>
      </w:r>
      <w:r w:rsidR="005B1CFB">
        <w:t xml:space="preserve">Parametric bootstrapping of DD effects of interest reveal interesting patterns of behavior. Critically, no significant effect of treatment group, treatment period, or the interaction of the two is observed in either model (Figure 5). In both models, bootstrap parameter estimates of the effect of treatment group (i.e. Indian River) tend to be positive, although not frequently enough to say with high confidence that the relative effect of Indian River on pink salmon abundances is different than zero.  The effect of the post-treatment period is centered </w:t>
      </w:r>
      <w:r w:rsidR="005B1CFB">
        <w:lastRenderedPageBreak/>
        <w:t xml:space="preserve">close to zero in all runs across both models. Parameter estimates of the effect of hatchery operations on abundances at Indian River tend to be negative. This surprising result 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47"/>
      <w:r w:rsidR="00675815">
        <w:t xml:space="preserve">While the </w:t>
      </w:r>
      <w:r w:rsidR="00675815">
        <w:lastRenderedPageBreak/>
        <w:t xml:space="preserve">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commentRangeEnd w:id="47"/>
      <w:r w:rsidR="00B07643">
        <w:rPr>
          <w:rStyle w:val="CommentReference"/>
          <w:sz w:val="24"/>
          <w:szCs w:val="24"/>
        </w:rPr>
        <w:commentReference w:id="47"/>
      </w:r>
    </w:p>
    <w:p w14:paraId="791283B6" w14:textId="77777777" w:rsidR="00344905" w:rsidRDefault="00344905" w:rsidP="008C144E">
      <w:pPr>
        <w:spacing w:after="0" w:line="480" w:lineRule="auto"/>
      </w:pPr>
    </w:p>
    <w:bookmarkEnd w:id="1"/>
    <w:bookmarkEnd w:id="40"/>
    <w:p w14:paraId="5EDACFAE" w14:textId="77777777" w:rsidR="005306BE" w:rsidRPr="008C144E" w:rsidRDefault="005306BE" w:rsidP="005306BE">
      <w:pPr>
        <w:spacing w:after="0" w:line="480" w:lineRule="auto"/>
        <w:rPr>
          <w:b/>
          <w:bCs/>
          <w:u w:val="single"/>
        </w:rPr>
      </w:pPr>
      <w:commentRangeStart w:id="48"/>
      <w:r w:rsidRPr="008C144E">
        <w:rPr>
          <w:b/>
          <w:bCs/>
          <w:u w:val="single"/>
        </w:rPr>
        <w:t>Discussion</w:t>
      </w:r>
      <w:commentRangeEnd w:id="48"/>
      <w:r w:rsidRPr="008C144E">
        <w:rPr>
          <w:rStyle w:val="CommentReference"/>
          <w:b/>
          <w:bCs/>
          <w:sz w:val="24"/>
          <w:szCs w:val="24"/>
          <w:u w:val="single"/>
        </w:rPr>
        <w:commentReference w:id="48"/>
      </w:r>
    </w:p>
    <w:p w14:paraId="0B5E22D3" w14:textId="77777777" w:rsidR="005306BE" w:rsidRDefault="005306BE" w:rsidP="005306BE">
      <w:pPr>
        <w:spacing w:after="0" w:line="480" w:lineRule="auto"/>
        <w:ind w:firstLine="720"/>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t>(</w:t>
      </w:r>
      <w:r w:rsidRPr="003C6E79">
        <w:rPr>
          <w:i/>
          <w:iCs/>
        </w:rPr>
        <w:t>outside</w:t>
      </w:r>
      <w:r w:rsidRPr="00095DCA">
        <w:t>), where</w:t>
      </w:r>
      <w:r>
        <w:t xml:space="preserve">as odd-year runs are not in line with broader regional patterns. No significant impact of hatchery operations at Indian River was observed in either run, although evidence was found of Indian River abundances positively influencing hatchery returns in the subsequent brood year. The effect of hatchery releases on subsequent brood year Indian River abundances was not found to be statistically significant for either run, in both cases a convincing majority of bootstrapped parameter estimates were positive (94.2% in even-year runs, and 92% in odd-year runs). This falls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w:t>
      </w:r>
      <w:r>
        <w:lastRenderedPageBreak/>
        <w:t>note that hatchery returns are greater than Indian River abundance much more often than not. This means that,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5B459E09" w14:textId="1514AEFB" w:rsidR="005306BE" w:rsidRDefault="005306BE" w:rsidP="005306BE">
      <w:pPr>
        <w:spacing w:after="0" w:line="480" w:lineRule="auto"/>
        <w:ind w:firstLine="720"/>
      </w:pPr>
      <w:r>
        <w:t xml:space="preserve">In even years, Indian River salmon are not out of the ordinary relative to the wider region. No effect of the commencement of hatchery operations or the expansion of hatchery releases was associated with an increase in the numbers of spawning pink salmon at Indian River relative to the wider region (Figure 5). However, in even years, Indian River abundances were estimated to have a strong impact on pink salmon returning to the hatchery in the subsequent brood year, while an accompanying effect of hatchery releases on subsequent brood year Indian River abundances was not found to be statistically significant (Figure 6). </w:t>
      </w:r>
      <w:r w:rsidR="009754D5">
        <w:t xml:space="preserve">Even if there exists small but positive true effect of hatchery releases on subsequent brood year Indian River abundances in even-year runs, the difference between this effect and the relatively larger effect of Indian River abundances on pink salmon returning to the hatchery in the subsequent brood year is fairly large. This would imply that Indian River spawners would have to vastly outnumber hatchery releases in a given year in order for a net increase in Indian River abundance due to hatchery releases to occur in the following brood year. </w:t>
      </w:r>
      <w:r>
        <w:t xml:space="preserve">Taken together, these results imply there is little concern that even-year pink salmon abundances fall outside their </w:t>
      </w:r>
      <w:r>
        <w:lastRenderedPageBreak/>
        <w:t>natural range of variation at Indian River, and indeed seem to be significantly contributing to hatchery returns.</w:t>
      </w:r>
    </w:p>
    <w:p w14:paraId="18CC9B5C" w14:textId="77777777" w:rsidR="005306BE" w:rsidRDefault="005306BE" w:rsidP="005306BE">
      <w:pPr>
        <w:spacing w:after="0" w:line="480" w:lineRule="auto"/>
        <w:ind w:firstLine="720"/>
      </w:pPr>
      <w:r>
        <w:t xml:space="preserve">In odd years, MARSS models evaluated for best fit suggested that abundances at Indian River significantly differ in character from what would be expected of a similar stream in the region. However, similar to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difference is being driven by SJH pink salmon releases. It may be that the gap between Indian River abundances and the regional expectation is due to the large differences observed in the first three decades of the time series (Figure 3). </w:t>
      </w:r>
    </w:p>
    <w:p w14:paraId="0FA6D895" w14:textId="551E2E95" w:rsidR="005306BE" w:rsidRDefault="005306BE" w:rsidP="005306BE">
      <w:pPr>
        <w:spacing w:after="0" w:line="480" w:lineRule="auto"/>
      </w:pPr>
      <w:r>
        <w:tab/>
        <w:t xml:space="preserve">Being that the results of this work are intended first and foremost to provide management at SITK with a comprehensive description of both the impacts of SJH operations and of the population dynamics of pink salmon throughout the broader region, the implications of these findings and how they might inform the duties of park officials with respect to conservation must be considered. 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the possibility exists that interceding on behalf of Indian River’s </w:t>
      </w:r>
      <w:r>
        <w:lastRenderedPageBreak/>
        <w:t>other resident species may run contrary to the natural state of even-year pink salmon. Available evidence suggests that there is likely no need for intervention to address even-year abundances. In odd years there exists more compelling evidence that hatchery releases of pink salmon could be exerting some influence over abundances at Indian River. It is not likely that the hatchery is the main driver of high pink salmon densities in odd years (spawning abundances of these fish have been on the rise throughout the region for decades), but there exists a greater possibility that hatchery fish may having some influence on abundances seen at Indian River than for even-year runs.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of odd-year Indian River spawners in order to further understand the impact of SJH releases.</w:t>
      </w:r>
    </w:p>
    <w:p w14:paraId="6ABAA840" w14:textId="4639ADD8" w:rsidR="00306AE3" w:rsidRDefault="005306BE" w:rsidP="005306BE">
      <w:pPr>
        <w:spacing w:after="0" w:line="480" w:lineRule="auto"/>
      </w:pPr>
      <w:r>
        <w:tab/>
        <w:t xml:space="preserve">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w:t>
      </w:r>
      <w:r>
        <w:lastRenderedPageBreak/>
        <w:t>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P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35989E02" w14:textId="1819DB56" w:rsidR="00FE133B" w:rsidRDefault="00FE133B" w:rsidP="000F7853">
      <w:pPr>
        <w:spacing w:line="240" w:lineRule="auto"/>
        <w:ind w:left="720" w:hanging="720"/>
        <w:rPr>
          <w:ins w:id="49" w:author="Brian E McGreal" w:date="2026-03-27T09:38:00Z" w16du:dateUtc="2026-03-27T16:38:00Z"/>
        </w:rPr>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Pr="00E66FA7" w:rsidRDefault="009D55B2" w:rsidP="009D55B2">
      <w:pPr>
        <w:spacing w:line="240" w:lineRule="auto"/>
        <w:ind w:left="720" w:hanging="720"/>
      </w:pPr>
      <w:ins w:id="50" w:author="Brian E McGreal" w:date="2026-03-27T09:38:00Z" w16du:dateUtc="2026-03-27T16:38:00Z">
        <w:r>
          <w:t xml:space="preserve">Burnham, K. P., D. R. Anderson, </w:t>
        </w:r>
      </w:ins>
      <w:r w:rsidR="00A928CA">
        <w:t>and</w:t>
      </w:r>
      <w:r w:rsidR="009B7CF2">
        <w:t xml:space="preserve"> </w:t>
      </w:r>
      <w:ins w:id="51" w:author="Brian E McGreal" w:date="2026-03-27T09:38:00Z" w16du:dateUtc="2026-03-27T16:38:00Z">
        <w:r>
          <w:t xml:space="preserve">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352FEF6"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Mountain Pine Beetle Impacts in High-Elevation Five-Needle Pines: Current Trends and Challenges.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lastRenderedPageBreak/>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4B66BF3D" w14:textId="6ED9A891"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Impact of Non-Native Species.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6BD9990B" w:rsidR="00AF5677" w:rsidRDefault="000F7853" w:rsidP="000F7853">
      <w:pPr>
        <w:spacing w:line="240" w:lineRule="auto"/>
        <w:ind w:left="720" w:hanging="720"/>
      </w:pPr>
      <w:r>
        <w:t xml:space="preserve">Mantua, N. J., S. R. Hare, Y. Zhang, J. M. Wallace, </w:t>
      </w:r>
      <w:r w:rsidR="00A928CA">
        <w:t>and</w:t>
      </w:r>
      <w:r>
        <w:t xml:space="preserve"> R. C. Francis. A Pacific Interdecadal Climate Oscillation with Impacts on Salmon Production. </w:t>
      </w:r>
      <w:r>
        <w:rPr>
          <w:i/>
          <w:iCs/>
        </w:rPr>
        <w:t>Bulletin of the American Meteorological Society</w:t>
      </w:r>
      <w:r>
        <w:t xml:space="preserve"> 78(6): 1069-1079.</w:t>
      </w:r>
    </w:p>
    <w:p w14:paraId="79F8EA3B" w14:textId="67867E8D" w:rsidR="000F7853"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r w:rsidR="000F7853">
        <w:t xml:space="preserve">  </w:t>
      </w:r>
    </w:p>
    <w:p w14:paraId="5D3ED3A4" w14:textId="3EEE271A"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Pr="00E66FA7"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66E9863D" w14:textId="60D4039D" w:rsidR="00EF3D97" w:rsidRP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536A0569" w:rsidR="000F7853" w:rsidRDefault="000F7853" w:rsidP="000F7853">
      <w:pPr>
        <w:spacing w:line="240" w:lineRule="auto"/>
        <w:ind w:left="720" w:hanging="720"/>
      </w:pPr>
      <w:r>
        <w:lastRenderedPageBreak/>
        <w:t>Sambaraju, K. R.</w:t>
      </w:r>
      <w:r w:rsidR="00A928CA">
        <w:t xml:space="preserve"> and </w:t>
      </w:r>
      <w:r>
        <w:t xml:space="preserve"> D. W. Goodman. 2021. Mountain pine beetle: an example of a climate-driven eruptive insect impacting conifer forest ecosystems. </w:t>
      </w:r>
      <w:r>
        <w:rPr>
          <w:i/>
          <w:iCs/>
        </w:rPr>
        <w:t>CABI Reviews</w:t>
      </w:r>
      <w:r>
        <w:t>: 18pp.</w:t>
      </w:r>
    </w:p>
    <w:p w14:paraId="27B12705" w14:textId="061DCDF6" w:rsidR="00310948" w:rsidRDefault="00310948" w:rsidP="00310948">
      <w:pPr>
        <w:spacing w:line="240" w:lineRule="auto"/>
        <w:ind w:left="720" w:hanging="720"/>
      </w:pPr>
      <w:r>
        <w:t xml:space="preserve">Scheuerell, M. D., E. R. Buhle, B. X. Semmens, M. J. Ford, T. Cooney, </w:t>
      </w:r>
      <w:r w:rsidR="00A928CA">
        <w:t xml:space="preserve">and </w:t>
      </w:r>
      <w:r>
        <w:t xml:space="preserve">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35D6E81"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1"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3"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5" w:author="Brian McGreal" w:date="2026-03-30T12:41:00Z" w:initials="BM">
    <w:p w14:paraId="5FCED028" w14:textId="36CA80ED" w:rsidR="00A2387C" w:rsidRDefault="00A2387C">
      <w:pPr>
        <w:pStyle w:val="CommentText"/>
      </w:pPr>
      <w:r>
        <w:rPr>
          <w:rStyle w:val="CommentReference"/>
        </w:rPr>
        <w:annotationRef/>
      </w:r>
      <w:r>
        <w:t>Weird sentence</w:t>
      </w:r>
    </w:p>
  </w:comment>
  <w:comment w:id="34" w:author="Brian E McGreal" w:date="2026-04-05T17:27:00Z" w:initials="BM">
    <w:p w14:paraId="56E29F54" w14:textId="77777777" w:rsidR="00A6298E" w:rsidRDefault="00A6298E" w:rsidP="00A6298E">
      <w:pPr>
        <w:pStyle w:val="CommentText"/>
      </w:pPr>
      <w:r>
        <w:rPr>
          <w:rStyle w:val="CommentReference"/>
        </w:rPr>
        <w:annotationRef/>
      </w:r>
      <w:r>
        <w:t>Right here</w:t>
      </w:r>
    </w:p>
  </w:comment>
  <w:comment w:id="38"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39"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6"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7"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3"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41"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2"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5" w:author="Brian McGreal" w:date="2026-03-30T15:05:00Z" w:initials="BM">
    <w:p w14:paraId="090708CA" w14:textId="463CCD79" w:rsidR="001B7645" w:rsidRDefault="001B7645">
      <w:pPr>
        <w:pStyle w:val="CommentText"/>
      </w:pPr>
      <w:r>
        <w:rPr>
          <w:rStyle w:val="CommentReference"/>
        </w:rPr>
        <w:annotationRef/>
      </w:r>
      <w:r>
        <w:t>Here again</w:t>
      </w:r>
    </w:p>
  </w:comment>
  <w:comment w:id="44"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47"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 w:id="48" w:author="Mark Scheuerell" w:date="2026-03-07T10:13:00Z" w:initials="s">
    <w:p w14:paraId="4953AF7F" w14:textId="77777777" w:rsidR="005306BE" w:rsidRDefault="005306BE">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3913DD12" w15:done="0"/>
  <w15:commentEx w15:paraId="61FC6D56" w15:done="0"/>
  <w15:commentEx w15:paraId="5FCED028" w15:done="0"/>
  <w15:commentEx w15:paraId="56E29F54"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38DE934D" w15:done="0"/>
  <w15:commentEx w15:paraId="749D68C0" w15:done="0"/>
  <w15:commentEx w15:paraId="4953AF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08D800E2" w16cex:dateUtc="2026-03-09T16:23:00Z"/>
  <w16cex:commentExtensible w16cex:durableId="502D5DF3" w16cex:dateUtc="2026-03-24T23:49:00Z"/>
  <w16cex:commentExtensible w16cex:durableId="023D634E" w16cex:dateUtc="2026-03-30T19:41:00Z"/>
  <w16cex:commentExtensible w16cex:durableId="79FE1007" w16cex:dateUtc="2026-04-06T00:27: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443E45A5" w16cex:dateUtc="2026-03-07T17:11:00Z"/>
  <w16cex:commentExtensible w16cex:durableId="0F2004AB" w16cex:dateUtc="2026-04-01T19:38:00Z"/>
  <w16cex:commentExtensible w16cex:durableId="4E6740D1" w16cex:dateUtc="2026-03-07T18: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3913DD12" w16cid:durableId="08D800E2"/>
  <w16cid:commentId w16cid:paraId="61FC6D56" w16cid:durableId="502D5DF3"/>
  <w16cid:commentId w16cid:paraId="5FCED028" w16cid:durableId="023D634E"/>
  <w16cid:commentId w16cid:paraId="56E29F54" w16cid:durableId="79FE1007"/>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38DE934D" w16cid:durableId="443E45A5"/>
  <w16cid:commentId w16cid:paraId="749D68C0" w16cid:durableId="0F2004AB"/>
  <w16cid:commentId w16cid:paraId="4953AF7F" w16cid:durableId="4E674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C6459"/>
    <w:rsid w:val="000D21FB"/>
    <w:rsid w:val="000E5A64"/>
    <w:rsid w:val="000F7853"/>
    <w:rsid w:val="00106EE6"/>
    <w:rsid w:val="001111B6"/>
    <w:rsid w:val="00112BBF"/>
    <w:rsid w:val="00114A77"/>
    <w:rsid w:val="00121CF4"/>
    <w:rsid w:val="001262D0"/>
    <w:rsid w:val="00143CB9"/>
    <w:rsid w:val="001509D8"/>
    <w:rsid w:val="001A405D"/>
    <w:rsid w:val="001A6AA2"/>
    <w:rsid w:val="001B7645"/>
    <w:rsid w:val="001D457C"/>
    <w:rsid w:val="001D51EA"/>
    <w:rsid w:val="001D5683"/>
    <w:rsid w:val="001D716E"/>
    <w:rsid w:val="001E1CBF"/>
    <w:rsid w:val="001E29F4"/>
    <w:rsid w:val="001F775B"/>
    <w:rsid w:val="001F7F26"/>
    <w:rsid w:val="00205B63"/>
    <w:rsid w:val="00207CF5"/>
    <w:rsid w:val="00216517"/>
    <w:rsid w:val="00223722"/>
    <w:rsid w:val="00226B01"/>
    <w:rsid w:val="00232D52"/>
    <w:rsid w:val="00246989"/>
    <w:rsid w:val="00252296"/>
    <w:rsid w:val="002657D1"/>
    <w:rsid w:val="00270CF9"/>
    <w:rsid w:val="0029325E"/>
    <w:rsid w:val="002A355E"/>
    <w:rsid w:val="002A4213"/>
    <w:rsid w:val="002B1614"/>
    <w:rsid w:val="002D28DF"/>
    <w:rsid w:val="002D76A3"/>
    <w:rsid w:val="002E34E7"/>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C5745"/>
    <w:rsid w:val="003C6E79"/>
    <w:rsid w:val="003C77AC"/>
    <w:rsid w:val="003D1E65"/>
    <w:rsid w:val="003D5D39"/>
    <w:rsid w:val="00402DA4"/>
    <w:rsid w:val="00412816"/>
    <w:rsid w:val="00414541"/>
    <w:rsid w:val="004217D3"/>
    <w:rsid w:val="00421CE7"/>
    <w:rsid w:val="00427DB5"/>
    <w:rsid w:val="004327DF"/>
    <w:rsid w:val="00460B8F"/>
    <w:rsid w:val="00494B76"/>
    <w:rsid w:val="004A1DBD"/>
    <w:rsid w:val="004B019B"/>
    <w:rsid w:val="004B21F9"/>
    <w:rsid w:val="004C58F2"/>
    <w:rsid w:val="004F779B"/>
    <w:rsid w:val="005078EE"/>
    <w:rsid w:val="005227E4"/>
    <w:rsid w:val="005306BE"/>
    <w:rsid w:val="005363D0"/>
    <w:rsid w:val="005565C2"/>
    <w:rsid w:val="00572D2B"/>
    <w:rsid w:val="00574432"/>
    <w:rsid w:val="00576D64"/>
    <w:rsid w:val="00597FAB"/>
    <w:rsid w:val="005B1667"/>
    <w:rsid w:val="005B1CFB"/>
    <w:rsid w:val="005B3ACD"/>
    <w:rsid w:val="005B7404"/>
    <w:rsid w:val="005C24C4"/>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66290"/>
    <w:rsid w:val="00670218"/>
    <w:rsid w:val="00672EBC"/>
    <w:rsid w:val="006745B4"/>
    <w:rsid w:val="00675815"/>
    <w:rsid w:val="006A0FFE"/>
    <w:rsid w:val="006B1A2E"/>
    <w:rsid w:val="006B5A94"/>
    <w:rsid w:val="006C6D25"/>
    <w:rsid w:val="006D7969"/>
    <w:rsid w:val="006E0493"/>
    <w:rsid w:val="006E6B42"/>
    <w:rsid w:val="006F4BBF"/>
    <w:rsid w:val="00716B1F"/>
    <w:rsid w:val="00723599"/>
    <w:rsid w:val="00731AF8"/>
    <w:rsid w:val="00734A33"/>
    <w:rsid w:val="00737D2B"/>
    <w:rsid w:val="00740E18"/>
    <w:rsid w:val="00741B88"/>
    <w:rsid w:val="007635F3"/>
    <w:rsid w:val="00773DA7"/>
    <w:rsid w:val="00795151"/>
    <w:rsid w:val="007B0F67"/>
    <w:rsid w:val="007B55B0"/>
    <w:rsid w:val="007C003B"/>
    <w:rsid w:val="007C158F"/>
    <w:rsid w:val="007C46E2"/>
    <w:rsid w:val="007C5247"/>
    <w:rsid w:val="007F1518"/>
    <w:rsid w:val="007F5330"/>
    <w:rsid w:val="00802542"/>
    <w:rsid w:val="0080336B"/>
    <w:rsid w:val="00837571"/>
    <w:rsid w:val="00855FD8"/>
    <w:rsid w:val="0086192A"/>
    <w:rsid w:val="0087213E"/>
    <w:rsid w:val="0087408B"/>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6153E"/>
    <w:rsid w:val="009721BE"/>
    <w:rsid w:val="009754D5"/>
    <w:rsid w:val="00976473"/>
    <w:rsid w:val="0097710D"/>
    <w:rsid w:val="009845B1"/>
    <w:rsid w:val="009978CD"/>
    <w:rsid w:val="009A51C2"/>
    <w:rsid w:val="009A59EE"/>
    <w:rsid w:val="009B40CF"/>
    <w:rsid w:val="009B5B49"/>
    <w:rsid w:val="009B7CF2"/>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07B8"/>
    <w:rsid w:val="00A43887"/>
    <w:rsid w:val="00A527C1"/>
    <w:rsid w:val="00A6298E"/>
    <w:rsid w:val="00A91C0C"/>
    <w:rsid w:val="00A928CA"/>
    <w:rsid w:val="00A93D33"/>
    <w:rsid w:val="00AB15D6"/>
    <w:rsid w:val="00AB32D2"/>
    <w:rsid w:val="00AC48BB"/>
    <w:rsid w:val="00AD445E"/>
    <w:rsid w:val="00AE03EE"/>
    <w:rsid w:val="00AE4507"/>
    <w:rsid w:val="00AE6A99"/>
    <w:rsid w:val="00AF5677"/>
    <w:rsid w:val="00B00D9B"/>
    <w:rsid w:val="00B07643"/>
    <w:rsid w:val="00B23CD2"/>
    <w:rsid w:val="00B50797"/>
    <w:rsid w:val="00B66763"/>
    <w:rsid w:val="00B67742"/>
    <w:rsid w:val="00B96F76"/>
    <w:rsid w:val="00BB24CA"/>
    <w:rsid w:val="00BB43D3"/>
    <w:rsid w:val="00BB4FE2"/>
    <w:rsid w:val="00BD7B83"/>
    <w:rsid w:val="00BF04BF"/>
    <w:rsid w:val="00C02ADB"/>
    <w:rsid w:val="00C16190"/>
    <w:rsid w:val="00C3066D"/>
    <w:rsid w:val="00C60F0A"/>
    <w:rsid w:val="00C61B5A"/>
    <w:rsid w:val="00C64BF8"/>
    <w:rsid w:val="00C66ED1"/>
    <w:rsid w:val="00C80629"/>
    <w:rsid w:val="00C874A9"/>
    <w:rsid w:val="00CA65D7"/>
    <w:rsid w:val="00CC7AA4"/>
    <w:rsid w:val="00CD3E62"/>
    <w:rsid w:val="00CD58A3"/>
    <w:rsid w:val="00CE633A"/>
    <w:rsid w:val="00D011BB"/>
    <w:rsid w:val="00D15E91"/>
    <w:rsid w:val="00D362A0"/>
    <w:rsid w:val="00D368CD"/>
    <w:rsid w:val="00D431CD"/>
    <w:rsid w:val="00D45C26"/>
    <w:rsid w:val="00D51675"/>
    <w:rsid w:val="00D56989"/>
    <w:rsid w:val="00D57B76"/>
    <w:rsid w:val="00D801ED"/>
    <w:rsid w:val="00D9784A"/>
    <w:rsid w:val="00DA70F0"/>
    <w:rsid w:val="00DC2443"/>
    <w:rsid w:val="00DC67C0"/>
    <w:rsid w:val="00DF0566"/>
    <w:rsid w:val="00DF38BD"/>
    <w:rsid w:val="00E06BFE"/>
    <w:rsid w:val="00E26A22"/>
    <w:rsid w:val="00E47684"/>
    <w:rsid w:val="00E65279"/>
    <w:rsid w:val="00E65F33"/>
    <w:rsid w:val="00E72B3A"/>
    <w:rsid w:val="00E73316"/>
    <w:rsid w:val="00E82478"/>
    <w:rsid w:val="00EB0251"/>
    <w:rsid w:val="00EB1DB7"/>
    <w:rsid w:val="00ED5857"/>
    <w:rsid w:val="00ED5A07"/>
    <w:rsid w:val="00ED689D"/>
    <w:rsid w:val="00EF0488"/>
    <w:rsid w:val="00EF2ADE"/>
    <w:rsid w:val="00EF3D97"/>
    <w:rsid w:val="00F01ACB"/>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C2324"/>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1316</TotalTime>
  <Pages>31</Pages>
  <Words>9061</Words>
  <Characters>48572</Characters>
  <Application>Microsoft Office Word</Application>
  <DocSecurity>0</DocSecurity>
  <Lines>714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70</cp:revision>
  <dcterms:created xsi:type="dcterms:W3CDTF">2026-03-06T13:33:00Z</dcterms:created>
  <dcterms:modified xsi:type="dcterms:W3CDTF">2026-04-06T00:27:00Z</dcterms:modified>
</cp:coreProperties>
</file>