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6233FBF4" w14:textId="77777777" w:rsidR="00FC6E80" w:rsidRPr="00B66BBC" w:rsidRDefault="00FC6E80" w:rsidP="00FC6E80">
      <w:pPr>
        <w:spacing w:after="0" w:line="480" w:lineRule="auto"/>
        <w:rPr>
          <w:b/>
          <w:bCs/>
          <w:u w:val="single"/>
        </w:rPr>
      </w:pPr>
      <w:r w:rsidRPr="00B66BBC">
        <w:rPr>
          <w:b/>
          <w:bCs/>
          <w:u w:val="single"/>
        </w:rPr>
        <w:lastRenderedPageBreak/>
        <w:t xml:space="preserve">Introduction </w:t>
      </w:r>
    </w:p>
    <w:p w14:paraId="7F55B87F" w14:textId="77777777" w:rsidR="00FC6E80" w:rsidRDefault="00FC6E80" w:rsidP="00FC6E80">
      <w:pPr>
        <w:spacing w:after="0" w:line="480" w:lineRule="auto"/>
        <w:ind w:firstLine="720"/>
      </w:pPr>
      <w:r>
        <w:t>Conservation issues related to individual species are often the result of the scarcity of native plant or animal species or the abundance of non-native (exotic, invasive) species (Ellison et al. 2005, Gallardo et al. 2015, Jeschke et al. 2014). However, ecosystems can also be harmed by the hyperabundance of a native species, due either to shifting regional trends in habitat suitability, to direct (and often anthropogenic) intervention, or to a combination of these factors (Sambaraju and Goodsman 2021, Beckett et al. 2022, Moore et al. 2023). Hyperabundance of native purple sea urchin (</w:t>
      </w:r>
      <w:r w:rsidRPr="00EF4CE3">
        <w:rPr>
          <w:i/>
          <w:iCs/>
        </w:rPr>
        <w:t>Strongylocentrotus purpuratus</w:t>
      </w:r>
      <w:r>
        <w:t>) in the northern Pacific Ocean, driven by the depletion of Pacific sea otter (</w:t>
      </w:r>
      <w:r w:rsidRPr="005B3082">
        <w:rPr>
          <w:i/>
          <w:iCs/>
        </w:rPr>
        <w:t>Enhydra lutris</w:t>
      </w:r>
      <w:r>
        <w:t>) populations by the maritime fur trade, has led to the devastation of kelp (</w:t>
      </w:r>
      <w:r w:rsidRPr="00970BA1">
        <w:rPr>
          <w:i/>
          <w:iCs/>
        </w:rPr>
        <w:t>Macrocystis pyrifera</w:t>
      </w:r>
      <w:r>
        <w:t>) forests, critical ecosystems upon which countless marine species depend (Estes 2015). The mountain pine beetle (</w:t>
      </w:r>
      <w:r>
        <w:rPr>
          <w:i/>
          <w:iCs/>
        </w:rPr>
        <w:t>Dendroctonus ponderosae</w:t>
      </w:r>
      <w:r>
        <w:t xml:space="preserve">), another hyperabundant species, has caused catastrophic destruction of coniferous forests throughout its native range, the Rocky Mountains. While in the past cold winter temperatures had limited their numbers and, by extension, their impacts on Rocky Mountain forests, shifting climate patterns have led to warmer winters and longer summers, allowing the mountain pine beetle to flourish and in turn devastate large swathes of forest habitat in Canada and the US (Gibson et al. 2008). </w:t>
      </w:r>
    </w:p>
    <w:p w14:paraId="1693DFD1" w14:textId="77777777" w:rsidR="00FC6E80" w:rsidRDefault="00FC6E80" w:rsidP="00FC6E80">
      <w:pPr>
        <w:spacing w:after="0" w:line="480" w:lineRule="auto"/>
        <w:ind w:firstLine="720"/>
      </w:pPr>
      <w:r>
        <w:t xml:space="preserve">When a native species hyperabundance occurs within a conservation area, it may necessitate management actions to protect other species within the ecosystem. For example, the United States National Park Service (NPS) has operated under a mandate to “steward NPS resources for continuous change that is not yet fully understood, in order to preserve ecological integrity …” (Colwell et al. 2012). For natural resources, particularly those that vary in space and </w:t>
      </w:r>
      <w:r>
        <w:lastRenderedPageBreak/>
        <w:t xml:space="preserve">time, the NPS management target has historically been to maintain abundances within a ‘natural range of variation’ </w:t>
      </w:r>
      <w:r>
        <w:rPr>
          <w:rFonts w:cstheme="minorHAnsi"/>
          <w:color w:val="202122"/>
          <w:shd w:val="clear" w:color="auto" w:fill="FFFFFF"/>
        </w:rPr>
        <w:t>(National Park Service 2025a)</w:t>
      </w:r>
      <w:r>
        <w:t>, but the point at which the abundance of an endemic species exceeds the natural range of variation, thereby triggering a need for management action, can be difficult to ascertain. Park managers finding themselves confronted with such issues must make careful and informed decisions based on the best scientific information available as they seek to interpret and implement the mandate to preserve resources in a natural condition. Hyperabundant native species are not given anywhere near the same attention as invasive species in scientific literature, and identifying these instances as they occur is challenging (Valéry et al. 2013). While information regarding historical presence, abundance, or range of a species is useful when available, these data are often non-existent or lacking (Carey et al. 2012).</w:t>
      </w:r>
    </w:p>
    <w:p w14:paraId="41FE1C2F" w14:textId="77777777" w:rsidR="00FC6E80" w:rsidRDefault="00FC6E80" w:rsidP="00FC6E80">
      <w:pPr>
        <w:spacing w:after="0" w:line="480" w:lineRule="auto"/>
        <w:ind w:firstLine="720"/>
        <w:rPr>
          <w:rFonts w:cstheme="minorHAnsi"/>
          <w:color w:val="202122"/>
          <w:shd w:val="clear" w:color="auto" w:fill="FFFFFF"/>
        </w:rPr>
      </w:pPr>
      <w:r>
        <w:t xml:space="preserve">With these ideas in mind, our research is focused on pink salmon </w:t>
      </w:r>
      <w:r w:rsidRPr="00A017CB">
        <w:rPr>
          <w:rFonts w:cstheme="minorHAnsi"/>
          <w:color w:val="202122"/>
          <w:shd w:val="clear" w:color="auto" w:fill="FFFFFF"/>
        </w:rPr>
        <w:t>(</w:t>
      </w:r>
      <w:r w:rsidRPr="00A017CB">
        <w:rPr>
          <w:i/>
          <w:iCs/>
        </w:rPr>
        <w:t>Oncorhynchus</w:t>
      </w:r>
      <w:r w:rsidRPr="00A017CB">
        <w:rPr>
          <w:rFonts w:cstheme="minorHAnsi"/>
          <w:i/>
          <w:iCs/>
          <w:color w:val="202122"/>
          <w:shd w:val="clear" w:color="auto" w:fill="FFFFFF"/>
        </w:rPr>
        <w:t xml:space="preserve"> gorbuscha</w:t>
      </w:r>
      <w:r w:rsidRPr="00A017CB">
        <w:rPr>
          <w:rFonts w:cstheme="minorHAnsi"/>
          <w:color w:val="202122"/>
          <w:shd w:val="clear" w:color="auto" w:fill="FFFFFF"/>
        </w:rPr>
        <w:t>)</w:t>
      </w:r>
      <w:r>
        <w:rPr>
          <w:rFonts w:cstheme="minorHAnsi"/>
          <w:color w:val="202122"/>
          <w:shd w:val="clear" w:color="auto" w:fill="FFFFFF"/>
        </w:rPr>
        <w:t xml:space="preserve"> in </w:t>
      </w:r>
      <w:r>
        <w:t>Sitka National Historical Park (SITK), populations of which have undergone</w:t>
      </w:r>
      <w:r>
        <w:rPr>
          <w:rFonts w:cstheme="minorHAnsi"/>
          <w:color w:val="202122"/>
          <w:shd w:val="clear" w:color="auto" w:fill="FFFFFF"/>
        </w:rPr>
        <w:t xml:space="preserve"> dramatic increases in density in recent decades.</w:t>
      </w:r>
      <w:r>
        <w:t xml:space="preserve"> SITK is a small (45 ha) coastal park in Sitka, Alaska, characterized by mature spruce-hemlock forests and the</w:t>
      </w:r>
      <w:r>
        <w:rPr>
          <w:rFonts w:cstheme="minorHAnsi"/>
          <w:color w:val="202122"/>
          <w:shd w:val="clear" w:color="auto" w:fill="FFFFFF"/>
        </w:rPr>
        <w:t xml:space="preserve"> </w:t>
      </w:r>
      <w:r>
        <w:t>Indian River (</w:t>
      </w:r>
      <w:r w:rsidRPr="00A017CB">
        <w:rPr>
          <w:rFonts w:cstheme="minorHAnsi"/>
          <w:color w:val="202122"/>
          <w:u w:val="single"/>
          <w:shd w:val="clear" w:color="auto" w:fill="FFFFFF"/>
        </w:rPr>
        <w:t>K</w:t>
      </w:r>
      <w:r w:rsidRPr="00A017CB">
        <w:rPr>
          <w:rFonts w:cstheme="minorHAnsi"/>
          <w:color w:val="202122"/>
          <w:shd w:val="clear" w:color="auto" w:fill="FFFFFF"/>
        </w:rPr>
        <w:t>aasda Héen</w:t>
      </w:r>
      <w:r>
        <w:rPr>
          <w:rFonts w:cstheme="minorHAnsi"/>
          <w:color w:val="202122"/>
          <w:shd w:val="clear" w:color="auto" w:fill="FFFFFF"/>
        </w:rPr>
        <w:t xml:space="preserve"> in Tlingit</w:t>
      </w:r>
      <w:r>
        <w:t>), the main reach and intertidal area of which fall within park boundaries</w:t>
      </w:r>
      <w:r w:rsidRPr="00A017CB">
        <w:rPr>
          <w:rFonts w:cstheme="minorHAnsi"/>
          <w:color w:val="202122"/>
          <w:shd w:val="clear" w:color="auto" w:fill="FFFFFF"/>
        </w:rPr>
        <w:t xml:space="preserve"> </w:t>
      </w:r>
      <w:r>
        <w:t xml:space="preserve">(National Park Service 2025b). </w:t>
      </w:r>
      <w:r w:rsidRPr="00A017CB">
        <w:rPr>
          <w:rFonts w:cstheme="minorHAnsi"/>
          <w:color w:val="202122"/>
          <w:shd w:val="clear" w:color="auto" w:fill="FFFFFF"/>
        </w:rPr>
        <w:t>Since time immemorial</w:t>
      </w:r>
      <w:r>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O</w:t>
      </w:r>
      <w:r>
        <w:rPr>
          <w:i/>
          <w:iCs/>
        </w:rPr>
        <w:t>.</w:t>
      </w:r>
      <w:r w:rsidRPr="00A017CB">
        <w:rPr>
          <w:i/>
          <w:iCs/>
        </w:rPr>
        <w:t xml:space="preserve"> keta</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and pink salmon (Thornton 1998). </w:t>
      </w:r>
      <w:r>
        <w:t xml:space="preserve">Originally designated a National Monument in 1910 for the purpose of conserving the site of an 1804 battle </w:t>
      </w:r>
      <w:r w:rsidRPr="00A017CB">
        <w:rPr>
          <w:rFonts w:cstheme="minorHAnsi"/>
          <w:color w:val="202122"/>
          <w:shd w:val="clear" w:color="auto" w:fill="FFFFFF"/>
        </w:rPr>
        <w:t>between the native Tlingit Kiks.ádi clan and Russian colonizers</w:t>
      </w:r>
      <w:r>
        <w:rPr>
          <w:rFonts w:cstheme="minorHAnsi"/>
          <w:color w:val="202122"/>
          <w:shd w:val="clear" w:color="auto" w:fill="FFFFFF"/>
        </w:rPr>
        <w:t xml:space="preserve">, </w:t>
      </w:r>
      <w:r>
        <w:t xml:space="preserve">today the park is </w:t>
      </w:r>
      <w:r>
        <w:lastRenderedPageBreak/>
        <w:t>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xml:space="preserve">. </w:t>
      </w:r>
    </w:p>
    <w:p w14:paraId="4C8C06F3" w14:textId="77777777" w:rsidR="00FC6E80" w:rsidRDefault="00FC6E80" w:rsidP="00FC6E80">
      <w:pPr>
        <w:spacing w:after="0" w:line="480" w:lineRule="auto"/>
        <w:ind w:firstLine="720"/>
      </w:pPr>
      <w:r>
        <w:rPr>
          <w:rFonts w:cstheme="minorHAnsi"/>
          <w:color w:val="202122"/>
          <w:shd w:val="clear" w:color="auto" w:fill="FFFFFF"/>
        </w:rPr>
        <w:t>Although p</w:t>
      </w:r>
      <w:r w:rsidRPr="00A017CB">
        <w:rPr>
          <w:rFonts w:cstheme="minorHAnsi"/>
          <w:color w:val="202122"/>
          <w:shd w:val="clear" w:color="auto" w:fill="FFFFFF"/>
        </w:rPr>
        <w:t xml:space="preserve">ink salmon </w:t>
      </w:r>
      <w:r>
        <w:rPr>
          <w:rFonts w:cstheme="minorHAnsi"/>
          <w:color w:val="202122"/>
          <w:shd w:val="clear" w:color="auto" w:fill="FFFFFF"/>
        </w:rPr>
        <w:t>have historically been</w:t>
      </w:r>
      <w:r w:rsidRPr="00A017CB">
        <w:rPr>
          <w:rFonts w:cstheme="minorHAnsi"/>
          <w:color w:val="202122"/>
          <w:shd w:val="clear" w:color="auto" w:fill="FFFFFF"/>
        </w:rPr>
        <w:t xml:space="preserve"> the most abundant </w:t>
      </w:r>
      <w:r>
        <w:rPr>
          <w:rFonts w:cstheme="minorHAnsi"/>
          <w:color w:val="202122"/>
          <w:shd w:val="clear" w:color="auto" w:fill="FFFFFF"/>
        </w:rPr>
        <w:t xml:space="preserve">salmon </w:t>
      </w:r>
      <w:r w:rsidRPr="00A017CB">
        <w:rPr>
          <w:rFonts w:cstheme="minorHAnsi"/>
          <w:color w:val="202122"/>
          <w:shd w:val="clear" w:color="auto" w:fill="FFFFFF"/>
        </w:rPr>
        <w:t>species at Indian River,</w:t>
      </w:r>
      <w:r>
        <w:rPr>
          <w:rFonts w:cstheme="minorHAnsi"/>
          <w:color w:val="202122"/>
          <w:shd w:val="clear" w:color="auto" w:fill="FFFFFF"/>
        </w:rPr>
        <w:t xml:space="preserve"> </w:t>
      </w:r>
      <w:r w:rsidRPr="00CD14B8">
        <w:t>their numbers have increased rapidly in the last</w:t>
      </w:r>
      <w:r>
        <w:t xml:space="preserve"> 30</w:t>
      </w:r>
      <w:r w:rsidRPr="00CD14B8">
        <w:t xml:space="preserve"> years</w:t>
      </w:r>
      <w:r>
        <w:t>. The Alaska Department of Fish and Game (ADFG) peak escapement surveys have estimated that, since 1980, Indian River pink salmon abundance has increased from run of several thousand to runs regularly exceeding 100,000 fish annually (Stopha 2015). Increases in Indian River pink salmon abundance, initially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(Figure 1). Currently operated by </w:t>
      </w:r>
      <w:r w:rsidRPr="00CD14B8">
        <w:t>the not-for-profit Sitka Sound Science Center</w:t>
      </w:r>
      <w:r>
        <w:t xml:space="preserve">, the hatchery was originally established in 1975 by Sheldon Jackson College, with the initial broodstock sourced from pink salmon at the Indian River (even years) and </w:t>
      </w:r>
      <w:r w:rsidRPr="00CD14B8">
        <w:t>nearby Starrigavan Creek</w:t>
      </w:r>
      <w:r>
        <w:t xml:space="preserve"> (odd years). Indian River water is diverted upriver of SITK’s boundaries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fish. The hatchery was initially permitted to spawn 1 million pink salmon eggs each year, but that was increased to 3 million eggs in 2010, with most hatchery-reared embryos surviving to be released as fry to the ocean (Stopha 2015).</w:t>
      </w:r>
    </w:p>
    <w:p w14:paraId="32F363E2" w14:textId="77777777" w:rsidR="00FC6E80" w:rsidRDefault="00FC6E80" w:rsidP="00FC6E80">
      <w:pPr>
        <w:pStyle w:val="ListParagraph"/>
        <w:spacing w:after="0" w:line="240" w:lineRule="auto"/>
        <w:ind w:left="0"/>
        <w:jc w:val="center"/>
        <w:rPr>
          <w:i/>
          <w:iCs/>
          <w:sz w:val="20"/>
          <w:szCs w:val="20"/>
        </w:rPr>
      </w:pPr>
      <w:r>
        <w:rPr>
          <w:noProof/>
        </w:rPr>
        <w:lastRenderedPageBreak/>
        <w:drawing>
          <wp:inline distT="0" distB="0" distL="0" distR="0" wp14:anchorId="28AA2213" wp14:editId="21E9F4FE">
            <wp:extent cx="6304991" cy="4743564"/>
            <wp:effectExtent l="0" t="0" r="635" b="0"/>
            <wp:docPr id="883393892" name="Picture 883393892"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1324" cy="4763375"/>
                    </a:xfrm>
                    <a:prstGeom prst="rect">
                      <a:avLst/>
                    </a:prstGeom>
                  </pic:spPr>
                </pic:pic>
              </a:graphicData>
            </a:graphic>
          </wp:inline>
        </w:drawing>
      </w:r>
    </w:p>
    <w:p w14:paraId="3E4B9325" w14:textId="77777777" w:rsidR="00FC6E80" w:rsidRDefault="00FC6E80" w:rsidP="00FC6E80">
      <w:pPr>
        <w:spacing w:after="0" w:line="240" w:lineRule="auto"/>
        <w:rPr>
          <w:i/>
          <w:iCs/>
          <w:sz w:val="20"/>
          <w:szCs w:val="20"/>
        </w:rPr>
      </w:pPr>
    </w:p>
    <w:p w14:paraId="7458B533" w14:textId="77777777" w:rsidR="00FC6E80" w:rsidRPr="00E507FB" w:rsidRDefault="00FC6E80" w:rsidP="00FC6E80">
      <w:pPr>
        <w:spacing w:after="0" w:line="240" w:lineRule="auto"/>
        <w:ind w:right="-720"/>
        <w:rPr>
          <w:sz w:val="20"/>
          <w:szCs w:val="20"/>
        </w:rPr>
      </w:pPr>
      <w:r w:rsidRPr="00E507FB">
        <w:rPr>
          <w:sz w:val="20"/>
          <w:szCs w:val="20"/>
        </w:rPr>
        <w:t>Figure 1: Location of Sheldon Jackson Hatchery (red star) and the mouth of the Indian River (red circle) in Sitka. The two highlighted points are approximately 1,650 ft (503m) apart. Credit: National Park Service, modified to include river mouth and hatchery location.</w:t>
      </w:r>
    </w:p>
    <w:p w14:paraId="0A2C5FAA" w14:textId="77777777" w:rsidR="00FC6E80" w:rsidRDefault="00FC6E80" w:rsidP="00FC6E80">
      <w:pPr>
        <w:spacing w:after="0" w:line="480" w:lineRule="auto"/>
        <w:ind w:firstLine="720"/>
      </w:pPr>
    </w:p>
    <w:p w14:paraId="635EB33B" w14:textId="22F2FFA7" w:rsidR="00FC6E80" w:rsidRDefault="00FC6E80" w:rsidP="00FC6E80">
      <w:pPr>
        <w:spacing w:after="0" w:line="480" w:lineRule="auto"/>
        <w:ind w:firstLine="720"/>
      </w:pPr>
      <w:r>
        <w:t xml:space="preserve">If all pink salmon reared at the hatchery returned to the hatchery, the population dynamics of salmon in the Indian River would be unaffected by hatchery operations. However, homing by salmon is imperfect and has adaptive value (Quinn 2018). </w:t>
      </w:r>
      <w:commentRangeStart w:id="1"/>
      <w:r>
        <w:t>It has been shown that both the purposeful and incidental introduction of hatchery salmon into streams with native populations can contribute to increased abundances (Anderson et al. 2014, McMillan et al. 2023, May et al. 2024).</w:t>
      </w:r>
      <w:commentRangeEnd w:id="1"/>
      <w:r>
        <w:rPr>
          <w:rStyle w:val="CommentReference"/>
          <w:sz w:val="24"/>
          <w:szCs w:val="24"/>
        </w:rPr>
        <w:commentReference w:id="1"/>
      </w:r>
      <w:r>
        <w:t xml:space="preserve"> Evidence suggests that the Indian River is no exception, and indeed it is possible that the Indian River sees higher than average levels of straying due to the proximity of </w:t>
      </w:r>
      <w:r>
        <w:lastRenderedPageBreak/>
        <w:t>SJH and the hatchery fish being reared in Indian River water. All pink salmon released by SJH are subject to otolith marking, and survey efforts at Indian River have at times found stray pink salmon from Sheldon Jackson Hatchery making up one third of all individuals sampled in a year, although the rates of straying observed vary considerably (Gende and Carter 2015, Stopha 2015, Alaska Department of Fish and Game 2024b).</w:t>
      </w:r>
      <w:r w:rsidRPr="007D4A30">
        <w:rPr>
          <w:strike/>
        </w:rPr>
        <w:t xml:space="preserve"> </w:t>
      </w:r>
    </w:p>
    <w:p w14:paraId="430EBA4C" w14:textId="77777777" w:rsidR="00FC6E80" w:rsidRDefault="00FC6E80" w:rsidP="00FC6E80">
      <w:pPr>
        <w:spacing w:after="0" w:line="480" w:lineRule="auto"/>
        <w:ind w:firstLine="720"/>
      </w:pPr>
      <w:r>
        <w:t xml:space="preserve">The possibility that pink salmon being reared and released by Sheldon Jackson hatchery may be contributing to the high abundances of fish observed at the Indian River in recent decades cannot be ignored. However, it is also critical to note that these high densities may be naturally occurring phenomena, influenced by variation in stream conditions, ocean productivity, predation intensity, and commercial harvests, among other factors (Manhard et al. 2017). ADFG conducts regular monitoring of pink salmon index streams throughout southeast Alaska for the primary purpose of managing the commercial fishery, selected specifically to reflect natural conditions and a lack of undue anthropogenic influences.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 The agency has recorded peak pink salmon escapement annually at 35 index streams in this region, and at Indian River as well (albeit with gaps in the time series). Along with other streams in the region, Indian River has seen an increase in peak escapement over the period of observation (Figure 2). </w:t>
      </w:r>
    </w:p>
    <w:p w14:paraId="270DC39D" w14:textId="77777777" w:rsidR="00FC6E80" w:rsidRDefault="00FC6E80" w:rsidP="00FC6E80">
      <w:pPr>
        <w:pStyle w:val="ListParagraph"/>
        <w:spacing w:after="0" w:line="240" w:lineRule="auto"/>
        <w:ind w:left="0"/>
        <w:jc w:val="center"/>
        <w:rPr>
          <w:i/>
          <w:iCs/>
          <w:sz w:val="20"/>
          <w:szCs w:val="20"/>
        </w:rPr>
      </w:pPr>
      <w:r>
        <w:rPr>
          <w:i/>
          <w:iCs/>
          <w:noProof/>
          <w:sz w:val="20"/>
          <w:szCs w:val="20"/>
        </w:rPr>
        <w:lastRenderedPageBreak/>
        <w:drawing>
          <wp:inline distT="0" distB="0" distL="0" distR="0" wp14:anchorId="27686FB2" wp14:editId="6C91B4B6">
            <wp:extent cx="6239565" cy="2867025"/>
            <wp:effectExtent l="0" t="0" r="8890" b="0"/>
            <wp:docPr id="2083219616"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77009" cy="2884230"/>
                    </a:xfrm>
                    <a:prstGeom prst="rect">
                      <a:avLst/>
                    </a:prstGeom>
                    <a:noFill/>
                    <a:ln>
                      <a:noFill/>
                    </a:ln>
                  </pic:spPr>
                </pic:pic>
              </a:graphicData>
            </a:graphic>
          </wp:inline>
        </w:drawing>
      </w:r>
    </w:p>
    <w:p w14:paraId="561614E2" w14:textId="77777777" w:rsidR="00FC6E80" w:rsidRDefault="00FC6E80" w:rsidP="00FC6E80">
      <w:pPr>
        <w:spacing w:after="0" w:line="240" w:lineRule="auto"/>
        <w:rPr>
          <w:i/>
          <w:iCs/>
          <w:sz w:val="20"/>
          <w:szCs w:val="20"/>
        </w:rPr>
      </w:pPr>
    </w:p>
    <w:p w14:paraId="282BFA72" w14:textId="77777777" w:rsidR="00FC6E80" w:rsidRPr="00B304E3" w:rsidRDefault="00FC6E80" w:rsidP="00FC6E80">
      <w:pPr>
        <w:spacing w:after="0" w:line="240" w:lineRule="auto"/>
        <w:ind w:right="-720"/>
      </w:pPr>
      <w:r w:rsidRPr="00B304E3">
        <w:rPr>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3A33A0CF" w14:textId="77777777" w:rsidR="00FC6E80" w:rsidRDefault="00FC6E80" w:rsidP="00FC6E80">
      <w:pPr>
        <w:spacing w:after="0" w:line="480" w:lineRule="auto"/>
        <w:ind w:firstLine="720"/>
      </w:pPr>
    </w:p>
    <w:p w14:paraId="69AD0448" w14:textId="7E831946" w:rsidR="00FC6E80" w:rsidRDefault="00FC6E80" w:rsidP="00FC6E80">
      <w:pPr>
        <w:spacing w:after="0" w:line="480" w:lineRule="auto"/>
        <w:ind w:firstLine="720"/>
        <w:rPr>
          <w:rFonts w:cstheme="minorHAnsi"/>
          <w:color w:val="202122"/>
          <w:shd w:val="clear" w:color="auto" w:fill="FFFFFF"/>
        </w:rPr>
      </w:pPr>
      <w:r>
        <w:t xml:space="preserve">High abundances of salmon are concerning to park managers due to their potential to contribute to hypoxic aquatic conditions. When a large run coincides with low stream flows and warm temperatures, dissolved oxygen concentrations may be diminished through both direct consumption of oxygen by living fish and the respiration of microbes decomposing their carcasses, with severe hypoxia events capable of compromising a stream’s ability to sustain other resident fish species (Murphy 1985, Sergeant et al. 2023). </w:t>
      </w:r>
      <w:r w:rsidRPr="00F66941">
        <w:t xml:space="preserve">High salmon densities occur naturally across the Pacific Rim, and incidences of high densities contributing to depleted in stream oxygen levels have been recorded throughout southeast Alaska (Murphy 1985). In such an instance, females may die before spawning due to lowered oxygen levels (Sergeant et al. 2017, Tillotson and Quinn 2017). In </w:t>
      </w:r>
      <w:r>
        <w:t>this</w:t>
      </w:r>
      <w:r w:rsidRPr="00F66941">
        <w:t xml:space="preserve"> scenario, the numbers of spawners returning in subsequent years would be constraine</w:t>
      </w:r>
      <w:r>
        <w:t>d, a</w:t>
      </w:r>
      <w:r w:rsidRPr="00F66941">
        <w:t xml:space="preserve"> constraint</w:t>
      </w:r>
      <w:r>
        <w:t xml:space="preserve"> which could </w:t>
      </w:r>
      <w:r w:rsidRPr="00F66941">
        <w:t>weaken with the introduction of straying fish from hatcheries</w:t>
      </w:r>
      <w:r>
        <w:t>.</w:t>
      </w:r>
    </w:p>
    <w:p w14:paraId="2D8A2B41" w14:textId="77777777" w:rsidR="00FC6E80" w:rsidRDefault="00FC6E80" w:rsidP="00FC6E80">
      <w:pPr>
        <w:spacing w:after="0" w:line="480" w:lineRule="auto"/>
      </w:pPr>
      <w:r>
        <w:lastRenderedPageBreak/>
        <w:tab/>
        <w:t xml:space="preserve">My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increasing abundance since 1980. This is accomplished by evaluating three hypotheses. 1) Pink salmon population dynamics at Indian River are separate from those observed at ADFG index streams in the region. A state-space model which specifies pink salmon abundance at Indian River as separate from pink salmon abundance elsewhere in the region will better fit available data than a model which does not make this distinction. 2) The 1975 commencement and/or 2010 expansion of hatchery operations has had some measurable impact on Indian River pink salmon population densities. A before-after control-impact (BACI) analysis will estimate a significant effect of treatment. And 3) the number of pink salmon juveniles released by SJH in brood year </w:t>
      </w:r>
      <w:r w:rsidRPr="00844F3B">
        <w:rPr>
          <w:i/>
          <w:iCs/>
        </w:rPr>
        <w:t>t-1</w:t>
      </w:r>
      <w:r>
        <w:t xml:space="preserve"> is impacting pink salmon abundance observed at Indian River in brood year </w:t>
      </w:r>
      <w:r w:rsidRPr="00844F3B">
        <w:rPr>
          <w:i/>
          <w:iCs/>
        </w:rPr>
        <w:t>t</w:t>
      </w:r>
      <w:r>
        <w:t>. An autoregressive model will estimate this “cross effect” as significant. Each of these approaches is discussed in greater detail in the following section.</w:t>
      </w:r>
    </w:p>
    <w:p w14:paraId="154C8AD9" w14:textId="4282FEA8" w:rsidR="00B42955" w:rsidRPr="00B42955" w:rsidRDefault="00B42955" w:rsidP="00660262">
      <w:pPr>
        <w:spacing w:after="0" w:line="480" w:lineRule="auto"/>
      </w:pPr>
      <w:r>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16389BFD" w14:textId="0E5629D7" w:rsidR="000F721D" w:rsidRDefault="00670218" w:rsidP="0007102E">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w:t>
      </w:r>
      <w:r w:rsidR="00E67B7D">
        <w:t xml:space="preserve">. </w:t>
      </w:r>
      <w:r w:rsidR="000F721D">
        <w:t>Survey data used in this study cover the period from 1960 to 2023. Due to the proximity of SJH and the accompanying potential of hatchery fish to affect wild fish abundance estimates, the Indian River is not one of ADFG’s index streams. Nonetheless, ADFG has often monitored pink salmon escapement in the stream to provide the most complete data possible on pink salmon in the region. Data are available from Indian River from 1962-67, 1969, 1971-73, 1977-88, 1990, and from 1993-2023 (n = 54 annual observations). Annual reports from Sheldon Jackson Hatchery are available from 1975 onwards, commensurate with the establishment of the hatchery. NOAA PDO data included in this research likewise covers the period from 1960 to 2023</w:t>
      </w:r>
      <w:r w:rsidR="00E67B7D">
        <w:t xml:space="preserve"> (A. Dupuis, Alaska Department of Fish and Game, personal communication, August 19, 2024).</w:t>
      </w:r>
    </w:p>
    <w:p w14:paraId="31C0E635" w14:textId="126A27BC" w:rsidR="00670218" w:rsidRDefault="007C46E2" w:rsidP="00E67B7D">
      <w:pPr>
        <w:spacing w:after="0" w:line="480" w:lineRule="auto"/>
        <w:ind w:firstLine="720"/>
      </w:pPr>
      <w:r>
        <w:lastRenderedPageBreak/>
        <w:t>In addition to these aerial surveys, SJH files annual reports with ADFG</w:t>
      </w:r>
      <w:r w:rsidRPr="007C46E2">
        <w:t xml:space="preserve"> </w:t>
      </w:r>
      <w:r>
        <w:t>which include</w:t>
      </w:r>
      <w:r w:rsidRPr="007C46E2">
        <w:t xml:space="preserve"> the number of </w:t>
      </w:r>
      <w:r w:rsidR="00B85F4B">
        <w:t xml:space="preserve">juvenile </w:t>
      </w:r>
      <w:r w:rsidRPr="007C46E2">
        <w:t xml:space="preserve">salmon released, the number of hatchery-raised adult salmon which survive the marine environment, </w:t>
      </w:r>
      <w:r w:rsidR="00B85F4B">
        <w:t xml:space="preserve">based on </w:t>
      </w:r>
      <w:r w:rsidRPr="007C46E2">
        <w:t>the hatchery’s contributions to common property commercial</w:t>
      </w:r>
      <w:r w:rsidR="00B85F4B">
        <w:t xml:space="preserve">, </w:t>
      </w:r>
      <w:r w:rsidRPr="007C46E2">
        <w:t>sport and subsistence fisheries, and numbers of adult fish which return to the hatchery and are taken as cost recovery or as broodstock</w:t>
      </w:r>
      <w:r w:rsidR="007C003B">
        <w:t xml:space="preserve"> (L. Wilson, ADFG, personal communication, July 9, 2025)</w:t>
      </w:r>
      <w:r w:rsidRPr="007C46E2">
        <w:t>.</w:t>
      </w:r>
    </w:p>
    <w:p w14:paraId="6730D5E4" w14:textId="69C068C6"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w:t>
      </w:r>
      <w:r w:rsidR="00E67B7D">
        <w:t xml:space="preserve">include </w:t>
      </w:r>
      <w:r w:rsidR="00F26C13">
        <w:t>data on ocean climate in the form of PDO as recorded by the US National Oceanic and Atmospheric Administration (NOAA)</w:t>
      </w:r>
      <w:r w:rsidR="00E67B7D">
        <w:t xml:space="preserve"> to control for variations in the productivity of the marine ecosystems in which these fish matured</w:t>
      </w:r>
      <w:r w:rsidR="00F26C13">
        <w:t xml:space="preserve">.  </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7A745019"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A84C6B">
        <w:t>Annual abundance d</w:t>
      </w:r>
      <w:r w:rsidR="004D0A93">
        <w:t>ata are</w:t>
      </w:r>
      <w:r w:rsidR="00A84C6B">
        <w:t xml:space="preserve"> scaled by stream length (fish per km) and then</w:t>
      </w:r>
      <w:r w:rsidR="004D0A93">
        <w:t xml:space="preserve"> standardized at the stream level so that streams of varying available pink salmon habitat may be directly compared</w:t>
      </w:r>
      <w:r w:rsidR="00A84C6B">
        <w:t xml:space="preserve">. </w:t>
      </w:r>
      <w:r w:rsidR="00670218">
        <w:t xml:space="preserve">No </w:t>
      </w:r>
      <w:r w:rsidR="00391B74">
        <w:t xml:space="preserve">offset </w:t>
      </w:r>
      <w:r w:rsidR="008E2D13">
        <w:t>(</w:t>
      </w:r>
      <w:r w:rsidR="008E2D13" w:rsidRPr="00C64BF8">
        <w:rPr>
          <w:rFonts w:ascii="MathJax_Math-italic" w:eastAsia="Times New Roman" w:hAnsi="MathJax_Math-italic" w:cs="Times New Roman"/>
          <w:b/>
          <w:bCs/>
          <w:kern w:val="0"/>
          <w:sz w:val="26"/>
          <w:szCs w:val="26"/>
          <w:bdr w:val="none" w:sz="0" w:space="0" w:color="auto" w:frame="1"/>
          <w14:ligatures w14:val="none"/>
        </w:rPr>
        <w:t>a</w:t>
      </w:r>
      <w:r w:rsidR="008E2D13">
        <w:t>)</w:t>
      </w:r>
      <w:r w:rsidR="007B2A49">
        <w:t xml:space="preserve"> </w:t>
      </w:r>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B34CB3">
        <w:t>We are</w:t>
      </w:r>
      <w:r w:rsidR="009B64EB">
        <w:t xml:space="preserve"> able to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2" w:author="tquinn" w:date="2026-05-21T17:51:00Z" w16du:dateUtc="2026-05-22T00:51:00Z">
        <w:r w:rsidR="00F34AE7" w:rsidRPr="00F34AE7">
          <w:rPr>
            <w:highlight w:val="yellow"/>
            <w:rPrChange w:id="3" w:author="tquinn" w:date="2026-05-21T17:52:00Z" w16du:dateUtc="2026-05-22T00:52:00Z">
              <w:rPr/>
            </w:rPrChange>
          </w:rPr>
          <w:t xml:space="preserve">[I confess that I find this </w:t>
        </w:r>
      </w:ins>
      <w:ins w:id="4" w:author="tquinn" w:date="2026-05-21T17:52:00Z" w16du:dateUtc="2026-05-22T00:52:00Z">
        <w:r w:rsidR="00F34AE7" w:rsidRPr="00F34AE7">
          <w:rPr>
            <w:highlight w:val="yellow"/>
            <w:rPrChange w:id="5" w:author="tquinn" w:date="2026-05-21T17:52:00Z" w16du:dateUtc="2026-05-22T00:52:00Z">
              <w:rPr/>
            </w:rPrChange>
          </w:rPr>
          <w:t>very hard</w:t>
        </w:r>
      </w:ins>
      <w:ins w:id="6" w:author="tquinn" w:date="2026-05-21T17:51:00Z" w16du:dateUtc="2026-05-22T00:51:00Z">
        <w:r w:rsidR="00F34AE7" w:rsidRPr="00F34AE7">
          <w:rPr>
            <w:highlight w:val="yellow"/>
            <w:rPrChange w:id="7" w:author="tquinn" w:date="2026-05-21T17:52:00Z" w16du:dateUtc="2026-05-22T00:52:00Z">
              <w:rPr/>
            </w:rPrChange>
          </w:rPr>
          <w:t xml:space="preserve"> to follow. What, exactly, is the null and alternative hypothes</w:t>
        </w:r>
      </w:ins>
      <w:ins w:id="8" w:author="tquinn" w:date="2026-05-21T17:52:00Z" w16du:dateUtc="2026-05-22T00:52:00Z">
        <w:r w:rsidR="00F34AE7" w:rsidRPr="00F34AE7">
          <w:rPr>
            <w:highlight w:val="yellow"/>
            <w:rPrChange w:id="9" w:author="tquinn" w:date="2026-05-21T17:52:00Z" w16du:dateUtc="2026-05-22T00:52:00Z">
              <w:rPr/>
            </w:rPrChange>
          </w:rPr>
          <w:t>e</w:t>
        </w:r>
      </w:ins>
      <w:ins w:id="10" w:author="tquinn" w:date="2026-05-21T17:51:00Z" w16du:dateUtc="2026-05-22T00:51:00Z">
        <w:r w:rsidR="00F34AE7" w:rsidRPr="00F34AE7">
          <w:rPr>
            <w:highlight w:val="yellow"/>
            <w:rPrChange w:id="11" w:author="tquinn" w:date="2026-05-21T17:52:00Z" w16du:dateUtc="2026-05-22T00:52:00Z">
              <w:rPr/>
            </w:rPrChange>
          </w:rPr>
          <w:t>s or prediction</w:t>
        </w:r>
      </w:ins>
      <w:ins w:id="12" w:author="tquinn" w:date="2026-05-21T17:52:00Z" w16du:dateUtc="2026-05-22T00:52:00Z">
        <w:r w:rsidR="00F34AE7" w:rsidRPr="00F34AE7">
          <w:rPr>
            <w:highlight w:val="yellow"/>
            <w:rPrChange w:id="13" w:author="tquinn" w:date="2026-05-21T17:52:00Z" w16du:dateUtc="2026-05-22T00:52:00Z">
              <w:rPr/>
            </w:rPrChange>
          </w:rPr>
          <w:t>s</w:t>
        </w:r>
      </w:ins>
      <w:ins w:id="14" w:author="tquinn" w:date="2026-05-21T17:51:00Z" w16du:dateUtc="2026-05-22T00:51:00Z">
        <w:r w:rsidR="00F34AE7" w:rsidRPr="00F34AE7">
          <w:rPr>
            <w:highlight w:val="yellow"/>
            <w:rPrChange w:id="15" w:author="tquinn" w:date="2026-05-21T17:52:00Z" w16du:dateUtc="2026-05-22T00:52:00Z">
              <w:rPr/>
            </w:rPrChange>
          </w:rPr>
          <w:t xml:space="preserve"> being test</w:t>
        </w:r>
      </w:ins>
      <w:ins w:id="16" w:author="tquinn" w:date="2026-05-21T17:52:00Z" w16du:dateUtc="2026-05-22T00:52:00Z">
        <w:r w:rsidR="00F34AE7" w:rsidRPr="00F34AE7">
          <w:rPr>
            <w:highlight w:val="yellow"/>
            <w:rPrChange w:id="17"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0EBE0680" w:rsidR="00060EB8" w:rsidRDefault="00060EB8" w:rsidP="00060EB8">
      <w:pPr>
        <w:spacing w:after="0" w:line="480" w:lineRule="auto"/>
      </w:pPr>
      <w:r>
        <w:t>SJH hatchery operations beg</w:t>
      </w:r>
      <w:r w:rsidR="004328A6">
        <w:t>a</w:t>
      </w:r>
      <w:r>
        <w:t xml:space="preserve">n in 1975.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hatchery operations, 1975-2009 with low level operations, and post-2010 with high level operations (Stopha 2015). </w:t>
      </w:r>
    </w:p>
    <w:p w14:paraId="7F89A2B1" w14:textId="71111FED" w:rsidR="00060EB8" w:rsidRDefault="004328A6" w:rsidP="00BA6468">
      <w:pPr>
        <w:spacing w:after="0" w:line="480" w:lineRule="auto"/>
        <w:ind w:firstLine="720"/>
      </w:pPr>
      <w:r>
        <w:lastRenderedPageBreak/>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509259E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w:t>
      </w:r>
      <w:r>
        <w:lastRenderedPageBreak/>
        <w:t>groups, known as the parallel trends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 xml:space="preserve">imple </w:t>
      </w:r>
      <w:r w:rsidR="002A4213">
        <w:lastRenderedPageBreak/>
        <w:t>linear models to isolate the effect of Indian River on pink salmon abundances during pre-treatment periods, as illustrated below:</w:t>
      </w:r>
    </w:p>
    <w:p w14:paraId="3074EF8D" w14:textId="77777777" w:rsidR="002A4213" w:rsidRPr="00C138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
      </w:pPr>
      <w:r w:rsidRPr="00C138FB">
        <w:rPr>
          <w:rFonts w:ascii="MathJax_Math-italic" w:eastAsia="Times New Roman" w:hAnsi="MathJax_Math-italic" w:cs="Times New Roman"/>
          <w:kern w:val="0"/>
          <w:sz w:val="26"/>
          <w:szCs w:val="26"/>
          <w:bdr w:val="none" w:sz="0" w:space="0" w:color="auto" w:frame="1"/>
          <w:lang w:val="fr-FR"/>
          <w14:ligatures w14:val="none"/>
        </w:rPr>
        <w:t>y</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r w:rsidRPr="00C138FB">
        <w:rPr>
          <w:rFonts w:ascii="MathJax_Math-italic" w:eastAsia="Times New Roman" w:hAnsi="MathJax_Math-italic" w:cs="Times New Roman"/>
          <w:kern w:val="0"/>
          <w:sz w:val="26"/>
          <w:szCs w:val="26"/>
          <w:bdr w:val="none" w:sz="0" w:space="0" w:color="auto" w:frame="1"/>
          <w:lang w:val="fr-FR"/>
          <w14:ligatures w14:val="none"/>
        </w:rPr>
        <w:t xml:space="preserve">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0</w:t>
      </w:r>
      <w:r w:rsidRPr="00C138FB">
        <w:rPr>
          <w:rFonts w:ascii="MathJax_Main" w:eastAsia="Times New Roman" w:hAnsi="MathJax_Main" w:cs="Times New Roman"/>
          <w:kern w:val="0"/>
          <w:sz w:val="26"/>
          <w:szCs w:val="26"/>
          <w:bdr w:val="none" w:sz="0" w:space="0" w:color="auto" w:frame="1"/>
          <w:lang w:val="fr-FR"/>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1</w:t>
      </w:r>
      <w:r w:rsidRPr="00C138FB">
        <w:rPr>
          <w:rFonts w:ascii="MathJax_Math-italic" w:eastAsia="Times New Roman" w:hAnsi="MathJax_Math-italic" w:cs="Times New Roman"/>
          <w:kern w:val="0"/>
          <w:sz w:val="26"/>
          <w:szCs w:val="26"/>
          <w:bdr w:val="none" w:sz="0" w:space="0" w:color="auto" w:frame="1"/>
          <w:lang w:val="fr-FR"/>
          <w14:ligatures w14:val="none"/>
        </w:rPr>
        <w:t>D</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 xml:space="preserve">Indian River </w:t>
      </w:r>
      <w:r w:rsidRPr="00C138FB">
        <w:rPr>
          <w:rFonts w:ascii="MathJax_Main" w:eastAsia="Times New Roman" w:hAnsi="MathJax_Main" w:cs="Times New Roman"/>
          <w:kern w:val="0"/>
          <w:sz w:val="26"/>
          <w:szCs w:val="26"/>
          <w:bdr w:val="none" w:sz="0" w:space="0" w:color="auto" w:frame="1"/>
          <w:lang w:val="fr-FR"/>
          <w14:ligatures w14:val="none"/>
        </w:rPr>
        <w:t xml:space="preserve">+ </w:t>
      </w:r>
      <w:r w:rsidRPr="00C138FB">
        <w:rPr>
          <w:rFonts w:ascii="MathJax_Math-italic" w:eastAsia="Times New Roman" w:hAnsi="MathJax_Math-italic" w:cs="Times New Roman"/>
          <w:kern w:val="0"/>
          <w:sz w:val="26"/>
          <w:szCs w:val="26"/>
          <w:bdr w:val="none" w:sz="0" w:space="0" w:color="auto" w:frame="1"/>
          <w:lang w:val="fr-FR"/>
          <w14:ligatures w14:val="none"/>
        </w:rPr>
        <w:t>e</w:t>
      </w:r>
      <w:r w:rsidRPr="00C138FB">
        <w:rPr>
          <w:rFonts w:ascii="MathJax_Math-italic" w:eastAsia="Times New Roman" w:hAnsi="MathJax_Math-italic" w:cs="Times New Roman"/>
          <w:kern w:val="0"/>
          <w:sz w:val="26"/>
          <w:szCs w:val="26"/>
          <w:bdr w:val="none" w:sz="0" w:space="0" w:color="auto" w:frame="1"/>
          <w:vertAlign w:val="subscript"/>
          <w:lang w:val="fr-FR"/>
          <w14:ligatures w14:val="non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r w:rsidR="005B1CFB">
        <w:t xml:space="preserve">Parametric bootstrapping is employed to </w:t>
      </w:r>
      <w:r w:rsidR="005B1CFB">
        <w:lastRenderedPageBreak/>
        <w:t>construct confidence intervals around these parameter estimates.</w:t>
      </w:r>
      <w:ins w:id="18" w:author="tquinn" w:date="2026-05-22T10:29:00Z" w16du:dateUtc="2026-05-22T17:29:00Z">
        <w:r w:rsidR="00D55F31">
          <w:t xml:space="preserve"> </w:t>
        </w:r>
        <w:r w:rsidR="00D55F31" w:rsidRPr="00D55F31">
          <w:rPr>
            <w:highlight w:val="yellow"/>
            <w:rPrChange w:id="19" w:author="tquinn" w:date="2026-05-22T10:29:00Z" w16du:dateUtc="2026-05-22T17:29:00Z">
              <w:rPr/>
            </w:rPrChange>
          </w:rPr>
          <w:t>But Scott has data on straying from otolith analysis, and I thought the hatchery took a sample too. No?</w:t>
        </w:r>
      </w:ins>
    </w:p>
    <w:p w14:paraId="2090CCA8" w14:textId="7650F15E" w:rsidR="00670218" w:rsidRDefault="00741B88" w:rsidP="002B7623">
      <w:pPr>
        <w:spacing w:after="0" w:line="480" w:lineRule="auto"/>
        <w:ind w:firstLine="720"/>
      </w:pPr>
      <w:r>
        <w:t xml:space="preserve">The state of the hatchery must also be considered, as regardless of the previous brood year’s returns, </w:t>
      </w:r>
      <w:r w:rsidR="003D1AE8">
        <w:t xml:space="preserve">it is assumed that </w:t>
      </w:r>
      <w:r w:rsidRPr="003D1AE8">
        <w:t>the hatchery will release a number of smolts which is as close as possible to their permitted maximum.</w:t>
      </w:r>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13"/>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20"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7F0268D1"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w:t>
      </w:r>
      <w:r w:rsidR="001A405D">
        <w:lastRenderedPageBreak/>
        <w:t>average index stream, 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100684B6" w:rsidR="0067541D" w:rsidRDefault="00E06B80" w:rsidP="0067541D">
      <w:pPr>
        <w:spacing w:after="0" w:line="240" w:lineRule="auto"/>
        <w:ind w:left="-180"/>
        <w:jc w:val="center"/>
        <w:rPr>
          <w:i/>
          <w:iCs/>
          <w:sz w:val="20"/>
          <w:szCs w:val="20"/>
        </w:rPr>
      </w:pPr>
      <w:r w:rsidRPr="00E06B80">
        <w:rPr>
          <w:i/>
          <w:iCs/>
          <w:noProof/>
          <w:sz w:val="20"/>
          <w:szCs w:val="20"/>
        </w:rPr>
        <w:drawing>
          <wp:inline distT="0" distB="0" distL="0" distR="0" wp14:anchorId="558B30B6" wp14:editId="7423889F">
            <wp:extent cx="5943600" cy="2429510"/>
            <wp:effectExtent l="0" t="0" r="0" b="8890"/>
            <wp:doc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1770" name="Picture 1" descr="The table presents a comparison of AICc (Akaike Information Criterion corrected) values for different state models, including 3-state odd, 4-state, 2-state, and 3-state even, with associated evidence ratios and large numerical values for each model.&#10;&#10;AI-generated content may be incorrect."/>
                    <pic:cNvPicPr/>
                  </pic:nvPicPr>
                  <pic:blipFill>
                    <a:blip r:embed="rId15"/>
                    <a:stretch>
                      <a:fillRect/>
                    </a:stretch>
                  </pic:blipFill>
                  <pic:spPr>
                    <a:xfrm>
                      <a:off x="0" y="0"/>
                      <a:ext cx="5943600" cy="2429510"/>
                    </a:xfrm>
                    <a:prstGeom prst="rect">
                      <a:avLst/>
                    </a:prstGeom>
                  </pic:spPr>
                </pic:pic>
              </a:graphicData>
            </a:graphic>
          </wp:inline>
        </w:drawing>
      </w:r>
    </w:p>
    <w:p w14:paraId="6FDBA84E" w14:textId="179A6BFD" w:rsidR="0067541D" w:rsidRPr="00E06B80" w:rsidRDefault="0067541D" w:rsidP="0067541D">
      <w:pPr>
        <w:spacing w:after="0" w:line="240" w:lineRule="auto"/>
      </w:pPr>
      <w:r w:rsidRPr="00E06B80">
        <w:t>Table 1: Comparison of multi-state model specifications.</w:t>
      </w:r>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21" w:author="tquinn" w:date="2026-05-22T10:40:00Z" w16du:dateUtc="2026-05-22T17:40:00Z">
        <w:r w:rsidR="00727829">
          <w:t>[</w:t>
        </w:r>
        <w:r w:rsidR="00727829" w:rsidRPr="00727829">
          <w:rPr>
            <w:highlight w:val="yellow"/>
            <w:rPrChange w:id="22" w:author="tquinn" w:date="2026-05-22T10:41:00Z" w16du:dateUtc="2026-05-22T17:41:00Z">
              <w:rPr/>
            </w:rPrChange>
          </w:rPr>
          <w:t>Brian – this is to</w:t>
        </w:r>
      </w:ins>
      <w:ins w:id="23" w:author="tquinn" w:date="2026-05-22T10:41:00Z" w16du:dateUtc="2026-05-22T17:41:00Z">
        <w:r w:rsidR="00727829" w:rsidRPr="00727829">
          <w:rPr>
            <w:highlight w:val="yellow"/>
            <w:rPrChange w:id="24"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w:t>
      </w:r>
      <w:commentRangeStart w:id="25"/>
      <w:r>
        <w:t>0</w:t>
      </w:r>
      <w:ins w:id="26" w:author="tquinn" w:date="2026-05-22T10:45:00Z" w16du:dateUtc="2026-05-22T17:45:00Z">
        <w:r w:rsidR="00727829">
          <w:t xml:space="preserve"> [</w:t>
        </w:r>
        <w:r w:rsidR="00727829" w:rsidRPr="00727829">
          <w:rPr>
            <w:highlight w:val="yellow"/>
            <w:rPrChange w:id="27" w:author="tquinn" w:date="2026-05-22T10:45:00Z" w16du:dateUtc="2026-05-22T17:45:00Z">
              <w:rPr/>
            </w:rPrChange>
          </w:rPr>
          <w:t>but the Methods section says 1975 so be consistent on this</w:t>
        </w:r>
        <w:r w:rsidR="00727829">
          <w:t>]</w:t>
        </w:r>
      </w:ins>
      <w:r>
        <w:t xml:space="preserve">, </w:t>
      </w:r>
      <w:commentRangeEnd w:id="25"/>
      <w:r w:rsidR="00C56516">
        <w:rPr>
          <w:rStyle w:val="CommentReference"/>
          <w:sz w:val="24"/>
          <w:szCs w:val="24"/>
        </w:rPr>
        <w:commentReference w:id="25"/>
      </w:r>
      <w:r>
        <w:t xml:space="preserve">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25FCB69C" w14:textId="08256826" w:rsidR="004D6698" w:rsidRDefault="004D6698" w:rsidP="00A40D49">
      <w:pPr>
        <w:spacing w:after="0" w:line="480" w:lineRule="auto"/>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he river shows a significant positive effect on itself</w:t>
      </w:r>
      <w:r w:rsidR="00F75FA7">
        <w:t xml:space="preserve"> </w:t>
      </w:r>
      <w:r w:rsidR="006D7969">
        <w:t xml:space="preserve">for both odd- and even-year runs </w:t>
      </w:r>
      <w:r w:rsidR="00C56516">
        <w:t>(</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w:t>
      </w:r>
      <w:r w:rsidR="00C56516">
        <w:t xml:space="preserve">), meaning that the strongest predictor of </w:t>
      </w:r>
      <w:r w:rsidR="00F75FA7">
        <w:t xml:space="preserve">the size of an </w:t>
      </w:r>
      <w:r w:rsidR="00C56516">
        <w:t>Indian River pink salmon</w:t>
      </w:r>
      <w:r w:rsidR="00F75FA7">
        <w:t xml:space="preserve"> is the size of the run in the previous brood year</w:t>
      </w:r>
      <w:r w:rsidR="006D7969">
        <w:t xml:space="preserve">.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w:t>
      </w:r>
      <w:r w:rsidR="00675815">
        <w:lastRenderedPageBreak/>
        <w:t xml:space="preserve">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w:t>
      </w:r>
      <w:ins w:id="28" w:author="tquinn" w:date="2026-05-22T10:48:00Z" w16du:dateUtc="2026-05-22T17:48:00Z">
        <w:r w:rsidR="0040700C">
          <w:t xml:space="preserve"> [</w:t>
        </w:r>
        <w:r w:rsidR="0040700C" w:rsidRPr="0040700C">
          <w:rPr>
            <w:highlight w:val="yellow"/>
            <w:rPrChange w:id="29"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20"/>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0583B969">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E2786C" w:rsidRDefault="004D6698" w:rsidP="004D6698">
      <w:pPr>
        <w:spacing w:after="0" w:line="240" w:lineRule="auto"/>
      </w:pPr>
      <w:r w:rsidRPr="00E2786C">
        <w:t xml:space="preserve">Figure </w:t>
      </w:r>
      <w:r w:rsidR="00756C35" w:rsidRPr="00E2786C">
        <w:t>4</w:t>
      </w:r>
      <w:r w:rsidRPr="00E2786C">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30" w:author="tquinn" w:date="2026-05-22T10:49:00Z" w16du:dateUtc="2026-05-22T17:49:00Z">
        <w:r w:rsidRPr="0040700C">
          <w:rPr>
            <w:highlight w:val="yellow"/>
            <w:rPrChange w:id="31"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32" w:author="tquinn" w:date="2026-05-22T10:50:00Z" w16du:dateUtc="2026-05-22T17:50:00Z">
        <w:r w:rsidRPr="0040700C">
          <w:rPr>
            <w:highlight w:val="yellow"/>
            <w:rPrChange w:id="33" w:author="tquinn" w:date="2026-05-22T10:52:00Z" w16du:dateUtc="2026-05-22T17:52:00Z">
              <w:rPr/>
            </w:rPrChange>
          </w:rPr>
          <w:t>. Going back into the Introduction themes leaves the reader unsure what the true outcome was</w:t>
        </w:r>
      </w:ins>
      <w:ins w:id="34" w:author="tquinn" w:date="2026-05-22T10:53:00Z" w16du:dateUtc="2026-05-22T17:53:00Z">
        <w:r>
          <w:rPr>
            <w:highlight w:val="yellow"/>
          </w:rPr>
          <w:t xml:space="preserve">, and I am </w:t>
        </w:r>
      </w:ins>
      <w:ins w:id="35" w:author="tquinn" w:date="2026-05-22T10:54:00Z" w16du:dateUtc="2026-05-22T17:54:00Z">
        <w:r>
          <w:rPr>
            <w:highlight w:val="yellow"/>
          </w:rPr>
          <w:t>not at all sure</w:t>
        </w:r>
      </w:ins>
      <w:ins w:id="36" w:author="tquinn" w:date="2026-05-22T10:50:00Z" w16du:dateUtc="2026-05-22T17:50:00Z">
        <w:r w:rsidRPr="0040700C">
          <w:rPr>
            <w:highlight w:val="yellow"/>
            <w:rPrChange w:id="37" w:author="tquinn" w:date="2026-05-22T10:52:00Z" w16du:dateUtc="2026-05-22T17:52:00Z">
              <w:rPr/>
            </w:rPrChange>
          </w:rPr>
          <w:t>. Once we all know that, then you w</w:t>
        </w:r>
      </w:ins>
      <w:ins w:id="38" w:author="tquinn" w:date="2026-05-22T10:51:00Z" w16du:dateUtc="2026-05-22T17:51:00Z">
        <w:r w:rsidRPr="0040700C">
          <w:rPr>
            <w:highlight w:val="yellow"/>
            <w:rPrChange w:id="39"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40" w:author="tquinn" w:date="2026-05-22T10:52:00Z" w16du:dateUtc="2026-05-22T17:52:00Z">
        <w:r w:rsidRPr="0040700C">
          <w:rPr>
            <w:highlight w:val="yellow"/>
            <w:rPrChange w:id="41"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42" w:author="tquinn" w:date="2026-05-22T16:34:00Z" w16du:dateUtc="2026-05-22T23:34:00Z">
        <w:r w:rsidR="00BC0FF4">
          <w:t>[</w:t>
        </w:r>
        <w:r w:rsidR="00BC0FF4" w:rsidRPr="00BC0FF4">
          <w:rPr>
            <w:highlight w:val="yellow"/>
            <w:rPrChange w:id="43"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44" w:author="tquinn" w:date="2026-05-22T11:01:00Z" w16du:dateUtc="2026-05-22T18:01:00Z">
        <w:r w:rsidR="001F486D" w:rsidRPr="001F486D">
          <w:rPr>
            <w:highlight w:val="yellow"/>
            <w:rPrChange w:id="45"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46" w:author="tquinn" w:date="2026-05-22T16:38:00Z" w16du:dateUtc="2026-05-22T23:38:00Z">
        <w:r w:rsidR="00BC0FF4">
          <w:t xml:space="preserve"> [</w:t>
        </w:r>
        <w:r w:rsidR="00BC0FF4" w:rsidRPr="00BC0FF4">
          <w:rPr>
            <w:highlight w:val="yellow"/>
            <w:rPrChange w:id="47"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48" w:author="tquinn" w:date="2026-05-22T16:39:00Z" w16du:dateUtc="2026-05-22T23:39:00Z">
        <w:r w:rsidR="00BC0FF4" w:rsidRPr="00BC0FF4">
          <w:rPr>
            <w:highlight w:val="yellow"/>
            <w:rPrChange w:id="49"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50" w:author="tquinn" w:date="2026-05-22T16:59:00Z" w16du:dateUtc="2026-05-22T23:59:00Z">
        <w:r w:rsidR="00963BAF" w:rsidRPr="00963BAF">
          <w:rPr>
            <w:highlight w:val="yellow"/>
            <w:rPrChange w:id="51" w:author="tquinn" w:date="2026-05-22T17:00:00Z" w16du:dateUtc="2026-05-23T00:00:00Z">
              <w:rPr/>
            </w:rPrChange>
          </w:rPr>
          <w:t>[in what way</w:t>
        </w:r>
      </w:ins>
      <w:ins w:id="52"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53" w:author="tquinn" w:date="2026-05-22T17:13:00Z" w16du:dateUtc="2026-05-23T00:13:00Z">
        <w:r w:rsidR="006068A3">
          <w:t>[</w:t>
        </w:r>
      </w:ins>
      <w:ins w:id="54" w:author="tquinn" w:date="2026-05-22T17:14:00Z" w16du:dateUtc="2026-05-23T00:14:00Z">
        <w:r w:rsidR="006068A3">
          <w:t>H</w:t>
        </w:r>
      </w:ins>
      <w:ins w:id="55" w:author="tquinn" w:date="2026-05-22T17:13:00Z" w16du:dateUtc="2026-05-23T00:13:00Z">
        <w:r w:rsidR="006068A3">
          <w:t xml:space="preserve">as this </w:t>
        </w:r>
      </w:ins>
      <w:ins w:id="56" w:author="tquinn" w:date="2026-05-22T17:14:00Z" w16du:dateUtc="2026-05-23T00:14:00Z">
        <w:r w:rsidR="006068A3">
          <w:t xml:space="preserve">method </w:t>
        </w:r>
      </w:ins>
      <w:ins w:id="57" w:author="tquinn" w:date="2026-05-22T17:13:00Z" w16du:dateUtc="2026-05-23T00:13:00Z">
        <w:r w:rsidR="006068A3">
          <w:t>been described and the results presented?</w:t>
        </w:r>
      </w:ins>
      <w:ins w:id="58"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rsidP="00E2786C">
      <w:pPr>
        <w:suppressLineNumbers/>
        <w:spacing w:after="0" w:line="48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9"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20" w:history="1">
        <w:r w:rsidRPr="007B1A5E">
          <w:rPr>
            <w:rStyle w:val="Hyperlink"/>
          </w:rPr>
          <w:t>https://mtalab.adfg.alaska.gov/OTO/marking.aspx</w:t>
        </w:r>
      </w:hyperlink>
      <w:r>
        <w:t xml:space="preserve"> (accessed December 14, 2024)</w:t>
      </w:r>
    </w:p>
    <w:p w14:paraId="2D47526E" w14:textId="55C91802" w:rsidR="00267F5F" w:rsidRPr="008E2D13" w:rsidRDefault="00267F5F" w:rsidP="000F7853">
      <w:pPr>
        <w:spacing w:line="240" w:lineRule="auto"/>
        <w:ind w:left="720" w:hanging="720"/>
      </w:pPr>
      <w:r w:rsidRPr="008E2D13">
        <w:t xml:space="preserve">Anderson, J. H., G. R. Pess, R. W. Carmichael, M. J. Ford, T. D. Cooney, C. M. Baldwin, and M. M. McClure. </w:t>
      </w:r>
      <w:r w:rsidR="003A279D" w:rsidRPr="008E2D13">
        <w:t xml:space="preserve">2014. </w:t>
      </w:r>
      <w:r w:rsidRPr="008E2D13">
        <w:t xml:space="preserve">Planning Pacific Salmon and </w:t>
      </w:r>
      <w:r w:rsidR="000500DD" w:rsidRPr="008E2D13">
        <w:t>s</w:t>
      </w:r>
      <w:r w:rsidRPr="008E2D13">
        <w:t xml:space="preserve">teelhead </w:t>
      </w:r>
      <w:r w:rsidR="000500DD" w:rsidRPr="008E2D13">
        <w:t>r</w:t>
      </w:r>
      <w:r w:rsidRPr="008E2D13">
        <w:t xml:space="preserve">eintroductions </w:t>
      </w:r>
      <w:r w:rsidR="000500DD" w:rsidRPr="008E2D13">
        <w:t>a</w:t>
      </w:r>
      <w:r w:rsidRPr="008E2D13">
        <w:t xml:space="preserve">imed at </w:t>
      </w:r>
      <w:r w:rsidR="000500DD" w:rsidRPr="008E2D13">
        <w:t>l</w:t>
      </w:r>
      <w:r w:rsidRPr="008E2D13">
        <w:t>ong-</w:t>
      </w:r>
      <w:r w:rsidR="000500DD" w:rsidRPr="008E2D13">
        <w:t>t</w:t>
      </w:r>
      <w:r w:rsidRPr="008E2D13">
        <w:t xml:space="preserve">erm </w:t>
      </w:r>
      <w:r w:rsidR="000500DD" w:rsidRPr="008E2D13">
        <w:t>v</w:t>
      </w:r>
      <w:r w:rsidRPr="008E2D13">
        <w:t xml:space="preserve">iability and </w:t>
      </w:r>
      <w:r w:rsidR="000500DD" w:rsidRPr="008E2D13">
        <w:t>r</w:t>
      </w:r>
      <w:r w:rsidRPr="008E2D13">
        <w:t xml:space="preserve">ecovery. </w:t>
      </w:r>
      <w:r w:rsidR="003A279D" w:rsidRPr="008E2D13">
        <w:rPr>
          <w:i/>
          <w:iCs/>
        </w:rPr>
        <w:t xml:space="preserve">North American Journal of Fisheries Management </w:t>
      </w:r>
      <w:r w:rsidR="003A279D" w:rsidRPr="008E2D13">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08CCBAF4" w14:textId="45EBB1CF" w:rsidR="00160615" w:rsidRPr="00160615" w:rsidRDefault="00160615" w:rsidP="009D55B2">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21"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lastRenderedPageBreak/>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8E2D13" w:rsidRDefault="00282BCA" w:rsidP="000F7853">
      <w:pPr>
        <w:spacing w:line="240" w:lineRule="auto"/>
        <w:ind w:left="720" w:hanging="720"/>
      </w:pPr>
      <w:r w:rsidRPr="008E2D13">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sidRPr="008E2D13">
        <w:rPr>
          <w:i/>
          <w:iCs/>
        </w:rPr>
        <w:t>Royal Society Open Science</w:t>
      </w:r>
      <w:r w:rsidRPr="008E2D13">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Pr="008E2D13" w:rsidRDefault="006F23FA" w:rsidP="00AF5677">
      <w:pPr>
        <w:spacing w:line="240" w:lineRule="auto"/>
        <w:ind w:left="720" w:hanging="720"/>
      </w:pPr>
      <w:r w:rsidRPr="008E2D13">
        <w:t xml:space="preserve">McMillan, J. R., B. Morrison, N. Chambers, G. Ruggerone, L. Bernatchez, J. Stanford, and H. Neville. 2023. A global synthesis of peer-reviewed research on the effects of hatchery salmonids on wild salmonids. </w:t>
      </w:r>
      <w:r w:rsidRPr="008E2D13">
        <w:rPr>
          <w:i/>
          <w:iCs/>
        </w:rPr>
        <w:t xml:space="preserve">Fisheries Management and Ecology </w:t>
      </w:r>
      <w:r w:rsidRPr="008E2D13">
        <w:t>30(5): 446-463.</w:t>
      </w:r>
      <w:r w:rsidR="000F7853" w:rsidRPr="008E2D13">
        <w:t xml:space="preserve">  </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57980AF5" w:rsidR="00C13D3C" w:rsidRDefault="00CF4F29" w:rsidP="00C13D3C">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r w:rsidR="00C13D3C">
        <w:t xml:space="preserve">National Park Service. 2023. Reducing deer numbers and removing invasive plants are key to long term forest health. Available at: </w:t>
      </w:r>
      <w:hyperlink r:id="rId22" w:history="1">
        <w:r w:rsidR="00C13D3C" w:rsidRPr="00566B2A">
          <w:rPr>
            <w:rStyle w:val="Hyperlink"/>
          </w:rPr>
          <w:t>https://www.nps.gov/cato/learn/news/reducing-deer-numbers-and-removing-invasive-plants-are-key-to-long-term-forest-health.htm</w:t>
        </w:r>
      </w:hyperlink>
      <w:r w:rsidR="00C13D3C">
        <w:t xml:space="preserve"> (accessed March </w:t>
      </w:r>
      <w:r w:rsidR="00774006">
        <w:t>17</w:t>
      </w:r>
      <w:r w:rsidR="00C13D3C">
        <w:t>, 2026)</w:t>
      </w:r>
    </w:p>
    <w:p w14:paraId="0C798D7A" w14:textId="57DAFC96" w:rsidR="000F7853" w:rsidRDefault="000F7853" w:rsidP="000F7853">
      <w:pPr>
        <w:spacing w:line="240" w:lineRule="auto"/>
        <w:ind w:left="720" w:hanging="720"/>
      </w:pPr>
      <w:r>
        <w:t>National Park Service. 2025</w:t>
      </w:r>
      <w:r w:rsidR="00CF558E">
        <w:t>a</w:t>
      </w:r>
      <w:r>
        <w:t xml:space="preserve">. Organic Act of 1916. Available at: </w:t>
      </w:r>
      <w:hyperlink r:id="rId23"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4"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lastRenderedPageBreak/>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409E118B" w14:textId="77777777" w:rsidR="0007102E" w:rsidRDefault="00310948" w:rsidP="000F7853">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40E8DE1F" w:rsidR="000F7853" w:rsidRDefault="000F7853" w:rsidP="000F7853">
      <w:pPr>
        <w:spacing w:line="240" w:lineRule="auto"/>
        <w:ind w:left="720" w:hanging="720"/>
        <w:rPr>
          <w:rFonts w:cstheme="minorHAnsi"/>
        </w:rPr>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786B8966" w14:textId="4FD4C8FF" w:rsidR="0007102E" w:rsidRPr="005810E6" w:rsidRDefault="0007102E" w:rsidP="0007102E">
      <w:pPr>
        <w:spacing w:line="240" w:lineRule="auto"/>
        <w:ind w:left="720" w:hanging="720"/>
      </w:pPr>
      <w:r>
        <w:t xml:space="preserve">Sergeant, C. J. 2018. Future Challenges for Salmon and the Freshwater Ecosystems of Southeast Alaska. </w:t>
      </w:r>
      <w:r>
        <w:rPr>
          <w:i/>
          <w:iCs/>
        </w:rPr>
        <w:t xml:space="preserve">Alaska Park Science </w:t>
      </w:r>
      <w:r>
        <w:t xml:space="preserve">17(1): 41-47. </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ian E McGreal" w:date="2026-06-12T13:46:00Z" w:initials="BM">
    <w:p w14:paraId="2CCE9B09" w14:textId="77777777" w:rsidR="00FC6E80" w:rsidRDefault="00FC6E80" w:rsidP="007A7169">
      <w:pPr>
        <w:pStyle w:val="CommentText"/>
      </w:pPr>
      <w:r>
        <w:rPr>
          <w:rStyle w:val="CommentReference"/>
        </w:rPr>
        <w:annotationRef/>
      </w:r>
      <w:r>
        <w:t>Tom struck this and I’m not quite sure why..</w:t>
      </w:r>
    </w:p>
  </w:comment>
  <w:comment w:id="25" w:author="Brian E McGreal" w:date="2026-06-05T18:19:00Z" w:initials="BM">
    <w:p w14:paraId="27D5BA5C" w14:textId="77777777" w:rsidR="00C56516" w:rsidRDefault="00C56516" w:rsidP="00C56516">
      <w:pPr>
        <w:pStyle w:val="CommentText"/>
      </w:pPr>
      <w:r>
        <w:rPr>
          <w:rStyle w:val="CommentReference"/>
        </w:rPr>
        <w:annotationRef/>
      </w:r>
      <w:r>
        <w:t>Making adjustments here because tom is right. The first impacted years should be 1977 and 1978. HOWEVER, I’ll wait until I meet with mark to talk about the MARSS BACI approach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CE9B09" w15:done="0"/>
  <w15:commentEx w15:paraId="27D5BA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D21039" w16cex:dateUtc="2026-06-12T20:46:00Z"/>
  <w16cex:commentExtensible w16cex:durableId="052C9960" w16cex:dateUtc="2026-06-06T0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CE9B09" w16cid:durableId="1DD21039"/>
  <w16cid:commentId w16cid:paraId="27D5BA5C" w16cid:durableId="052C99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58C6D" w14:textId="77777777" w:rsidR="00613C28" w:rsidRDefault="00613C28" w:rsidP="00256380">
      <w:pPr>
        <w:spacing w:after="0" w:line="240" w:lineRule="auto"/>
      </w:pPr>
      <w:r>
        <w:separator/>
      </w:r>
    </w:p>
  </w:endnote>
  <w:endnote w:type="continuationSeparator" w:id="0">
    <w:p w14:paraId="7459560D" w14:textId="77777777" w:rsidR="00613C28" w:rsidRDefault="00613C28"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B14B" w14:textId="77777777" w:rsidR="00613C28" w:rsidRDefault="00613C28" w:rsidP="00256380">
      <w:pPr>
        <w:spacing w:after="0" w:line="240" w:lineRule="auto"/>
      </w:pPr>
      <w:r>
        <w:separator/>
      </w:r>
    </w:p>
  </w:footnote>
  <w:footnote w:type="continuationSeparator" w:id="0">
    <w:p w14:paraId="33614752" w14:textId="77777777" w:rsidR="00613C28" w:rsidRDefault="00613C28"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102E"/>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21D"/>
    <w:rsid w:val="000F7853"/>
    <w:rsid w:val="00105DEF"/>
    <w:rsid w:val="00106EE6"/>
    <w:rsid w:val="001111B6"/>
    <w:rsid w:val="00112BBF"/>
    <w:rsid w:val="00114A77"/>
    <w:rsid w:val="00115D83"/>
    <w:rsid w:val="00121CF4"/>
    <w:rsid w:val="001262D0"/>
    <w:rsid w:val="001370D1"/>
    <w:rsid w:val="00143CB9"/>
    <w:rsid w:val="001509D8"/>
    <w:rsid w:val="00160615"/>
    <w:rsid w:val="00186361"/>
    <w:rsid w:val="001873F6"/>
    <w:rsid w:val="0019013C"/>
    <w:rsid w:val="00197700"/>
    <w:rsid w:val="00197BE2"/>
    <w:rsid w:val="001A405D"/>
    <w:rsid w:val="001A6AA2"/>
    <w:rsid w:val="001B7645"/>
    <w:rsid w:val="001C7DF8"/>
    <w:rsid w:val="001D457C"/>
    <w:rsid w:val="001D51EA"/>
    <w:rsid w:val="001D5683"/>
    <w:rsid w:val="001D716E"/>
    <w:rsid w:val="001E1035"/>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C6021"/>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2418"/>
    <w:rsid w:val="003542B1"/>
    <w:rsid w:val="003633DB"/>
    <w:rsid w:val="0036701C"/>
    <w:rsid w:val="00367E5F"/>
    <w:rsid w:val="003762F2"/>
    <w:rsid w:val="00376A4E"/>
    <w:rsid w:val="003772FF"/>
    <w:rsid w:val="00383E1E"/>
    <w:rsid w:val="00390EEE"/>
    <w:rsid w:val="00391B74"/>
    <w:rsid w:val="003A07E0"/>
    <w:rsid w:val="003A279D"/>
    <w:rsid w:val="003B19C7"/>
    <w:rsid w:val="003B4882"/>
    <w:rsid w:val="003B6985"/>
    <w:rsid w:val="003B7704"/>
    <w:rsid w:val="003C5745"/>
    <w:rsid w:val="003C6E79"/>
    <w:rsid w:val="003C77AC"/>
    <w:rsid w:val="003D1AE8"/>
    <w:rsid w:val="003D1E65"/>
    <w:rsid w:val="003D5D39"/>
    <w:rsid w:val="003F0146"/>
    <w:rsid w:val="00402DA4"/>
    <w:rsid w:val="004040BD"/>
    <w:rsid w:val="00405742"/>
    <w:rsid w:val="0040700C"/>
    <w:rsid w:val="00412816"/>
    <w:rsid w:val="00414541"/>
    <w:rsid w:val="004217D3"/>
    <w:rsid w:val="00421CE7"/>
    <w:rsid w:val="00427DB5"/>
    <w:rsid w:val="004327DF"/>
    <w:rsid w:val="004328A6"/>
    <w:rsid w:val="00460B8F"/>
    <w:rsid w:val="00464050"/>
    <w:rsid w:val="00470F5B"/>
    <w:rsid w:val="00494B76"/>
    <w:rsid w:val="004A1DBD"/>
    <w:rsid w:val="004B019B"/>
    <w:rsid w:val="004B0CE8"/>
    <w:rsid w:val="004B213C"/>
    <w:rsid w:val="004B21F9"/>
    <w:rsid w:val="004C58F2"/>
    <w:rsid w:val="004D0A93"/>
    <w:rsid w:val="004D0C78"/>
    <w:rsid w:val="004D6698"/>
    <w:rsid w:val="004F779B"/>
    <w:rsid w:val="005033DC"/>
    <w:rsid w:val="005078EE"/>
    <w:rsid w:val="00510E38"/>
    <w:rsid w:val="00513790"/>
    <w:rsid w:val="00513D95"/>
    <w:rsid w:val="005227E4"/>
    <w:rsid w:val="005306BE"/>
    <w:rsid w:val="005363D0"/>
    <w:rsid w:val="00540767"/>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4C4C"/>
    <w:rsid w:val="005D5E6A"/>
    <w:rsid w:val="005E0D2D"/>
    <w:rsid w:val="005E3E9B"/>
    <w:rsid w:val="005F56EA"/>
    <w:rsid w:val="005F6F08"/>
    <w:rsid w:val="006002FE"/>
    <w:rsid w:val="00601D9F"/>
    <w:rsid w:val="006055F1"/>
    <w:rsid w:val="00606257"/>
    <w:rsid w:val="006068A3"/>
    <w:rsid w:val="00606949"/>
    <w:rsid w:val="006078D8"/>
    <w:rsid w:val="00612D9D"/>
    <w:rsid w:val="00613C28"/>
    <w:rsid w:val="00614AD3"/>
    <w:rsid w:val="00614E66"/>
    <w:rsid w:val="006178EC"/>
    <w:rsid w:val="00625D54"/>
    <w:rsid w:val="00626338"/>
    <w:rsid w:val="0063158E"/>
    <w:rsid w:val="00633AFA"/>
    <w:rsid w:val="00646B5B"/>
    <w:rsid w:val="00647DF2"/>
    <w:rsid w:val="00651658"/>
    <w:rsid w:val="00654605"/>
    <w:rsid w:val="00660262"/>
    <w:rsid w:val="0066309C"/>
    <w:rsid w:val="00666290"/>
    <w:rsid w:val="00670218"/>
    <w:rsid w:val="00672EBC"/>
    <w:rsid w:val="006745B4"/>
    <w:rsid w:val="0067541D"/>
    <w:rsid w:val="00675815"/>
    <w:rsid w:val="006827E0"/>
    <w:rsid w:val="00693FA0"/>
    <w:rsid w:val="006A0FFE"/>
    <w:rsid w:val="006B062A"/>
    <w:rsid w:val="006B1A2E"/>
    <w:rsid w:val="006B5A94"/>
    <w:rsid w:val="006C6D25"/>
    <w:rsid w:val="006D44E1"/>
    <w:rsid w:val="006D7969"/>
    <w:rsid w:val="006E0493"/>
    <w:rsid w:val="006E6B42"/>
    <w:rsid w:val="006F23FA"/>
    <w:rsid w:val="006F4BBF"/>
    <w:rsid w:val="00716B1F"/>
    <w:rsid w:val="00723599"/>
    <w:rsid w:val="00726626"/>
    <w:rsid w:val="00727829"/>
    <w:rsid w:val="00731AF8"/>
    <w:rsid w:val="00734A33"/>
    <w:rsid w:val="00737D2B"/>
    <w:rsid w:val="00740E18"/>
    <w:rsid w:val="00741B88"/>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2D13"/>
    <w:rsid w:val="008E583F"/>
    <w:rsid w:val="008E7DF4"/>
    <w:rsid w:val="008F33A8"/>
    <w:rsid w:val="0090005E"/>
    <w:rsid w:val="009056D1"/>
    <w:rsid w:val="0091309E"/>
    <w:rsid w:val="0092693F"/>
    <w:rsid w:val="00931642"/>
    <w:rsid w:val="0093424C"/>
    <w:rsid w:val="0093781E"/>
    <w:rsid w:val="00942F0B"/>
    <w:rsid w:val="009461CF"/>
    <w:rsid w:val="00953281"/>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4C6B"/>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8FB"/>
    <w:rsid w:val="00C13D3C"/>
    <w:rsid w:val="00C16190"/>
    <w:rsid w:val="00C3066D"/>
    <w:rsid w:val="00C45B4E"/>
    <w:rsid w:val="00C56516"/>
    <w:rsid w:val="00C60F0A"/>
    <w:rsid w:val="00C61B5A"/>
    <w:rsid w:val="00C64BF8"/>
    <w:rsid w:val="00C66ED1"/>
    <w:rsid w:val="00C80629"/>
    <w:rsid w:val="00C874A9"/>
    <w:rsid w:val="00C92B7C"/>
    <w:rsid w:val="00C9797F"/>
    <w:rsid w:val="00CA65D7"/>
    <w:rsid w:val="00CB6AB1"/>
    <w:rsid w:val="00CC7AA4"/>
    <w:rsid w:val="00CD3E62"/>
    <w:rsid w:val="00CD58A3"/>
    <w:rsid w:val="00CD66B9"/>
    <w:rsid w:val="00CE0F1A"/>
    <w:rsid w:val="00CE633A"/>
    <w:rsid w:val="00CF3ACC"/>
    <w:rsid w:val="00CF4F29"/>
    <w:rsid w:val="00CF558E"/>
    <w:rsid w:val="00D011BB"/>
    <w:rsid w:val="00D15E91"/>
    <w:rsid w:val="00D362A0"/>
    <w:rsid w:val="00D368CD"/>
    <w:rsid w:val="00D41226"/>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3E8"/>
    <w:rsid w:val="00DF0566"/>
    <w:rsid w:val="00DF0BFE"/>
    <w:rsid w:val="00DF38BD"/>
    <w:rsid w:val="00DF7AE5"/>
    <w:rsid w:val="00E06B80"/>
    <w:rsid w:val="00E06BFE"/>
    <w:rsid w:val="00E26A22"/>
    <w:rsid w:val="00E2786C"/>
    <w:rsid w:val="00E33ABF"/>
    <w:rsid w:val="00E458B3"/>
    <w:rsid w:val="00E47684"/>
    <w:rsid w:val="00E55CCF"/>
    <w:rsid w:val="00E64ABF"/>
    <w:rsid w:val="00E65279"/>
    <w:rsid w:val="00E65F33"/>
    <w:rsid w:val="00E67B7D"/>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75FA7"/>
    <w:rsid w:val="00F8028C"/>
    <w:rsid w:val="00F8072F"/>
    <w:rsid w:val="00F90233"/>
    <w:rsid w:val="00F9527E"/>
    <w:rsid w:val="00FA3D5B"/>
    <w:rsid w:val="00FA6A18"/>
    <w:rsid w:val="00FA7FF3"/>
    <w:rsid w:val="00FB4201"/>
    <w:rsid w:val="00FC2324"/>
    <w:rsid w:val="00FC6E80"/>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doi.gov/ocl/hearings/111/MountainPineBeetle_061609" TargetMode="Externa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mtalab.adfg.alaska.gov/OTO/marking.aspx"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yperlink" Target="https://www.nps.gov/sitk/index.htm%20"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nps.gov/grba/learn/management/organic-act-of-1916.htm%20"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hyperlink" Target="https://www.nps.gov/cato/learn/news/reducing-deer-numbers-and-removing-invasive-plants-are-key-to-long-term-forest-health.htm"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6158</TotalTime>
  <Pages>35</Pages>
  <Words>8929</Words>
  <Characters>50896</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37</cp:revision>
  <dcterms:created xsi:type="dcterms:W3CDTF">2026-05-20T19:27:00Z</dcterms:created>
  <dcterms:modified xsi:type="dcterms:W3CDTF">2026-06-13T00:37:00Z</dcterms:modified>
</cp:coreProperties>
</file>