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D995C" w14:textId="77777777" w:rsidR="00B37910" w:rsidRPr="00B66BBC" w:rsidRDefault="00B37910" w:rsidP="00B37910">
      <w:pPr>
        <w:spacing w:after="0" w:line="480" w:lineRule="auto"/>
        <w:rPr>
          <w:b/>
          <w:bCs/>
          <w:u w:val="single"/>
        </w:rPr>
      </w:pPr>
      <w:r w:rsidRPr="00B66BBC">
        <w:rPr>
          <w:b/>
          <w:bCs/>
          <w:u w:val="single"/>
        </w:rPr>
        <w:t xml:space="preserve">Introduction </w:t>
      </w:r>
    </w:p>
    <w:p w14:paraId="4E7152A3" w14:textId="497DB3B8" w:rsidR="00B37910" w:rsidRDefault="00B37910" w:rsidP="00B37910">
      <w:pPr>
        <w:spacing w:after="0" w:line="480" w:lineRule="auto"/>
        <w:ind w:firstLine="720"/>
      </w:pPr>
      <w:r>
        <w:t xml:space="preserve">Conservation issues related to individual species are often the result of the scarcity of native plant or animal species or the abundance of non-native (exotic, invasive) species (Ellison et al. 2005, Gallardo et al. 2015, Jeschke et al. 2014). However, ecosystems can also be harmed by the hyperabundance of a native species, due either to shifting regional trends in habitat suitability, to direct (and often anthropogenic) intervention, or to a combination of these factors (Sambaraju and Goodsman 2021, Beckett et al. 2022, Moore et al. 2023). </w:t>
      </w:r>
      <w:r w:rsidR="000D31F2">
        <w:t>H</w:t>
      </w:r>
      <w:r w:rsidR="003E6E67">
        <w:t xml:space="preserve">yperabundance of native </w:t>
      </w:r>
      <w:r>
        <w:t>purple sea urchin (</w:t>
      </w:r>
      <w:r w:rsidRPr="00EF4CE3">
        <w:rPr>
          <w:i/>
          <w:iCs/>
        </w:rPr>
        <w:t>Strongylocentrotus purpuratus</w:t>
      </w:r>
      <w:r>
        <w:t>) in the northern Pacific Ocean</w:t>
      </w:r>
      <w:r w:rsidR="003E6E67">
        <w:t>, driven by the depletion of Pacific sea otter (</w:t>
      </w:r>
      <w:r w:rsidR="003E6E67" w:rsidRPr="005B3082">
        <w:rPr>
          <w:i/>
          <w:iCs/>
        </w:rPr>
        <w:t>Enhydra lutris</w:t>
      </w:r>
      <w:r w:rsidR="003E6E67">
        <w:t>) populations by the maritime fur trade,</w:t>
      </w:r>
      <w:r>
        <w:t xml:space="preserve"> </w:t>
      </w:r>
      <w:r w:rsidR="003E6E67">
        <w:t>has</w:t>
      </w:r>
      <w:r>
        <w:t xml:space="preserve"> led to the devastation of kelp (</w:t>
      </w:r>
      <w:r w:rsidRPr="00970BA1">
        <w:rPr>
          <w:i/>
          <w:iCs/>
        </w:rPr>
        <w:t>Macrocystis pyrifera</w:t>
      </w:r>
      <w:r>
        <w:t>) forests, critical ecosystems upon which countless marine species depend</w:t>
      </w:r>
      <w:r w:rsidR="003E6E67">
        <w:t xml:space="preserve"> (Estes 2015)</w:t>
      </w:r>
      <w:r>
        <w:t xml:space="preserve">. </w:t>
      </w:r>
      <w:r w:rsidR="003E6E67">
        <w:t>T</w:t>
      </w:r>
      <w:r>
        <w:t>he mountain pine beetle (</w:t>
      </w:r>
      <w:r>
        <w:rPr>
          <w:i/>
          <w:iCs/>
        </w:rPr>
        <w:t>Dendroctonus ponderosae</w:t>
      </w:r>
      <w:r>
        <w:t xml:space="preserve">), </w:t>
      </w:r>
      <w:r w:rsidR="003E6E67">
        <w:t xml:space="preserve">another hyperabundant species, </w:t>
      </w:r>
      <w:r>
        <w:t xml:space="preserve">has caused catastrophic destruction of coniferous forests throughout its native range, the Rocky Mountains. </w:t>
      </w:r>
      <w:r w:rsidR="003E6E67">
        <w:t>While in the past c</w:t>
      </w:r>
      <w:r>
        <w:t>old winter temperatures ha</w:t>
      </w:r>
      <w:r w:rsidR="003E6E67">
        <w:t>d</w:t>
      </w:r>
      <w:r>
        <w:t xml:space="preserve"> limited their numbers and, by extension, their impacts on Rocky Mountain forests</w:t>
      </w:r>
      <w:r w:rsidR="003E6E67">
        <w:t>,</w:t>
      </w:r>
      <w:r>
        <w:t xml:space="preserve"> shifting climate patterns have led to warmer winters and longer summers, </w:t>
      </w:r>
      <w:r w:rsidR="003E6E67">
        <w:t xml:space="preserve">allowing </w:t>
      </w:r>
      <w:r>
        <w:t xml:space="preserve">the mountain pine beetle </w:t>
      </w:r>
      <w:r w:rsidR="003E6E67">
        <w:t xml:space="preserve">to </w:t>
      </w:r>
      <w:r>
        <w:t>flourish</w:t>
      </w:r>
      <w:r w:rsidR="003E6E67">
        <w:t xml:space="preserve"> </w:t>
      </w:r>
      <w:r>
        <w:t xml:space="preserve">and in </w:t>
      </w:r>
      <w:r w:rsidR="003E6E67">
        <w:t>turn</w:t>
      </w:r>
      <w:r>
        <w:t xml:space="preserve"> </w:t>
      </w:r>
      <w:r w:rsidR="000D31F2">
        <w:t>devastate</w:t>
      </w:r>
      <w:r>
        <w:t xml:space="preserve"> large swathes of forest habitat in Canada and the US (Gibson et al. 2008). </w:t>
      </w:r>
    </w:p>
    <w:p w14:paraId="6D11C9FE" w14:textId="7423BA89" w:rsidR="00B37910" w:rsidRDefault="000D31F2" w:rsidP="000D31F2">
      <w:pPr>
        <w:spacing w:after="0" w:line="480" w:lineRule="auto"/>
        <w:ind w:firstLine="720"/>
      </w:pPr>
      <w:r>
        <w:t>When</w:t>
      </w:r>
      <w:r w:rsidR="00B37910">
        <w:t xml:space="preserve"> a native species</w:t>
      </w:r>
      <w:r>
        <w:t xml:space="preserve"> hyperabundance</w:t>
      </w:r>
      <w:r w:rsidR="00B37910">
        <w:t xml:space="preserve"> occurs within a conservation area, it may necessitate management actions to protect other species within the ecosystem. For example, the United States National Park Service (NPS) has operated under a mandate to “steward NPS resources for continuous change that is not yet fully understood, in order to </w:t>
      </w:r>
      <w:r w:rsidR="00B37910">
        <w:lastRenderedPageBreak/>
        <w:t>preserve ecological integrity</w:t>
      </w:r>
      <w:r>
        <w:t xml:space="preserve"> </w:t>
      </w:r>
      <w:r w:rsidR="00B37910">
        <w:t xml:space="preserve">…” (Colwell et al. 2012). For natural resources, particularly those that vary in space and time, the </w:t>
      </w:r>
      <w:r>
        <w:t xml:space="preserve">NPS </w:t>
      </w:r>
      <w:r w:rsidR="00B37910">
        <w:t xml:space="preserve">management target has historically been to maintain abundances within a ‘natural range of variation’ </w:t>
      </w:r>
      <w:r w:rsidR="00B37910">
        <w:rPr>
          <w:rFonts w:cstheme="minorHAnsi"/>
          <w:color w:val="202122"/>
          <w:shd w:val="clear" w:color="auto" w:fill="FFFFFF"/>
        </w:rPr>
        <w:t>(National Park Service 2025a)</w:t>
      </w:r>
      <w:r>
        <w:t xml:space="preserve">, but </w:t>
      </w:r>
      <w:r w:rsidR="00B37910">
        <w:t xml:space="preserve">the point at which the abundance of an endemic species exceeds the natural range of variation, thereby triggering a need for management action, can be difficult to ascertain. Park managers finding themselves confronted with such issues must make careful and informed decisions based on the best scientific information available as they seek to interpret and implement the mandate to preserve resources in a natural condition. Hyperabundant native species are not given anywhere near the same attention as invasive species in scientific literature, and identifying these instances as they occur is challenging (Valéry et al. 2013). While </w:t>
      </w:r>
      <w:r w:rsidR="00A93E86">
        <w:t xml:space="preserve">information regarding </w:t>
      </w:r>
      <w:r w:rsidR="00B37910">
        <w:t>historical presence, abundance, or range of a species is useful when available, these data are often non-existent or lacking (Carey et al. 2012).</w:t>
      </w:r>
    </w:p>
    <w:p w14:paraId="0FBD3695" w14:textId="77777777" w:rsidR="006F095A" w:rsidRDefault="00B37910" w:rsidP="00B37910">
      <w:pPr>
        <w:spacing w:after="0" w:line="480" w:lineRule="auto"/>
        <w:ind w:firstLine="720"/>
        <w:rPr>
          <w:rFonts w:cstheme="minorHAnsi"/>
          <w:color w:val="202122"/>
          <w:shd w:val="clear" w:color="auto" w:fill="FFFFFF"/>
        </w:rPr>
      </w:pPr>
      <w:r>
        <w:t xml:space="preserve">With these ideas in mind, our research is focused on pink salmon </w:t>
      </w:r>
      <w:r w:rsidRPr="00A017CB">
        <w:rPr>
          <w:rFonts w:cstheme="minorHAnsi"/>
          <w:color w:val="202122"/>
          <w:shd w:val="clear" w:color="auto" w:fill="FFFFFF"/>
        </w:rPr>
        <w:t>(</w:t>
      </w:r>
      <w:r w:rsidRPr="00A017CB">
        <w:rPr>
          <w:i/>
          <w:iCs/>
        </w:rPr>
        <w:t>Oncorhynchus</w:t>
      </w:r>
      <w:r w:rsidRPr="00A017CB">
        <w:rPr>
          <w:rFonts w:cstheme="minorHAnsi"/>
          <w:i/>
          <w:iCs/>
          <w:color w:val="202122"/>
          <w:shd w:val="clear" w:color="auto" w:fill="FFFFFF"/>
        </w:rPr>
        <w:t xml:space="preserve"> gorbuscha</w:t>
      </w:r>
      <w:r w:rsidRPr="00A017CB">
        <w:rPr>
          <w:rFonts w:cstheme="minorHAnsi"/>
          <w:color w:val="202122"/>
          <w:shd w:val="clear" w:color="auto" w:fill="FFFFFF"/>
        </w:rPr>
        <w:t>)</w:t>
      </w:r>
      <w:r w:rsidR="000D31F2">
        <w:rPr>
          <w:rFonts w:cstheme="minorHAnsi"/>
          <w:color w:val="202122"/>
          <w:shd w:val="clear" w:color="auto" w:fill="FFFFFF"/>
        </w:rPr>
        <w:t xml:space="preserve"> in </w:t>
      </w:r>
      <w:r w:rsidR="000D31F2">
        <w:t>Sitka National Historical Park (SITK), populations of which have undergone</w:t>
      </w:r>
      <w:r>
        <w:rPr>
          <w:rFonts w:cstheme="minorHAnsi"/>
          <w:color w:val="202122"/>
          <w:shd w:val="clear" w:color="auto" w:fill="FFFFFF"/>
        </w:rPr>
        <w:t xml:space="preserve"> dramatic increases in density in recent decades</w:t>
      </w:r>
      <w:r w:rsidR="000D31F2">
        <w:rPr>
          <w:rFonts w:cstheme="minorHAnsi"/>
          <w:color w:val="202122"/>
          <w:shd w:val="clear" w:color="auto" w:fill="FFFFFF"/>
        </w:rPr>
        <w:t>.</w:t>
      </w:r>
      <w:r>
        <w:t xml:space="preserve"> </w:t>
      </w:r>
      <w:r w:rsidR="00DB2392">
        <w:t>SITK</w:t>
      </w:r>
      <w:r>
        <w:t xml:space="preserve"> is a small (45 ha) coastal park in Sitka, Alaska</w:t>
      </w:r>
      <w:r w:rsidR="004E7B26">
        <w:t>, characterized by mature spruce-hemlock forests and the</w:t>
      </w:r>
      <w:r w:rsidR="004E7B26">
        <w:rPr>
          <w:rFonts w:cstheme="minorHAnsi"/>
          <w:color w:val="202122"/>
          <w:shd w:val="clear" w:color="auto" w:fill="FFFFFF"/>
        </w:rPr>
        <w:t xml:space="preserve"> </w:t>
      </w:r>
      <w:r w:rsidR="004E7B26">
        <w:t>Indian River (</w:t>
      </w:r>
      <w:r w:rsidR="004E7B26" w:rsidRPr="00A017CB">
        <w:rPr>
          <w:rFonts w:cstheme="minorHAnsi"/>
          <w:color w:val="202122"/>
          <w:u w:val="single"/>
          <w:shd w:val="clear" w:color="auto" w:fill="FFFFFF"/>
        </w:rPr>
        <w:t>K</w:t>
      </w:r>
      <w:r w:rsidR="004E7B26" w:rsidRPr="00A017CB">
        <w:rPr>
          <w:rFonts w:cstheme="minorHAnsi"/>
          <w:color w:val="202122"/>
          <w:shd w:val="clear" w:color="auto" w:fill="FFFFFF"/>
        </w:rPr>
        <w:t>aasda Héen</w:t>
      </w:r>
      <w:r w:rsidR="004E7B26">
        <w:rPr>
          <w:rFonts w:cstheme="minorHAnsi"/>
          <w:color w:val="202122"/>
          <w:shd w:val="clear" w:color="auto" w:fill="FFFFFF"/>
        </w:rPr>
        <w:t xml:space="preserve"> in Tlingit</w:t>
      </w:r>
      <w:r w:rsidR="004E7B26">
        <w:t>), the main reach and intertidal area of which fall within park boundaries</w:t>
      </w:r>
      <w:r w:rsidR="004E7B26" w:rsidRPr="00A017CB">
        <w:rPr>
          <w:rFonts w:cstheme="minorHAnsi"/>
          <w:color w:val="202122"/>
          <w:shd w:val="clear" w:color="auto" w:fill="FFFFFF"/>
        </w:rPr>
        <w:t xml:space="preserve"> </w:t>
      </w:r>
      <w:r w:rsidR="004E7B26">
        <w:t>(National Park Service 2025b)</w:t>
      </w:r>
      <w:r>
        <w:t xml:space="preserve">. </w:t>
      </w:r>
      <w:r w:rsidR="004E7B26" w:rsidRPr="00A017CB">
        <w:rPr>
          <w:rFonts w:cstheme="minorHAnsi"/>
          <w:color w:val="202122"/>
          <w:shd w:val="clear" w:color="auto" w:fill="FFFFFF"/>
        </w:rPr>
        <w:t>Since time immemorial</w:t>
      </w:r>
      <w:r w:rsidR="004E7B26">
        <w:rPr>
          <w:rFonts w:cstheme="minorHAnsi"/>
          <w:color w:val="202122"/>
          <w:shd w:val="clear" w:color="auto" w:fill="FFFFFF"/>
        </w:rPr>
        <w:t xml:space="preserve">, </w:t>
      </w:r>
      <w:r w:rsidR="004E7B26" w:rsidRPr="00A017CB">
        <w:rPr>
          <w:rFonts w:cstheme="minorHAnsi"/>
          <w:color w:val="202122"/>
          <w:shd w:val="clear" w:color="auto" w:fill="FFFFFF"/>
        </w:rPr>
        <w:t>the Indian River has been the location of a fishing camp and harvesting site for the Kiks.ádi clan, and particularly valued for its close proximity to the clan’s winter villages, as well as for hosting runs of a variety of Pacific salmon species, including chum (</w:t>
      </w:r>
      <w:r w:rsidR="004E7B26" w:rsidRPr="00A017CB">
        <w:rPr>
          <w:i/>
          <w:iCs/>
        </w:rPr>
        <w:t>O</w:t>
      </w:r>
      <w:r w:rsidR="004E7B26">
        <w:rPr>
          <w:i/>
          <w:iCs/>
        </w:rPr>
        <w:t>.</w:t>
      </w:r>
      <w:r w:rsidR="004E7B26" w:rsidRPr="00A017CB">
        <w:rPr>
          <w:i/>
          <w:iCs/>
        </w:rPr>
        <w:t xml:space="preserve"> keta</w:t>
      </w:r>
      <w:r w:rsidR="004E7B26" w:rsidRPr="00A017CB">
        <w:rPr>
          <w:rFonts w:cstheme="minorHAnsi"/>
          <w:color w:val="202122"/>
          <w:shd w:val="clear" w:color="auto" w:fill="FFFFFF"/>
        </w:rPr>
        <w:t>), coho (</w:t>
      </w:r>
      <w:r w:rsidR="004E7B26" w:rsidRPr="00A017CB">
        <w:rPr>
          <w:rFonts w:cstheme="minorHAnsi"/>
          <w:i/>
          <w:iCs/>
          <w:color w:val="202122"/>
          <w:shd w:val="clear" w:color="auto" w:fill="FFFFFF"/>
        </w:rPr>
        <w:t>O. kisutch</w:t>
      </w:r>
      <w:r w:rsidR="004E7B26" w:rsidRPr="00A017CB">
        <w:rPr>
          <w:rFonts w:cstheme="minorHAnsi"/>
          <w:color w:val="202122"/>
          <w:shd w:val="clear" w:color="auto" w:fill="FFFFFF"/>
        </w:rPr>
        <w:t xml:space="preserve">), </w:t>
      </w:r>
      <w:r w:rsidR="004E7B26" w:rsidRPr="00A017CB">
        <w:rPr>
          <w:rFonts w:cstheme="minorHAnsi"/>
          <w:color w:val="202122"/>
          <w:shd w:val="clear" w:color="auto" w:fill="FFFFFF"/>
        </w:rPr>
        <w:lastRenderedPageBreak/>
        <w:t>Chinook (</w:t>
      </w:r>
      <w:r w:rsidR="004E7B26" w:rsidRPr="00A017CB">
        <w:rPr>
          <w:rFonts w:cstheme="minorHAnsi"/>
          <w:i/>
          <w:iCs/>
          <w:color w:val="202122"/>
          <w:shd w:val="clear" w:color="auto" w:fill="FFFFFF"/>
        </w:rPr>
        <w:t>O. tshawytscha</w:t>
      </w:r>
      <w:r w:rsidR="004E7B26" w:rsidRPr="00A017CB">
        <w:rPr>
          <w:rFonts w:cstheme="minorHAnsi"/>
          <w:color w:val="202122"/>
          <w:shd w:val="clear" w:color="auto" w:fill="FFFFFF"/>
        </w:rPr>
        <w:t xml:space="preserve">), and pink salmon (Thornton 1998). </w:t>
      </w:r>
      <w:r>
        <w:t xml:space="preserve">Originally designated a National Monument in 1910 for the purpose of conserving the site of an 1804 battle </w:t>
      </w:r>
      <w:r w:rsidRPr="00A017CB">
        <w:rPr>
          <w:rFonts w:cstheme="minorHAnsi"/>
          <w:color w:val="202122"/>
          <w:shd w:val="clear" w:color="auto" w:fill="FFFFFF"/>
        </w:rPr>
        <w:t>between the native Tlingit Kiks.ádi clan and Russian colonizers</w:t>
      </w:r>
      <w:r>
        <w:rPr>
          <w:rFonts w:cstheme="minorHAnsi"/>
          <w:color w:val="202122"/>
          <w:shd w:val="clear" w:color="auto" w:fill="FFFFFF"/>
        </w:rPr>
        <w:t xml:space="preserve">, </w:t>
      </w:r>
      <w:r>
        <w:t>today the park is managed to</w:t>
      </w:r>
      <w:r w:rsidRPr="00A017CB">
        <w:rPr>
          <w:rFonts w:cstheme="minorHAnsi"/>
          <w:color w:val="202122"/>
          <w:shd w:val="clear" w:color="auto" w:fill="FFFFFF"/>
        </w:rPr>
        <w:t xml:space="preserve"> preserve </w:t>
      </w:r>
      <w:r>
        <w:rPr>
          <w:rFonts w:cstheme="minorHAnsi"/>
          <w:color w:val="202122"/>
          <w:shd w:val="clear" w:color="auto" w:fill="FFFFFF"/>
        </w:rPr>
        <w:t xml:space="preserve">not only the historical battleground, but </w:t>
      </w:r>
      <w:r w:rsidRPr="00A017CB">
        <w:rPr>
          <w:rFonts w:cstheme="minorHAnsi"/>
          <w:color w:val="202122"/>
          <w:shd w:val="clear" w:color="auto" w:fill="FFFFFF"/>
        </w:rPr>
        <w:t xml:space="preserve">the </w:t>
      </w:r>
      <w:r>
        <w:t>ecosystems</w:t>
      </w:r>
      <w:r w:rsidRPr="00A017CB">
        <w:rPr>
          <w:rFonts w:cstheme="minorHAnsi"/>
          <w:color w:val="202122"/>
          <w:shd w:val="clear" w:color="auto" w:fill="FFFFFF"/>
        </w:rPr>
        <w:t xml:space="preserve"> </w:t>
      </w:r>
      <w:r>
        <w:rPr>
          <w:rFonts w:cstheme="minorHAnsi"/>
          <w:color w:val="202122"/>
          <w:shd w:val="clear" w:color="auto" w:fill="FFFFFF"/>
        </w:rPr>
        <w:t xml:space="preserve">and </w:t>
      </w:r>
      <w:r w:rsidRPr="00A017CB">
        <w:rPr>
          <w:rFonts w:cstheme="minorHAnsi"/>
          <w:color w:val="202122"/>
          <w:shd w:val="clear" w:color="auto" w:fill="FFFFFF"/>
        </w:rPr>
        <w:t>natural resources present in the surrounding area</w:t>
      </w:r>
      <w:r>
        <w:rPr>
          <w:rFonts w:cstheme="minorHAnsi"/>
          <w:color w:val="202122"/>
          <w:shd w:val="clear" w:color="auto" w:fill="FFFFFF"/>
        </w:rPr>
        <w:t xml:space="preserve">. </w:t>
      </w:r>
    </w:p>
    <w:p w14:paraId="63132C79" w14:textId="6672D32D" w:rsidR="007E6620" w:rsidRDefault="007E6620" w:rsidP="007E6620">
      <w:pPr>
        <w:spacing w:after="0" w:line="480" w:lineRule="auto"/>
        <w:ind w:firstLine="720"/>
      </w:pPr>
      <w:r>
        <w:rPr>
          <w:rFonts w:cstheme="minorHAnsi"/>
          <w:color w:val="202122"/>
          <w:shd w:val="clear" w:color="auto" w:fill="FFFFFF"/>
        </w:rPr>
        <w:t>Although p</w:t>
      </w:r>
      <w:r w:rsidRPr="00A017CB">
        <w:rPr>
          <w:rFonts w:cstheme="minorHAnsi"/>
          <w:color w:val="202122"/>
          <w:shd w:val="clear" w:color="auto" w:fill="FFFFFF"/>
        </w:rPr>
        <w:t xml:space="preserve">ink salmon </w:t>
      </w:r>
      <w:r>
        <w:rPr>
          <w:rFonts w:cstheme="minorHAnsi"/>
          <w:color w:val="202122"/>
          <w:shd w:val="clear" w:color="auto" w:fill="FFFFFF"/>
        </w:rPr>
        <w:t>have historically been</w:t>
      </w:r>
      <w:r w:rsidRPr="00A017CB">
        <w:rPr>
          <w:rFonts w:cstheme="minorHAnsi"/>
          <w:color w:val="202122"/>
          <w:shd w:val="clear" w:color="auto" w:fill="FFFFFF"/>
        </w:rPr>
        <w:t xml:space="preserve"> the most abundant </w:t>
      </w:r>
      <w:r>
        <w:rPr>
          <w:rFonts w:cstheme="minorHAnsi"/>
          <w:color w:val="202122"/>
          <w:shd w:val="clear" w:color="auto" w:fill="FFFFFF"/>
        </w:rPr>
        <w:t xml:space="preserve">salmon </w:t>
      </w:r>
      <w:r w:rsidRPr="00A017CB">
        <w:rPr>
          <w:rFonts w:cstheme="minorHAnsi"/>
          <w:color w:val="202122"/>
          <w:shd w:val="clear" w:color="auto" w:fill="FFFFFF"/>
        </w:rPr>
        <w:t>species at Indian River,</w:t>
      </w:r>
      <w:r>
        <w:rPr>
          <w:rFonts w:cstheme="minorHAnsi"/>
          <w:color w:val="202122"/>
          <w:shd w:val="clear" w:color="auto" w:fill="FFFFFF"/>
        </w:rPr>
        <w:t xml:space="preserve"> </w:t>
      </w:r>
      <w:r w:rsidRPr="00CD14B8">
        <w:t>their numbers have increased rapidly in the last</w:t>
      </w:r>
      <w:r>
        <w:t xml:space="preserve"> 30</w:t>
      </w:r>
      <w:r w:rsidRPr="00CD14B8">
        <w:t xml:space="preserve"> years</w:t>
      </w:r>
      <w:r>
        <w:t>. The Alaska Department of Fish and Game (ADFG) peak escapement surveys have estimated that, since 1980, Indian River pink salmon abundance has increased from run of several thousand to runs regularly exceeding 100,000 fish annually (Stopha 2015</w:t>
      </w:r>
      <w:r>
        <w:t>). I</w:t>
      </w:r>
      <w:r>
        <w:t>ncreases in Indian River pink salmon abundance</w:t>
      </w:r>
      <w:r>
        <w:t>, initially</w:t>
      </w:r>
      <w:r>
        <w:t xml:space="preserve"> observed in the 1980s</w:t>
      </w:r>
      <w:r>
        <w:t>,</w:t>
      </w:r>
      <w:r>
        <w:t xml:space="preserve"> coincided with the commencement of operations at Sheldon Jackson Hatchery (SJH), a pink salmon hatchery located approximately 1 km</w:t>
      </w:r>
      <w:r w:rsidRPr="00CD14B8">
        <w:t xml:space="preserve"> from the mouth of </w:t>
      </w:r>
      <w:r w:rsidRPr="00CF3314">
        <w:t>the Indian River</w:t>
      </w:r>
      <w:r w:rsidR="00D6232F">
        <w:t xml:space="preserve"> </w:t>
      </w:r>
      <w:r w:rsidR="00D6232F">
        <w:t>(Figure 1)</w:t>
      </w:r>
      <w:r>
        <w:t xml:space="preserve">. </w:t>
      </w:r>
      <w:r w:rsidR="00925D5D">
        <w:t>C</w:t>
      </w:r>
      <w:r>
        <w:t xml:space="preserve">urrently operated by </w:t>
      </w:r>
      <w:r w:rsidRPr="00CD14B8">
        <w:t>the not-for-profit Sitka Sound Science Center</w:t>
      </w:r>
      <w:r w:rsidR="00925D5D">
        <w:t>, the hatchery</w:t>
      </w:r>
      <w:r>
        <w:t xml:space="preserve"> was originally established in 1975 by Sheldon Jackson College</w:t>
      </w:r>
      <w:r w:rsidR="00925D5D">
        <w:t>, with the initial broodstock s</w:t>
      </w:r>
      <w:r w:rsidR="00925D5D">
        <w:t xml:space="preserve">ourced from pink salmon at the Indian River (even years) and </w:t>
      </w:r>
      <w:r w:rsidR="00925D5D" w:rsidRPr="00CD14B8">
        <w:t>nearby Starrigavan Creek</w:t>
      </w:r>
      <w:r w:rsidR="00925D5D">
        <w:t xml:space="preserve"> (odd years)</w:t>
      </w:r>
      <w:r>
        <w:t xml:space="preserve">. </w:t>
      </w:r>
      <w:r w:rsidR="00925D5D">
        <w:t>Indian River w</w:t>
      </w:r>
      <w:r>
        <w:t xml:space="preserve">ater </w:t>
      </w:r>
      <w:r w:rsidR="00925D5D">
        <w:t xml:space="preserve">is </w:t>
      </w:r>
      <w:r>
        <w:t>diver</w:t>
      </w:r>
      <w:r w:rsidR="00925D5D">
        <w:t>ted</w:t>
      </w:r>
      <w:r>
        <w:t xml:space="preserve"> upriver of SITK’s boundaries to maintain hatchery operations. </w:t>
      </w:r>
      <w:r w:rsidRPr="00CD14B8">
        <w:t>This water is used to rear salmon fry, which imprint on its distinct chemical signature</w:t>
      </w:r>
      <w:r>
        <w:t>, and d</w:t>
      </w:r>
      <w:r w:rsidRPr="00CD14B8">
        <w:t xml:space="preserve">uring spawning season this diverted </w:t>
      </w:r>
      <w:r>
        <w:t>Indian River w</w:t>
      </w:r>
      <w:r w:rsidRPr="00CD14B8">
        <w:t xml:space="preserve">ater is </w:t>
      </w:r>
      <w:r>
        <w:t>releas</w:t>
      </w:r>
      <w:r w:rsidRPr="00CD14B8">
        <w:t xml:space="preserve">ed into the bay near the hatchery to attract returning </w:t>
      </w:r>
      <w:r>
        <w:t>fish. The hatchery was initially permitted to spawn 1 million pink salmon eggs each year, but that was increased to 3 million eggs in 2010</w:t>
      </w:r>
      <w:r w:rsidR="00925D5D">
        <w:t>, with m</w:t>
      </w:r>
      <w:r>
        <w:t>ost</w:t>
      </w:r>
      <w:r w:rsidR="00925D5D">
        <w:t xml:space="preserve"> hatchery-reared</w:t>
      </w:r>
      <w:r>
        <w:t xml:space="preserve"> embryos</w:t>
      </w:r>
      <w:r w:rsidR="00925D5D">
        <w:t xml:space="preserve"> </w:t>
      </w:r>
      <w:r>
        <w:t>surviv</w:t>
      </w:r>
      <w:r w:rsidR="00925D5D">
        <w:t>ing to be</w:t>
      </w:r>
      <w:r>
        <w:t xml:space="preserve"> released as fry to the ocean (Stopha 2015).</w:t>
      </w:r>
    </w:p>
    <w:p w14:paraId="286DE0B5" w14:textId="77777777" w:rsidR="00E507FB" w:rsidRDefault="00E507FB" w:rsidP="00B304E3">
      <w:pPr>
        <w:pStyle w:val="ListParagraph"/>
        <w:spacing w:after="0" w:line="240" w:lineRule="auto"/>
        <w:ind w:left="0"/>
        <w:jc w:val="center"/>
        <w:rPr>
          <w:i/>
          <w:iCs/>
          <w:sz w:val="20"/>
          <w:szCs w:val="20"/>
        </w:rPr>
      </w:pPr>
      <w:r>
        <w:rPr>
          <w:noProof/>
        </w:rPr>
        <w:lastRenderedPageBreak/>
        <w:drawing>
          <wp:inline distT="0" distB="0" distL="0" distR="0" wp14:anchorId="022B6A1D" wp14:editId="05CB85AE">
            <wp:extent cx="6304991" cy="4743564"/>
            <wp:effectExtent l="0" t="0" r="635" b="0"/>
            <wp:docPr id="1904644809" name="Picture 1904644809" descr="The diagram illustrates the layout of Sitka National Historic Park, including visitor use areas, parking, trails, and bounda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44809" name="Picture 1904644809" descr="The diagram illustrates the layout of Sitka National Historic Park, including visitor use areas, parking, trails, and boundari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331324" cy="4763375"/>
                    </a:xfrm>
                    <a:prstGeom prst="rect">
                      <a:avLst/>
                    </a:prstGeom>
                  </pic:spPr>
                </pic:pic>
              </a:graphicData>
            </a:graphic>
          </wp:inline>
        </w:drawing>
      </w:r>
    </w:p>
    <w:p w14:paraId="1A523D93" w14:textId="77777777" w:rsidR="00E507FB" w:rsidRDefault="00E507FB" w:rsidP="00B304E3">
      <w:pPr>
        <w:spacing w:after="0" w:line="240" w:lineRule="auto"/>
        <w:rPr>
          <w:i/>
          <w:iCs/>
          <w:sz w:val="20"/>
          <w:szCs w:val="20"/>
        </w:rPr>
      </w:pPr>
    </w:p>
    <w:p w14:paraId="6010DE42" w14:textId="77777777" w:rsidR="00E507FB" w:rsidRPr="00E507FB" w:rsidRDefault="00E507FB" w:rsidP="00B304E3">
      <w:pPr>
        <w:spacing w:after="0" w:line="240" w:lineRule="auto"/>
        <w:ind w:right="-720"/>
        <w:rPr>
          <w:sz w:val="20"/>
          <w:szCs w:val="20"/>
        </w:rPr>
      </w:pPr>
      <w:r w:rsidRPr="00E507FB">
        <w:rPr>
          <w:sz w:val="20"/>
          <w:szCs w:val="20"/>
        </w:rPr>
        <w:t>Figure 1: Location of Sheldon Jackson Hatchery (red star) and the mouth of the Indian River (red circle) in Sitka. The two highlighted points are approximately 1,650 ft (503m) apart. Credit: National Park Service, modified to include river mouth and hatchery location.</w:t>
      </w:r>
    </w:p>
    <w:p w14:paraId="7A96885B" w14:textId="77777777" w:rsidR="00E507FB" w:rsidRDefault="00E507FB" w:rsidP="007D4A30">
      <w:pPr>
        <w:spacing w:after="0" w:line="480" w:lineRule="auto"/>
        <w:ind w:firstLine="720"/>
      </w:pPr>
    </w:p>
    <w:p w14:paraId="79C3AEBB" w14:textId="0E94B954" w:rsidR="007E6620" w:rsidRDefault="007E6620" w:rsidP="007D4A30">
      <w:pPr>
        <w:spacing w:after="0" w:line="480" w:lineRule="auto"/>
        <w:ind w:firstLine="720"/>
      </w:pPr>
      <w:r>
        <w:t xml:space="preserve">If all pink salmon reared at the hatchery returned to the hatchery, the population dynamics of salmon in the Indian River would be unaffected by hatchery operations. However, homing by salmon is imperfect and has adaptive value (Quinn 2018). </w:t>
      </w:r>
      <w:commentRangeStart w:id="0"/>
      <w:r>
        <w:t>It has been shown that both the purposeful and incidental introduction of hatchery salmon into streams with native populations can contribute to increased abundances (Anderson et al. 2014, McMillan et al. 2023, May et al. 2024).</w:t>
      </w:r>
      <w:commentRangeEnd w:id="0"/>
      <w:r w:rsidR="007A7169">
        <w:rPr>
          <w:rStyle w:val="CommentReference"/>
          <w:sz w:val="24"/>
          <w:szCs w:val="24"/>
        </w:rPr>
        <w:commentReference w:id="0"/>
      </w:r>
      <w:r>
        <w:t xml:space="preserve"> </w:t>
      </w:r>
      <w:commentRangeStart w:id="1"/>
      <w:r w:rsidRPr="00D6232F">
        <w:rPr>
          <w:strike/>
        </w:rPr>
        <w:t xml:space="preserve">Straying, whereby a juvenile salmon that was produced in one stream (or hatchery) strays into a different stream as an adult to spawn </w:t>
      </w:r>
      <w:r w:rsidRPr="00D6232F">
        <w:rPr>
          <w:strike/>
        </w:rPr>
        <w:lastRenderedPageBreak/>
        <w:t xml:space="preserve">occurs, but whether hatcheries increase the proportion of fish that stray is less clear (Knudsen et al. 2021). </w:t>
      </w:r>
      <w:commentRangeEnd w:id="1"/>
      <w:r w:rsidR="00D6232F">
        <w:rPr>
          <w:rStyle w:val="CommentReference"/>
          <w:sz w:val="24"/>
          <w:szCs w:val="24"/>
        </w:rPr>
        <w:commentReference w:id="1"/>
      </w:r>
      <w:r>
        <w:t xml:space="preserve">Evidence suggests that the Indian River is no exception, and indeed it is possible that the Indian River sees higher than average levels of straying due to the proximity of SJH and the hatchery fish being reared in Indian River water. </w:t>
      </w:r>
      <w:r w:rsidR="007D4A30">
        <w:t>A</w:t>
      </w:r>
      <w:r>
        <w:t>ll pink salmon released by SJH are subject to otolith marking</w:t>
      </w:r>
      <w:r w:rsidR="007D4A30">
        <w:t xml:space="preserve">, and survey efforts </w:t>
      </w:r>
      <w:r w:rsidR="007D4A30">
        <w:t>at Indian River have at times found stray pink salmon from Sheldon Jackson Hatchery making up one third of all individuals sampled in a year</w:t>
      </w:r>
      <w:r w:rsidR="007D4A30">
        <w:t>, although the rates of straying observed vary considerably</w:t>
      </w:r>
      <w:r>
        <w:t xml:space="preserve"> (</w:t>
      </w:r>
      <w:r w:rsidR="007D4A30">
        <w:t>Gende and Carter 2015</w:t>
      </w:r>
      <w:r w:rsidR="007D4A30">
        <w:t xml:space="preserve">, </w:t>
      </w:r>
      <w:r>
        <w:t>Stopha 2015, Alaska Department of Fish and Game 2024b).</w:t>
      </w:r>
      <w:r w:rsidRPr="007D4A30">
        <w:rPr>
          <w:strike/>
        </w:rPr>
        <w:t xml:space="preserve"> </w:t>
      </w:r>
    </w:p>
    <w:p w14:paraId="4B182D05" w14:textId="6BB8CED4" w:rsidR="00BF2694" w:rsidRDefault="00BF2694" w:rsidP="00B37910">
      <w:pPr>
        <w:spacing w:after="0" w:line="480" w:lineRule="auto"/>
        <w:ind w:firstLine="720"/>
      </w:pPr>
      <w:r>
        <w:t>The possibility that pink salmon being reared and released by Sheldon Jackson hatchery may be contributing to the high abundances of fish observed at the Indian River in recent decades cannot be ignored. However, it is also critical to note that these high densities may be naturally occurring phenomena, influenced by variation in stream conditions, ocean productivity, predation intensity, and commercial harvests, among other factors (Manhard et al. 2017). ADFG conducts regular monitoring of pink salmon index streams throughout southeast Alaska for the primary purpose of managing the commercial fishery</w:t>
      </w:r>
      <w:r>
        <w:t xml:space="preserve">, </w:t>
      </w:r>
      <w:r>
        <w:t xml:space="preserve">selected </w:t>
      </w:r>
      <w:r>
        <w:t xml:space="preserve">specifically </w:t>
      </w:r>
      <w:r>
        <w:t xml:space="preserve">to reflect natural conditions and a lack of undue anthropogenic influences. This extensive monitoring effort provides a regional backdrop against which abundances observed at Indian River may be compared. Between 1960 and 2023, pink salmon escapement has increased throughout what ADFG designates as the ‘Northern Southeast (Outside)’ region (in which the Indian River is located). The agency has recorded peak pink salmon escapement annually at 35 index streams in this region, </w:t>
      </w:r>
      <w:r w:rsidR="00F66941">
        <w:t xml:space="preserve">and at Indian River </w:t>
      </w:r>
      <w:r>
        <w:t xml:space="preserve">as well </w:t>
      </w:r>
      <w:r w:rsidR="00F66941">
        <w:t>(</w:t>
      </w:r>
      <w:r>
        <w:t>albeit with gaps in the time series</w:t>
      </w:r>
      <w:r w:rsidR="00F66941">
        <w:t>)</w:t>
      </w:r>
      <w:r>
        <w:t xml:space="preserve">. Along with other streams in the </w:t>
      </w:r>
      <w:r>
        <w:lastRenderedPageBreak/>
        <w:t xml:space="preserve">region, Indian River has seen an increase in peak escapement over the period of observation (Figure 2). </w:t>
      </w:r>
    </w:p>
    <w:p w14:paraId="755C602F" w14:textId="77777777" w:rsidR="00B304E3" w:rsidRDefault="00B304E3" w:rsidP="00B304E3">
      <w:pPr>
        <w:pStyle w:val="ListParagraph"/>
        <w:spacing w:after="0" w:line="240" w:lineRule="auto"/>
        <w:ind w:left="0"/>
        <w:jc w:val="center"/>
        <w:rPr>
          <w:i/>
          <w:iCs/>
          <w:sz w:val="20"/>
          <w:szCs w:val="20"/>
        </w:rPr>
      </w:pPr>
      <w:r>
        <w:rPr>
          <w:i/>
          <w:iCs/>
          <w:noProof/>
          <w:sz w:val="20"/>
          <w:szCs w:val="20"/>
        </w:rPr>
        <w:drawing>
          <wp:inline distT="0" distB="0" distL="0" distR="0" wp14:anchorId="50210EB3" wp14:editId="35F7E7B5">
            <wp:extent cx="6239565" cy="2867025"/>
            <wp:effectExtent l="0" t="0" r="8890" b="0"/>
            <wp:docPr id="1568515327" name="Picture 2" descr="The diagram depicts a time series comparison of logarithmic peak escape rates per kilometer for even and odd numbers, showing trends from 198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15327" name="Picture 2" descr="The diagram depicts a time series comparison of logarithmic peak escape rates per kilometer for even and odd numbers, showing trends from 1980 to 2020.&#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77009" cy="2884230"/>
                    </a:xfrm>
                    <a:prstGeom prst="rect">
                      <a:avLst/>
                    </a:prstGeom>
                    <a:noFill/>
                    <a:ln>
                      <a:noFill/>
                    </a:ln>
                  </pic:spPr>
                </pic:pic>
              </a:graphicData>
            </a:graphic>
          </wp:inline>
        </w:drawing>
      </w:r>
    </w:p>
    <w:p w14:paraId="73E2D3F9" w14:textId="77777777" w:rsidR="00B304E3" w:rsidRDefault="00B304E3" w:rsidP="00B304E3">
      <w:pPr>
        <w:spacing w:after="0" w:line="240" w:lineRule="auto"/>
        <w:rPr>
          <w:i/>
          <w:iCs/>
          <w:sz w:val="20"/>
          <w:szCs w:val="20"/>
        </w:rPr>
      </w:pPr>
    </w:p>
    <w:p w14:paraId="5FEADCAF" w14:textId="77777777" w:rsidR="00B304E3" w:rsidRPr="00B304E3" w:rsidRDefault="00B304E3" w:rsidP="00B304E3">
      <w:pPr>
        <w:spacing w:after="0" w:line="240" w:lineRule="auto"/>
        <w:ind w:right="-720"/>
      </w:pPr>
      <w:r w:rsidRPr="00B304E3">
        <w:rPr>
          <w:sz w:val="20"/>
          <w:szCs w:val="20"/>
        </w:rPr>
        <w:t>Figure 2: Even- and odd-year peak pink salmon escapement from 1960 to 2022 in Indian River and 35 index streams across ADFG’s designated Northern Southeast (Outside) region. Indian River counts highlighted. Spawner counts are scaled against stream length (km), then log transformed and standardized at the level of each stream.</w:t>
      </w:r>
    </w:p>
    <w:p w14:paraId="45374B9B" w14:textId="77777777" w:rsidR="00B304E3" w:rsidRDefault="00B304E3" w:rsidP="00B37910">
      <w:pPr>
        <w:spacing w:after="0" w:line="480" w:lineRule="auto"/>
        <w:ind w:firstLine="720"/>
      </w:pPr>
    </w:p>
    <w:p w14:paraId="69FA6FD1" w14:textId="67766CC2" w:rsidR="007E6620" w:rsidRDefault="007E6620" w:rsidP="00B37910">
      <w:pPr>
        <w:spacing w:after="0" w:line="480" w:lineRule="auto"/>
        <w:ind w:firstLine="720"/>
        <w:rPr>
          <w:rFonts w:cstheme="minorHAnsi"/>
          <w:color w:val="202122"/>
          <w:shd w:val="clear" w:color="auto" w:fill="FFFFFF"/>
        </w:rPr>
      </w:pPr>
      <w:r>
        <w:t xml:space="preserve">High abundances of salmon are concerning to park managers </w:t>
      </w:r>
      <w:r w:rsidR="00AD37E1">
        <w:t xml:space="preserve">due to their </w:t>
      </w:r>
      <w:r w:rsidR="007331A7">
        <w:t>potential to</w:t>
      </w:r>
      <w:r w:rsidR="00AD37E1">
        <w:t xml:space="preserve"> contribute to hypoxic aquatic conditions. W</w:t>
      </w:r>
      <w:r>
        <w:t xml:space="preserve">hen </w:t>
      </w:r>
      <w:r w:rsidR="00AD37E1">
        <w:t xml:space="preserve">a large run </w:t>
      </w:r>
      <w:r>
        <w:t>coincide</w:t>
      </w:r>
      <w:r w:rsidR="00AD37E1">
        <w:t>s</w:t>
      </w:r>
      <w:r>
        <w:t xml:space="preserve"> with low stream flows and warm temperatures, </w:t>
      </w:r>
      <w:r w:rsidR="007331A7">
        <w:t>dissolved oxygen concentrations</w:t>
      </w:r>
      <w:r w:rsidR="007331A7">
        <w:t xml:space="preserve"> may be diminished through both</w:t>
      </w:r>
      <w:r w:rsidR="007331A7">
        <w:t xml:space="preserve"> direct consumption of oxygen </w:t>
      </w:r>
      <w:r w:rsidR="007331A7">
        <w:t xml:space="preserve">by living fish </w:t>
      </w:r>
      <w:r w:rsidR="007331A7">
        <w:t>and the respiration of microbes decomposing their carcasses</w:t>
      </w:r>
      <w:r w:rsidR="007331A7">
        <w:t>, with s</w:t>
      </w:r>
      <w:r w:rsidR="007331A7">
        <w:t xml:space="preserve">evere hypoxia events </w:t>
      </w:r>
      <w:r w:rsidR="007331A7">
        <w:t xml:space="preserve">capable of compromising </w:t>
      </w:r>
      <w:r w:rsidR="007331A7">
        <w:t>a stream’s ability to sustain other resident fish species (Murphy 1985, Sergeant et al. 2023).</w:t>
      </w:r>
      <w:r w:rsidR="007331A7">
        <w:t xml:space="preserve"> </w:t>
      </w:r>
      <w:commentRangeStart w:id="2"/>
      <w:r w:rsidRPr="009C663E">
        <w:rPr>
          <w:strike/>
        </w:rPr>
        <w:t xml:space="preserve">In stream systems free of hatchery influence, there are natural regulators (density dependence) that bring the population back into balance when the number of returning spawners exceeds a stream’s carrying capacity. For example, at very high densities, females arriving later in a spawning season dig up nests (redds) made by early arriving </w:t>
      </w:r>
      <w:r w:rsidRPr="009C663E">
        <w:rPr>
          <w:strike/>
        </w:rPr>
        <w:lastRenderedPageBreak/>
        <w:t>females, so the stream has a natural limit to production (McNeil 1964).</w:t>
      </w:r>
      <w:commentRangeEnd w:id="2"/>
      <w:r w:rsidR="009C663E">
        <w:rPr>
          <w:rStyle w:val="CommentReference"/>
          <w:sz w:val="24"/>
          <w:szCs w:val="24"/>
        </w:rPr>
        <w:commentReference w:id="2"/>
      </w:r>
      <w:r>
        <w:t xml:space="preserve"> </w:t>
      </w:r>
      <w:r w:rsidRPr="00F66941">
        <w:t xml:space="preserve">High salmon densities occur naturally across the Pacific Rim, and incidences of high densities contributing to depleted in stream oxygen levels have been recorded </w:t>
      </w:r>
      <w:r w:rsidR="009C663E" w:rsidRPr="00F66941">
        <w:t>throughout</w:t>
      </w:r>
      <w:r w:rsidRPr="00F66941">
        <w:t xml:space="preserve"> southeast Alaska (Murphy 1985). In such an instance, females may die before spawning due to lowered oxygen levels (Sergeant et al. 2017, Tillotson and Quinn 2017). In </w:t>
      </w:r>
      <w:r w:rsidR="00F66941">
        <w:t>this</w:t>
      </w:r>
      <w:r w:rsidRPr="00F66941">
        <w:t xml:space="preserve"> scenario, the numbers of spawners returning in subsequent years would be constraine</w:t>
      </w:r>
      <w:r w:rsidR="00F66941">
        <w:t>d, a</w:t>
      </w:r>
      <w:r w:rsidRPr="00F66941">
        <w:t xml:space="preserve"> constraint</w:t>
      </w:r>
      <w:r w:rsidR="00F66941">
        <w:t xml:space="preserve"> which could </w:t>
      </w:r>
      <w:r w:rsidRPr="00F66941">
        <w:t>weaken with the introduction of straying fish from hatcheries</w:t>
      </w:r>
      <w:r w:rsidR="00F66941">
        <w:t>.</w:t>
      </w:r>
    </w:p>
    <w:p w14:paraId="6C878DED" w14:textId="63A4D24B" w:rsidR="00B37910" w:rsidRDefault="00B37910" w:rsidP="00B37910">
      <w:pPr>
        <w:spacing w:after="0" w:line="480" w:lineRule="auto"/>
      </w:pPr>
      <w:r>
        <w:tab/>
        <w:t>My research seeks to assess whether the abundances of pink salmon observed in recent decades at Indian River exist within a natural range of variation relative to pink salmon streams</w:t>
      </w:r>
      <w:r w:rsidR="00B304E3">
        <w:t xml:space="preserve"> </w:t>
      </w:r>
      <w:r>
        <w:t>elsewhere in the region, and to evaluate if and to what extent Sheldon Jackson Hatchery operations have driven increasing abundance since 1980.</w:t>
      </w:r>
      <w:r w:rsidR="00985FE6">
        <w:t xml:space="preserve"> This is accomplished by evaluating three hypotheses</w:t>
      </w:r>
      <w:r w:rsidR="00786181">
        <w:t>.</w:t>
      </w:r>
      <w:r w:rsidR="00985FE6">
        <w:t xml:space="preserve"> 1)</w:t>
      </w:r>
      <w:r w:rsidR="00786181">
        <w:t xml:space="preserve"> Pink salmon population</w:t>
      </w:r>
      <w:r w:rsidR="00985FE6">
        <w:t xml:space="preserve"> </w:t>
      </w:r>
      <w:r w:rsidR="00786181">
        <w:t>dynamics at Indian River are separate from those observed at ADFG index streams in the region. A</w:t>
      </w:r>
      <w:r w:rsidR="00985FE6">
        <w:t xml:space="preserve"> state-space model which specifies pink salmon abundance at Indian River as separate from pink salmon abundance elsewhere in the region will better fit available data than a model which does not make this distinction</w:t>
      </w:r>
      <w:r w:rsidR="00786181">
        <w:t>.</w:t>
      </w:r>
      <w:r w:rsidR="00985FE6">
        <w:t xml:space="preserve"> 2) </w:t>
      </w:r>
      <w:r w:rsidR="00786181">
        <w:t xml:space="preserve">The </w:t>
      </w:r>
      <w:r w:rsidR="00786181">
        <w:t>1975 commencement and/or 2010 expansion of hatchery operations</w:t>
      </w:r>
      <w:r w:rsidR="00786181">
        <w:t xml:space="preserve"> has had some measurable impact on </w:t>
      </w:r>
      <w:r w:rsidR="00786181">
        <w:t>Indian River pink salmon population densities.</w:t>
      </w:r>
      <w:r w:rsidR="00786181">
        <w:t xml:space="preserve"> A</w:t>
      </w:r>
      <w:r w:rsidR="00985FE6">
        <w:t xml:space="preserve"> before-after control-impact (BACI) analysis will estimate </w:t>
      </w:r>
      <w:r w:rsidR="00786181">
        <w:t xml:space="preserve">a significant effect of treatment. And </w:t>
      </w:r>
      <w:r w:rsidR="00985FE6">
        <w:t xml:space="preserve">3) </w:t>
      </w:r>
      <w:r w:rsidR="00786181">
        <w:t>the number of pink salmon juveniles released b</w:t>
      </w:r>
      <w:r w:rsidR="00844F3B">
        <w:t xml:space="preserve">y SJH in brood year </w:t>
      </w:r>
      <w:r w:rsidR="00844F3B" w:rsidRPr="00844F3B">
        <w:rPr>
          <w:i/>
          <w:iCs/>
        </w:rPr>
        <w:t>t-1</w:t>
      </w:r>
      <w:r w:rsidR="00844F3B">
        <w:t xml:space="preserve"> is </w:t>
      </w:r>
      <w:r w:rsidR="00221E2E">
        <w:t>impacting</w:t>
      </w:r>
      <w:r w:rsidR="00844F3B">
        <w:t xml:space="preserve"> pink salmon abundance observed at Indian River in brood year </w:t>
      </w:r>
      <w:r w:rsidR="00844F3B" w:rsidRPr="00844F3B">
        <w:rPr>
          <w:i/>
          <w:iCs/>
        </w:rPr>
        <w:t>t</w:t>
      </w:r>
      <w:r w:rsidR="00844F3B">
        <w:t xml:space="preserve">. </w:t>
      </w:r>
      <w:r w:rsidR="00786181">
        <w:t>A</w:t>
      </w:r>
      <w:r w:rsidR="00844F3B">
        <w:t>n autoregressive</w:t>
      </w:r>
      <w:r>
        <w:t xml:space="preserve"> model </w:t>
      </w:r>
      <w:r w:rsidR="00844F3B">
        <w:t>will estimate this “cross effect” as significant.</w:t>
      </w:r>
      <w:r>
        <w:t xml:space="preserve"> Each of these approaches is discussed in greater detail in the following section.</w:t>
      </w:r>
    </w:p>
    <w:p w14:paraId="275CB06A" w14:textId="77777777" w:rsidR="00B37910" w:rsidRDefault="00B37910" w:rsidP="00B37910">
      <w:pPr>
        <w:spacing w:after="0" w:line="480" w:lineRule="auto"/>
      </w:pPr>
    </w:p>
    <w:p w14:paraId="5371B501" w14:textId="77777777" w:rsidR="00B304E3" w:rsidRDefault="00B304E3" w:rsidP="00B304E3">
      <w:pPr>
        <w:spacing w:after="0" w:line="480" w:lineRule="auto"/>
        <w:ind w:firstLine="720"/>
      </w:pPr>
      <w:commentRangeStart w:id="3"/>
      <w:commentRangeStart w:id="4"/>
      <w:r w:rsidRPr="00A017CB">
        <w:rPr>
          <w:rFonts w:cstheme="minorHAnsi"/>
          <w:color w:val="202122"/>
          <w:shd w:val="clear" w:color="auto" w:fill="FFFFFF"/>
        </w:rPr>
        <w:t>Pink salmon hatch in the winter</w:t>
      </w:r>
      <w:r>
        <w:rPr>
          <w:rFonts w:cstheme="minorHAnsi"/>
          <w:color w:val="202122"/>
          <w:shd w:val="clear" w:color="auto" w:fill="FFFFFF"/>
        </w:rPr>
        <w:t xml:space="preserve"> and </w:t>
      </w:r>
      <w:r>
        <w:t xml:space="preserve">immediately </w:t>
      </w:r>
      <w:r w:rsidRPr="00CD14B8">
        <w:t>enter the ocean</w:t>
      </w:r>
      <w:r>
        <w:t xml:space="preserve"> as juveniles in spring</w:t>
      </w:r>
      <w:r w:rsidRPr="00CD14B8">
        <w:t xml:space="preserve">, </w:t>
      </w:r>
      <w:r>
        <w:t xml:space="preserve">making no use of freshwater as rearing habitat. All members of a brood then </w:t>
      </w:r>
      <w:r w:rsidRPr="00CD14B8">
        <w:t>return to spawn</w:t>
      </w:r>
      <w:r>
        <w:t xml:space="preserve"> in autumn of the following year at two years of age (Heard 1991, Quinn 2018)</w:t>
      </w:r>
      <w:r w:rsidRPr="00CD14B8">
        <w:t xml:space="preserve">. This </w:t>
      </w:r>
      <w:r>
        <w:t xml:space="preserve">obligate two-year life cycle </w:t>
      </w:r>
      <w:r w:rsidRPr="00CD14B8">
        <w:t>leads to</w:t>
      </w:r>
      <w:r>
        <w:t xml:space="preserve"> </w:t>
      </w:r>
      <w:r w:rsidRPr="00CD14B8">
        <w:t xml:space="preserve">genetically distinct runs </w:t>
      </w:r>
      <w:r>
        <w:t xml:space="preserve">of salmon inhabiting the same stream </w:t>
      </w:r>
      <w:r w:rsidRPr="00CD14B8">
        <w:t>in even numbered and odd numbered years</w:t>
      </w:r>
      <w:r>
        <w:t xml:space="preserve"> (Quinn 2018). U</w:t>
      </w:r>
      <w:r w:rsidRPr="00CD14B8">
        <w:t xml:space="preserve">nlike </w:t>
      </w:r>
      <w:r>
        <w:t xml:space="preserve">in </w:t>
      </w:r>
      <w:r w:rsidRPr="00CD14B8">
        <w:t>regions</w:t>
      </w:r>
      <w:r>
        <w:t xml:space="preserve"> further north or south</w:t>
      </w:r>
      <w:r w:rsidRPr="00CD14B8">
        <w:t>, the rivers of northern southeast Alaska see even</w:t>
      </w:r>
      <w:r>
        <w:t>-</w:t>
      </w:r>
      <w:r w:rsidRPr="00CD14B8">
        <w:t xml:space="preserve"> and odd</w:t>
      </w:r>
      <w:r>
        <w:t>-</w:t>
      </w:r>
      <w:r w:rsidRPr="00CD14B8">
        <w:t xml:space="preserve">year pink salmon </w:t>
      </w:r>
      <w:r>
        <w:t>r</w:t>
      </w:r>
      <w:r w:rsidRPr="00CD14B8">
        <w:t>uns that are approximately equal in abundance</w:t>
      </w:r>
      <w:r>
        <w:t xml:space="preserve"> (Alaska Department of Fish and Game 2024a)</w:t>
      </w:r>
      <w:r w:rsidRPr="00CD14B8">
        <w:t>.</w:t>
      </w:r>
      <w:commentRangeEnd w:id="3"/>
      <w:r>
        <w:rPr>
          <w:rStyle w:val="CommentReference"/>
          <w:sz w:val="24"/>
          <w:szCs w:val="24"/>
        </w:rPr>
        <w:commentReference w:id="3"/>
      </w:r>
      <w:commentRangeEnd w:id="4"/>
      <w:r w:rsidR="00E507FB">
        <w:rPr>
          <w:rStyle w:val="CommentReference"/>
          <w:sz w:val="24"/>
          <w:szCs w:val="24"/>
        </w:rPr>
        <w:commentReference w:id="4"/>
      </w:r>
    </w:p>
    <w:p w14:paraId="7A1C8295" w14:textId="77777777" w:rsidR="00A46041" w:rsidRDefault="00A46041" w:rsidP="00B37910"/>
    <w:sectPr w:rsidR="00A4604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E McGreal" w:date="2026-06-12T13:46:00Z" w:initials="BM">
    <w:p w14:paraId="19474BF3" w14:textId="77777777" w:rsidR="007A7169" w:rsidRDefault="007A7169" w:rsidP="007A7169">
      <w:pPr>
        <w:pStyle w:val="CommentText"/>
      </w:pPr>
      <w:r>
        <w:rPr>
          <w:rStyle w:val="CommentReference"/>
        </w:rPr>
        <w:annotationRef/>
      </w:r>
      <w:r>
        <w:t>Tom struck this and I’m not quite sure why..</w:t>
      </w:r>
    </w:p>
  </w:comment>
  <w:comment w:id="1" w:author="Brian E McGreal" w:date="2026-06-12T13:50:00Z" w:initials="BM">
    <w:p w14:paraId="0175AECE" w14:textId="77777777" w:rsidR="00D6232F" w:rsidRDefault="00D6232F" w:rsidP="00D6232F">
      <w:pPr>
        <w:pStyle w:val="CommentText"/>
      </w:pPr>
      <w:r>
        <w:rPr>
          <w:rStyle w:val="CommentReference"/>
        </w:rPr>
        <w:annotationRef/>
      </w:r>
      <w:r>
        <w:t>Cut this - Knudsen et al. 2021</w:t>
      </w:r>
    </w:p>
  </w:comment>
  <w:comment w:id="2" w:author="Brian E McGreal" w:date="2026-06-12T14:01:00Z" w:initials="BM">
    <w:p w14:paraId="13C10208" w14:textId="77777777" w:rsidR="009C663E" w:rsidRDefault="009C663E" w:rsidP="009C663E">
      <w:pPr>
        <w:pStyle w:val="CommentText"/>
      </w:pPr>
      <w:r>
        <w:rPr>
          <w:rStyle w:val="CommentReference"/>
        </w:rPr>
        <w:annotationRef/>
      </w:r>
      <w:r>
        <w:t>Cut this - McNeil 1964</w:t>
      </w:r>
    </w:p>
  </w:comment>
  <w:comment w:id="3" w:author="Brian E McGreal" w:date="2026-06-09T10:36:00Z" w:initials="BM">
    <w:p w14:paraId="4C39C1F3" w14:textId="77777777" w:rsidR="00B304E3" w:rsidRDefault="00B304E3" w:rsidP="00A93E86">
      <w:pPr>
        <w:pStyle w:val="CommentText"/>
      </w:pPr>
      <w:r>
        <w:rPr>
          <w:rStyle w:val="CommentReference"/>
        </w:rPr>
        <w:annotationRef/>
      </w:r>
      <w:r>
        <w:t>Pink salmon life history</w:t>
      </w:r>
    </w:p>
  </w:comment>
  <w:comment w:id="4" w:author="Brian E McGreal" w:date="2026-06-12T16:48:00Z" w:initials="BM">
    <w:p w14:paraId="5ED27845" w14:textId="77777777" w:rsidR="00B304E3" w:rsidRDefault="00B304E3" w:rsidP="00E507FB">
      <w:pPr>
        <w:pStyle w:val="CommentText"/>
      </w:pPr>
      <w:r>
        <w:rPr>
          <w:rStyle w:val="CommentReference"/>
        </w:rPr>
        <w:annotationRef/>
      </w:r>
      <w:r>
        <w:t>Could this be in the methods section when decribing the data and approach?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474BF3" w15:done="0"/>
  <w15:commentEx w15:paraId="0175AECE" w15:done="0"/>
  <w15:commentEx w15:paraId="13C10208" w15:done="0"/>
  <w15:commentEx w15:paraId="4C39C1F3" w15:done="0"/>
  <w15:commentEx w15:paraId="5ED27845" w15:paraIdParent="4C39C1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D21039" w16cex:dateUtc="2026-06-12T20:46:00Z"/>
  <w16cex:commentExtensible w16cex:durableId="33B595A8" w16cex:dateUtc="2026-06-12T20:50:00Z"/>
  <w16cex:commentExtensible w16cex:durableId="7C7B2FF0" w16cex:dateUtc="2026-06-12T21:01:00Z"/>
  <w16cex:commentExtensible w16cex:durableId="3B561316" w16cex:dateUtc="2026-06-09T17:36:00Z"/>
  <w16cex:commentExtensible w16cex:durableId="675D153F" w16cex:dateUtc="2026-06-12T2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474BF3" w16cid:durableId="1DD21039"/>
  <w16cid:commentId w16cid:paraId="0175AECE" w16cid:durableId="33B595A8"/>
  <w16cid:commentId w16cid:paraId="13C10208" w16cid:durableId="7C7B2FF0"/>
  <w16cid:commentId w16cid:paraId="4C39C1F3" w16cid:durableId="3B561316"/>
  <w16cid:commentId w16cid:paraId="5ED27845" w16cid:durableId="675D15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E McGreal">
    <w15:presenceInfo w15:providerId="AD" w15:userId="S::bmcgreal@uw.edu::500ccbb3-e957-4a38-850c-c0c2fd4a68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910"/>
    <w:rsid w:val="000D31F2"/>
    <w:rsid w:val="00221E2E"/>
    <w:rsid w:val="002723CE"/>
    <w:rsid w:val="002E5EC5"/>
    <w:rsid w:val="00352418"/>
    <w:rsid w:val="003E6E67"/>
    <w:rsid w:val="00494125"/>
    <w:rsid w:val="004E2807"/>
    <w:rsid w:val="004E7B26"/>
    <w:rsid w:val="00523291"/>
    <w:rsid w:val="006F095A"/>
    <w:rsid w:val="007331A7"/>
    <w:rsid w:val="00741546"/>
    <w:rsid w:val="00786181"/>
    <w:rsid w:val="007A7169"/>
    <w:rsid w:val="007D4A30"/>
    <w:rsid w:val="007E6620"/>
    <w:rsid w:val="00844F3B"/>
    <w:rsid w:val="00925D5D"/>
    <w:rsid w:val="00985FE6"/>
    <w:rsid w:val="009C663E"/>
    <w:rsid w:val="00A2420B"/>
    <w:rsid w:val="00A328CD"/>
    <w:rsid w:val="00A46041"/>
    <w:rsid w:val="00A93E86"/>
    <w:rsid w:val="00AD37E1"/>
    <w:rsid w:val="00B304E3"/>
    <w:rsid w:val="00B37910"/>
    <w:rsid w:val="00BF2694"/>
    <w:rsid w:val="00D6232F"/>
    <w:rsid w:val="00DB2392"/>
    <w:rsid w:val="00DF03E8"/>
    <w:rsid w:val="00E507FB"/>
    <w:rsid w:val="00F66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D759A"/>
  <w15:chartTrackingRefBased/>
  <w15:docId w15:val="{6A5DAE03-CD17-4F3C-AE93-E5C1311BD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910"/>
  </w:style>
  <w:style w:type="paragraph" w:styleId="Heading1">
    <w:name w:val="heading 1"/>
    <w:basedOn w:val="Normal"/>
    <w:next w:val="Normal"/>
    <w:link w:val="Heading1Char"/>
    <w:uiPriority w:val="9"/>
    <w:qFormat/>
    <w:rsid w:val="00B37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910"/>
    <w:rPr>
      <w:rFonts w:eastAsiaTheme="majorEastAsia" w:cstheme="majorBidi"/>
      <w:color w:val="272727" w:themeColor="text1" w:themeTint="D8"/>
    </w:rPr>
  </w:style>
  <w:style w:type="paragraph" w:styleId="Title">
    <w:name w:val="Title"/>
    <w:basedOn w:val="Normal"/>
    <w:next w:val="Normal"/>
    <w:link w:val="TitleChar"/>
    <w:uiPriority w:val="10"/>
    <w:qFormat/>
    <w:rsid w:val="00B37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910"/>
    <w:pPr>
      <w:spacing w:before="160"/>
      <w:jc w:val="center"/>
    </w:pPr>
    <w:rPr>
      <w:i/>
      <w:iCs/>
      <w:color w:val="404040" w:themeColor="text1" w:themeTint="BF"/>
    </w:rPr>
  </w:style>
  <w:style w:type="character" w:customStyle="1" w:styleId="QuoteChar">
    <w:name w:val="Quote Char"/>
    <w:basedOn w:val="DefaultParagraphFont"/>
    <w:link w:val="Quote"/>
    <w:uiPriority w:val="29"/>
    <w:rsid w:val="00B37910"/>
    <w:rPr>
      <w:i/>
      <w:iCs/>
      <w:color w:val="404040" w:themeColor="text1" w:themeTint="BF"/>
    </w:rPr>
  </w:style>
  <w:style w:type="paragraph" w:styleId="ListParagraph">
    <w:name w:val="List Paragraph"/>
    <w:basedOn w:val="Normal"/>
    <w:uiPriority w:val="34"/>
    <w:qFormat/>
    <w:rsid w:val="00B37910"/>
    <w:pPr>
      <w:ind w:left="720"/>
      <w:contextualSpacing/>
    </w:pPr>
  </w:style>
  <w:style w:type="character" w:styleId="IntenseEmphasis">
    <w:name w:val="Intense Emphasis"/>
    <w:basedOn w:val="DefaultParagraphFont"/>
    <w:uiPriority w:val="21"/>
    <w:qFormat/>
    <w:rsid w:val="00B37910"/>
    <w:rPr>
      <w:i/>
      <w:iCs/>
      <w:color w:val="0F4761" w:themeColor="accent1" w:themeShade="BF"/>
    </w:rPr>
  </w:style>
  <w:style w:type="paragraph" w:styleId="IntenseQuote">
    <w:name w:val="Intense Quote"/>
    <w:basedOn w:val="Normal"/>
    <w:next w:val="Normal"/>
    <w:link w:val="IntenseQuoteChar"/>
    <w:uiPriority w:val="30"/>
    <w:qFormat/>
    <w:rsid w:val="00B37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910"/>
    <w:rPr>
      <w:i/>
      <w:iCs/>
      <w:color w:val="0F4761" w:themeColor="accent1" w:themeShade="BF"/>
    </w:rPr>
  </w:style>
  <w:style w:type="character" w:styleId="IntenseReference">
    <w:name w:val="Intense Reference"/>
    <w:basedOn w:val="DefaultParagraphFont"/>
    <w:uiPriority w:val="32"/>
    <w:qFormat/>
    <w:rsid w:val="00B37910"/>
    <w:rPr>
      <w:b/>
      <w:bCs/>
      <w:smallCaps/>
      <w:color w:val="0F4761" w:themeColor="accent1" w:themeShade="BF"/>
      <w:spacing w:val="5"/>
    </w:rPr>
  </w:style>
  <w:style w:type="paragraph" w:styleId="Revision">
    <w:name w:val="Revision"/>
    <w:hidden/>
    <w:uiPriority w:val="99"/>
    <w:semiHidden/>
    <w:rsid w:val="000D31F2"/>
    <w:pPr>
      <w:spacing w:after="0" w:line="240" w:lineRule="auto"/>
    </w:pPr>
  </w:style>
  <w:style w:type="character" w:styleId="CommentReference">
    <w:name w:val="annotation reference"/>
    <w:basedOn w:val="DefaultParagraphFont"/>
    <w:uiPriority w:val="99"/>
    <w:semiHidden/>
    <w:unhideWhenUsed/>
    <w:rsid w:val="00A93E86"/>
    <w:rPr>
      <w:sz w:val="16"/>
      <w:szCs w:val="16"/>
    </w:rPr>
  </w:style>
  <w:style w:type="paragraph" w:styleId="CommentText">
    <w:name w:val="annotation text"/>
    <w:basedOn w:val="Normal"/>
    <w:link w:val="CommentTextChar"/>
    <w:uiPriority w:val="99"/>
    <w:unhideWhenUsed/>
    <w:rsid w:val="00A93E86"/>
    <w:pPr>
      <w:spacing w:line="240" w:lineRule="auto"/>
    </w:pPr>
    <w:rPr>
      <w:sz w:val="20"/>
      <w:szCs w:val="20"/>
    </w:rPr>
  </w:style>
  <w:style w:type="character" w:customStyle="1" w:styleId="CommentTextChar">
    <w:name w:val="Comment Text Char"/>
    <w:basedOn w:val="DefaultParagraphFont"/>
    <w:link w:val="CommentText"/>
    <w:uiPriority w:val="99"/>
    <w:rsid w:val="00A93E86"/>
    <w:rPr>
      <w:sz w:val="20"/>
      <w:szCs w:val="20"/>
    </w:rPr>
  </w:style>
  <w:style w:type="paragraph" w:styleId="CommentSubject">
    <w:name w:val="annotation subject"/>
    <w:basedOn w:val="CommentText"/>
    <w:next w:val="CommentText"/>
    <w:link w:val="CommentSubjectChar"/>
    <w:uiPriority w:val="99"/>
    <w:semiHidden/>
    <w:unhideWhenUsed/>
    <w:rsid w:val="00A93E86"/>
    <w:rPr>
      <w:b/>
      <w:bCs/>
    </w:rPr>
  </w:style>
  <w:style w:type="character" w:customStyle="1" w:styleId="CommentSubjectChar">
    <w:name w:val="Comment Subject Char"/>
    <w:basedOn w:val="CommentTextChar"/>
    <w:link w:val="CommentSubject"/>
    <w:uiPriority w:val="99"/>
    <w:semiHidden/>
    <w:rsid w:val="00A93E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8</Pages>
  <Words>1804</Words>
  <Characters>10289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Brian E McGreal</cp:lastModifiedBy>
  <cp:revision>22</cp:revision>
  <dcterms:created xsi:type="dcterms:W3CDTF">2026-06-09T01:49:00Z</dcterms:created>
  <dcterms:modified xsi:type="dcterms:W3CDTF">2026-06-13T00:31:00Z</dcterms:modified>
</cp:coreProperties>
</file>