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1193"/>
      <w:bookmarkStart w:id="1" w:name="_Hlk201667573"/>
      <w:bookmarkEnd w:id="0"/>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commentRangeStart w:id="2"/>
      <w:r w:rsidRPr="00776C8C">
        <w:rPr>
          <w:u w:val="single"/>
        </w:rPr>
        <w:t>Abstract</w:t>
      </w:r>
    </w:p>
    <w:p w14:paraId="318F9DBF" w14:textId="77777777"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 xml:space="preserve">almon in Sitka National Historical Park’s Indian River. Though native to the river, numbers of </w:t>
      </w:r>
      <w:r>
        <w:t>pink salmon</w:t>
      </w:r>
      <w:r w:rsidRPr="00250E10">
        <w:t xml:space="preserve"> returning </w:t>
      </w:r>
      <w:r>
        <w:t xml:space="preserve">to spawn </w:t>
      </w:r>
      <w:r w:rsidRPr="00250E10">
        <w:t xml:space="preserve">in </w:t>
      </w:r>
      <w:r>
        <w:t>late summer</w:t>
      </w:r>
      <w:r w:rsidRPr="00250E10">
        <w:t xml:space="preserve"> have grown exponentially in recent decades, putting other fish species</w:t>
      </w:r>
      <w:r>
        <w:t xml:space="preserve"> that are</w:t>
      </w:r>
      <w:r w:rsidRPr="00250E10">
        <w:t xml:space="preserve"> </w:t>
      </w:r>
      <w:r>
        <w:t xml:space="preserve">reliant on the river </w:t>
      </w:r>
      <w:r w:rsidRPr="00250E10">
        <w:t xml:space="preserve">at risk. </w:t>
      </w:r>
      <w:r>
        <w:t>T</w:t>
      </w:r>
      <w:r w:rsidRPr="00250E10">
        <w:t xml:space="preserve">he </w:t>
      </w:r>
      <w:r>
        <w:t xml:space="preserve">U.S. </w:t>
      </w:r>
      <w:r w:rsidRPr="00250E10">
        <w:t xml:space="preserve">National Park Service mandates the maintenance of </w:t>
      </w:r>
      <w:r>
        <w:t xml:space="preserve">population densities </w:t>
      </w:r>
      <w:r w:rsidRPr="00250E10">
        <w:t xml:space="preserve">such as they would occur </w:t>
      </w:r>
      <w:r>
        <w:t xml:space="preserve">within a </w:t>
      </w:r>
      <w:r w:rsidRPr="00250E10">
        <w:t>“</w:t>
      </w:r>
      <w:r>
        <w:t>natural range of variation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 xml:space="preserve">his study seeks to determine whether the increased numbers of </w:t>
      </w:r>
      <w:r>
        <w:t>pink salmon</w:t>
      </w:r>
      <w:r w:rsidRPr="00250E10">
        <w:t xml:space="preserve"> observed at Indian River are </w:t>
      </w:r>
      <w:r>
        <w:t>typical</w:t>
      </w:r>
      <w:r w:rsidRPr="00250E10">
        <w:t xml:space="preserve"> of trends in the wider region</w:t>
      </w:r>
      <w:r>
        <w:t>, or whether hatchery operations may be driving the hyperabundant runs in recent years</w:t>
      </w:r>
      <w:r w:rsidRPr="00250E10">
        <w:t xml:space="preserve">. </w:t>
      </w:r>
      <w:commentRangeEnd w:id="2"/>
      <w:r w:rsidRPr="00776C8C">
        <w:rPr>
          <w:rStyle w:val="CommentReference"/>
          <w:sz w:val="24"/>
          <w:szCs w:val="24"/>
          <w:u w:val="single"/>
        </w:rPr>
        <w:commentReference w:id="2"/>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626338" w:rsidRDefault="00670218">
      <w:pPr>
        <w:spacing w:after="0" w:line="480" w:lineRule="auto"/>
        <w:rPr>
          <w:b/>
          <w:bCs/>
          <w:u w:val="single"/>
          <w:rPrChange w:id="3" w:author="Brian E McGreal" w:date="2026-03-27T10:38:00Z" w16du:dateUtc="2026-03-27T17:38:00Z">
            <w:rPr/>
          </w:rPrChange>
        </w:rPr>
        <w:pPrChange w:id="4" w:author="Brian E McGreal" w:date="2026-03-27T10:38:00Z" w16du:dateUtc="2026-03-27T17:38:00Z">
          <w:pPr>
            <w:pStyle w:val="ListParagraph"/>
            <w:spacing w:after="0" w:line="480" w:lineRule="auto"/>
            <w:ind w:left="360"/>
          </w:pPr>
        </w:pPrChange>
      </w:pPr>
      <w:r w:rsidRPr="00626338">
        <w:rPr>
          <w:b/>
          <w:bCs/>
          <w:u w:val="single"/>
          <w:rPrChange w:id="5" w:author="Brian E McGreal" w:date="2026-03-27T10:38:00Z" w16du:dateUtc="2026-03-27T17:38:00Z">
            <w:rPr/>
          </w:rPrChange>
        </w:rPr>
        <w:lastRenderedPageBreak/>
        <w:t xml:space="preserve">Introduction </w:t>
      </w:r>
    </w:p>
    <w:p w14:paraId="226B7545" w14:textId="0746477F" w:rsidR="008E583F" w:rsidRDefault="00226B01" w:rsidP="00A017CB">
      <w:pPr>
        <w:spacing w:after="0" w:line="480" w:lineRule="auto"/>
        <w:ind w:firstLine="720"/>
        <w:rPr>
          <w:ins w:id="6" w:author="Brian E McGreal" w:date="2026-03-09T09:14:00Z" w16du:dateUtc="2026-03-09T16:14:00Z"/>
        </w:rPr>
      </w:pPr>
      <w:ins w:id="7" w:author="Brian E McGreal" w:date="2026-03-09T09:22:00Z" w16du:dateUtc="2026-03-09T16:22:00Z">
        <w:r>
          <w:t>C</w:t>
        </w:r>
      </w:ins>
      <w:ins w:id="8" w:author="Brian E McGreal" w:date="2026-03-09T09:21:00Z" w16du:dateUtc="2026-03-09T16:21:00Z">
        <w:r>
          <w:t xml:space="preserve">onservation issues </w:t>
        </w:r>
      </w:ins>
      <w:ins w:id="9" w:author="Brian E McGreal" w:date="2026-03-09T09:22:00Z" w16du:dateUtc="2026-03-09T16:22:00Z">
        <w:r>
          <w:t xml:space="preserve">related to individual species are often the result of either the scarcity </w:t>
        </w:r>
      </w:ins>
      <w:ins w:id="10" w:author="Brian E McGreal" w:date="2026-03-09T09:24:00Z" w16du:dateUtc="2026-03-09T16:24:00Z">
        <w:r>
          <w:t xml:space="preserve">of a native plant or animal species, or </w:t>
        </w:r>
      </w:ins>
      <w:ins w:id="11" w:author="Brian E McGreal" w:date="2026-03-09T09:25:00Z" w16du:dateUtc="2026-03-09T16:25:00Z">
        <w:r>
          <w:t xml:space="preserve">of </w:t>
        </w:r>
      </w:ins>
      <w:ins w:id="12" w:author="Brian E McGreal" w:date="2026-03-09T09:24:00Z" w16du:dateUtc="2026-03-09T16:24:00Z">
        <w:r>
          <w:t>an abundance of non-native (exotic, invasive) species</w:t>
        </w:r>
      </w:ins>
      <w:ins w:id="13" w:author="Brian E McGreal" w:date="2026-03-09T09:25:00Z" w16du:dateUtc="2026-03-09T16:25:00Z">
        <w:r>
          <w:t xml:space="preserve">, </w:t>
        </w:r>
      </w:ins>
      <w:ins w:id="14" w:author="Brian E McGreal" w:date="2026-03-09T09:26:00Z" w16du:dateUtc="2026-03-09T16:26:00Z">
        <w:r>
          <w:t xml:space="preserve">with </w:t>
        </w:r>
      </w:ins>
      <w:ins w:id="15" w:author="Brian E McGreal" w:date="2026-03-09T09:25:00Z" w16du:dateUtc="2026-03-09T16:25:00Z">
        <w:r>
          <w:t xml:space="preserve">either </w:t>
        </w:r>
      </w:ins>
      <w:ins w:id="16" w:author="Brian E McGreal" w:date="2026-03-09T09:26:00Z" w16du:dateUtc="2026-03-09T16:26:00Z">
        <w:r>
          <w:t xml:space="preserve">scenario capable </w:t>
        </w:r>
      </w:ins>
      <w:ins w:id="17" w:author="Brian E McGreal" w:date="2026-03-09T09:25:00Z" w16du:dateUtc="2026-03-09T16:25:00Z">
        <w:r>
          <w:t xml:space="preserve">of </w:t>
        </w:r>
      </w:ins>
      <w:ins w:id="18" w:author="Brian E McGreal" w:date="2026-03-09T09:26:00Z" w16du:dateUtc="2026-03-09T16:26:00Z">
        <w:r>
          <w:t>imperiling</w:t>
        </w:r>
      </w:ins>
      <w:ins w:id="19" w:author="Brian E McGreal" w:date="2026-03-09T09:25:00Z" w16du:dateUtc="2026-03-09T16:25:00Z">
        <w:r>
          <w:t xml:space="preserve"> the ecosystems in which they occur</w:t>
        </w:r>
      </w:ins>
      <w:ins w:id="20" w:author="Brian E McGreal" w:date="2026-03-09T10:11:00Z" w16du:dateUtc="2026-03-09T17:11:00Z">
        <w:r w:rsidR="005D5E6A">
          <w:t xml:space="preserve"> (</w:t>
        </w:r>
      </w:ins>
      <w:ins w:id="21" w:author="Brian E McGreal" w:date="2026-03-09T11:06:00Z" w16du:dateUtc="2026-03-09T18:06:00Z">
        <w:r w:rsidR="00E06BFE">
          <w:t>El</w:t>
        </w:r>
      </w:ins>
      <w:ins w:id="22" w:author="Brian E McGreal" w:date="2026-03-09T11:07:00Z" w16du:dateUtc="2026-03-09T18:07:00Z">
        <w:r w:rsidR="00E06BFE">
          <w:t xml:space="preserve">lison et al. 2005, </w:t>
        </w:r>
      </w:ins>
      <w:ins w:id="23" w:author="Brian E McGreal" w:date="2026-03-09T11:08:00Z" w16du:dateUtc="2026-03-09T18:08:00Z">
        <w:r w:rsidR="00E06BFE">
          <w:t xml:space="preserve">Gallardo et al. 2015, </w:t>
        </w:r>
      </w:ins>
      <w:ins w:id="24" w:author="Brian E McGreal" w:date="2026-03-09T10:11:00Z" w16du:dateUtc="2026-03-09T17:11:00Z">
        <w:r w:rsidR="005D5E6A">
          <w:t>Jes</w:t>
        </w:r>
      </w:ins>
      <w:ins w:id="25" w:author="Brian E McGreal" w:date="2026-03-09T10:12:00Z" w16du:dateUtc="2026-03-09T17:12:00Z">
        <w:r w:rsidR="005D5E6A">
          <w:t>chke et al. 2014</w:t>
        </w:r>
      </w:ins>
      <w:ins w:id="26" w:author="Brian E McGreal" w:date="2026-03-09T10:11:00Z" w16du:dateUtc="2026-03-09T17:11:00Z">
        <w:r w:rsidR="005D5E6A">
          <w:t>)</w:t>
        </w:r>
      </w:ins>
      <w:ins w:id="27" w:author="Brian E McGreal" w:date="2026-03-09T09:25:00Z" w16du:dateUtc="2026-03-09T16:25:00Z">
        <w:r>
          <w:t>.</w:t>
        </w:r>
      </w:ins>
      <w:ins w:id="28" w:author="Brian E McGreal" w:date="2026-03-09T09:17:00Z" w16du:dateUtc="2026-03-09T16:17:00Z">
        <w:r w:rsidR="008E583F">
          <w:t xml:space="preserve"> </w:t>
        </w:r>
      </w:ins>
      <w:ins w:id="29" w:author="Brian E McGreal" w:date="2026-03-09T09:16:00Z" w16du:dateUtc="2026-03-09T16:16:00Z">
        <w:r w:rsidR="008E583F">
          <w:t xml:space="preserve"> </w:t>
        </w:r>
      </w:ins>
      <w:ins w:id="30" w:author="Brian E McGreal" w:date="2026-03-09T09:14:00Z" w16du:dateUtc="2026-03-09T16:14:00Z">
        <w:r w:rsidR="008E583F">
          <w:t>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ins>
      <w:r w:rsidR="00025AAD">
        <w:t xml:space="preserve"> </w:t>
      </w:r>
      <w:r w:rsidR="00EF4CE3">
        <w:t>Purple s</w:t>
      </w:r>
      <w:r w:rsidR="00025AAD">
        <w:t xml:space="preserve">ea urchin </w:t>
      </w:r>
      <w:r w:rsidR="00EF4CE3">
        <w:t>(</w:t>
      </w:r>
      <w:r w:rsidR="00EF4CE3" w:rsidRPr="00EF4CE3">
        <w:rPr>
          <w:i/>
          <w:iCs/>
        </w:rPr>
        <w:t>Strongylocentrotus purpuratus</w:t>
      </w:r>
      <w:r w:rsidR="00EF4CE3">
        <w:t xml:space="preserve">) </w:t>
      </w:r>
      <w:r w:rsidR="00025AAD">
        <w:t xml:space="preserve">hyperabundance in the northern Pacific has led to the devastation of </w:t>
      </w:r>
      <w:commentRangeStart w:id="31"/>
      <w:r w:rsidR="00025AAD">
        <w:t>kelp</w:t>
      </w:r>
      <w:commentRangeEnd w:id="31"/>
      <w:r w:rsidR="005B3082">
        <w:rPr>
          <w:rStyle w:val="CommentReference"/>
          <w:sz w:val="24"/>
          <w:szCs w:val="24"/>
        </w:rPr>
        <w:commentReference w:id="31"/>
      </w:r>
      <w:r w:rsidR="00025AAD">
        <w:t xml:space="preserve"> forests, critical ecosystems upon which countless marine species depend. This hyperabundance </w:t>
      </w:r>
      <w:r w:rsidR="00B424B2">
        <w:t>has been driven by a direct anthropogenic intervention,</w:t>
      </w:r>
      <w:r w:rsidR="00025AAD">
        <w:t xml:space="preserve"> the</w:t>
      </w:r>
      <w:r w:rsidR="00B424B2">
        <w:t xml:space="preserve"> decimation </w:t>
      </w:r>
      <w:r w:rsidR="00025AAD">
        <w:t xml:space="preserve">of </w:t>
      </w:r>
      <w:r w:rsidR="005B3082">
        <w:t xml:space="preserve">Pacific </w:t>
      </w:r>
      <w:r w:rsidR="00025AAD">
        <w:t>sea otter</w:t>
      </w:r>
      <w:r w:rsidR="005B3082">
        <w:t xml:space="preserve"> (</w:t>
      </w:r>
      <w:r w:rsidR="005B3082" w:rsidRPr="005B3082">
        <w:rPr>
          <w:i/>
          <w:iCs/>
        </w:rPr>
        <w:t>Enhydra lutris</w:t>
      </w:r>
      <w:r w:rsidR="005B3082">
        <w:t>)</w:t>
      </w:r>
      <w:r w:rsidR="00B424B2">
        <w:t xml:space="preserve"> populations</w:t>
      </w:r>
      <w:r w:rsidR="00025AAD">
        <w:t xml:space="preserve"> during the 1</w:t>
      </w:r>
      <w:r w:rsidR="00B424B2">
        <w:t>8</w:t>
      </w:r>
      <w:r w:rsidR="00025AAD" w:rsidRPr="00025AAD">
        <w:rPr>
          <w:vertAlign w:val="superscript"/>
        </w:rPr>
        <w:t>th</w:t>
      </w:r>
      <w:r w:rsidR="00025AAD">
        <w:t xml:space="preserve"> and </w:t>
      </w:r>
      <w:r w:rsidR="00B424B2">
        <w:t>19</w:t>
      </w:r>
      <w:r w:rsidR="00B424B2" w:rsidRPr="00B424B2">
        <w:rPr>
          <w:vertAlign w:val="superscript"/>
        </w:rPr>
        <w:t>th</w:t>
      </w:r>
      <w:r w:rsidR="00B424B2">
        <w:t xml:space="preserve"> centuries</w:t>
      </w:r>
      <w:r w:rsidR="00025AAD">
        <w:t xml:space="preserve"> due to the high value placed on otter pelts </w:t>
      </w:r>
      <w:r w:rsidR="005B3082">
        <w:t>by</w:t>
      </w:r>
      <w:r w:rsidR="00B424B2">
        <w:t xml:space="preserve"> the maritime fur trade. Otter populations have never recovered, and as a result ‘urchin barrens’ are a common feature in shallow coastal regions off the west coast of North America </w:t>
      </w:r>
      <w:r w:rsidR="00025AAD">
        <w:t>(</w:t>
      </w:r>
      <w:r w:rsidR="00B424B2">
        <w:t>Estes 2015</w:t>
      </w:r>
      <w:r w:rsidR="00025AAD">
        <w:t>)</w:t>
      </w:r>
      <w:r w:rsidR="00B424B2">
        <w:t>.</w:t>
      </w:r>
      <w:r w:rsidR="003323B4">
        <w:t xml:space="preserve"> More recently, a</w:t>
      </w:r>
      <w:r w:rsidR="00EF4CE3">
        <w:t>nother hyperabundant</w:t>
      </w:r>
      <w:r w:rsidR="003323B4">
        <w:t xml:space="preserve"> </w:t>
      </w:r>
      <w:r w:rsidR="00EF4CE3">
        <w:t>species</w:t>
      </w:r>
      <w:r w:rsidR="003323B4">
        <w:t>, t</w:t>
      </w:r>
      <w:r w:rsidR="00EF4CE3">
        <w:t>he mountain pine beetle (</w:t>
      </w:r>
      <w:r w:rsidR="00EF4CE3">
        <w:rPr>
          <w:i/>
          <w:iCs/>
        </w:rPr>
        <w:t>Dendroctonus ponderosae</w:t>
      </w:r>
      <w:r w:rsidR="00EF4CE3">
        <w:t xml:space="preserve">), </w:t>
      </w:r>
      <w:r w:rsidR="003323B4">
        <w:t>has caused catastrophic destruction of</w:t>
      </w:r>
      <w:r w:rsidR="00EF4CE3">
        <w:t xml:space="preserve"> coniferous forests </w:t>
      </w:r>
      <w:r w:rsidR="003323B4">
        <w:t xml:space="preserve">throughout its native range, the Rocky Mountains. While the mountain pine beetle’s life history has always involved causing damage to the inner bark of conifers, cold winter temperatures have previously limited the insects’ numbers and, by extension, their impacts on Rocky Mountain forests. However, as shifting climate patterns have led to warmer winters and longer summers, the mountain pine beetle has flourished and in doing so has devasted large swathes </w:t>
      </w:r>
      <w:r w:rsidR="00B40C10">
        <w:t>of forest habitat in Canada and the US</w:t>
      </w:r>
      <w:r w:rsidR="003323B4">
        <w:t xml:space="preserve"> </w:t>
      </w:r>
      <w:r w:rsidR="00EF4CE3">
        <w:t>(Gibson et al. 2008).</w:t>
      </w:r>
      <w:r w:rsidR="00B40C10">
        <w:t xml:space="preserve"> </w:t>
      </w:r>
      <w:r w:rsidR="00197700">
        <w:t xml:space="preserve">Unlike the </w:t>
      </w:r>
      <w:r w:rsidR="00197700">
        <w:lastRenderedPageBreak/>
        <w:t xml:space="preserve">direct human intervention responsible for hyperabundant purple urchins, the mountain pine beetle has proliferated due to a shifting trend in habitat suitability (albeit one that is due indirectly to human activities). </w:t>
      </w:r>
    </w:p>
    <w:p w14:paraId="5676B047" w14:textId="77777777" w:rsidR="00DB0CE4" w:rsidRDefault="000003B7" w:rsidP="00A017CB">
      <w:pPr>
        <w:spacing w:after="0" w:line="480" w:lineRule="auto"/>
        <w:ind w:firstLine="720"/>
      </w:pPr>
      <w:r>
        <w:t xml:space="preserve">If a hyperabundance of a native species occurs within a </w:t>
      </w:r>
      <w:r w:rsidR="002321EC">
        <w:t>conservation area, it may trigger the need for management action designed to protect other species within the same ecosystem</w:t>
      </w:r>
      <w:r w:rsidR="00C13D3C">
        <w:t xml:space="preserve"> and areas under the jurisdiction of the US National Park Service being no exception (National Park Service 2023, National Park Service 2025a)</w:t>
      </w:r>
      <w:r w:rsidR="002321EC">
        <w:t xml:space="preserve">. </w:t>
      </w:r>
      <w:r w:rsidR="00670218">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rsidR="00670218">
        <w:t>been to maintain abundances within a ‘natural range of variation’</w:t>
      </w:r>
      <w:r w:rsidR="004040BD">
        <w:t xml:space="preserve"> </w:t>
      </w:r>
      <w:r w:rsidR="004040BD">
        <w:rPr>
          <w:rFonts w:cstheme="minorHAnsi"/>
          <w:color w:val="202122"/>
          <w:shd w:val="clear" w:color="auto" w:fill="FFFFFF"/>
        </w:rPr>
        <w:t>(National Park Service 2025b)</w:t>
      </w:r>
      <w:r w:rsidR="004040BD">
        <w:t>.</w:t>
      </w:r>
      <w:r w:rsidR="004040BD">
        <w:t xml:space="preserve"> Notable occurrences in which native species fall outside this natural range of variation include the above-mentioned mountain pine beetle in Yellowstone and Rocky Mountain National Parks, and white-tailed deer </w:t>
      </w:r>
      <w:r w:rsidR="004040BD">
        <w:t>(</w:t>
      </w:r>
      <w:r w:rsidR="004040BD">
        <w:rPr>
          <w:i/>
          <w:iCs/>
        </w:rPr>
        <w:t>Odocoileus virginianus</w:t>
      </w:r>
      <w:r w:rsidR="004040BD">
        <w:t>)</w:t>
      </w:r>
      <w:r w:rsidR="004040BD">
        <w:t xml:space="preserve"> in many midwestern and eastern national parks, </w:t>
      </w:r>
      <w:r w:rsidR="004040BD">
        <w:t>capable of intense foraging on vegetation and the depletion of resources on which other species depend</w:t>
      </w:r>
      <w:r w:rsidR="004040BD">
        <w:t xml:space="preserve"> </w:t>
      </w:r>
      <w:del w:id="32" w:author="Brian E McGreal" w:date="2026-03-09T09:18:00Z" w16du:dateUtc="2026-03-09T16:18:00Z">
        <w:r w:rsidR="00670218" w:rsidRPr="00105DEF" w:rsidDel="008E583F">
          <w:rPr>
            <w:strike/>
          </w:rPr>
          <w:delText xml:space="preserve">However, harm to ecosystems can also be driven by </w:delText>
        </w:r>
        <w:r w:rsidR="005078EE" w:rsidRPr="00105DEF" w:rsidDel="008E583F">
          <w:rPr>
            <w:strike/>
          </w:rPr>
          <w:delText>the</w:delText>
        </w:r>
        <w:r w:rsidR="00670218" w:rsidRPr="00105DEF" w:rsidDel="008E583F">
          <w:rPr>
            <w:strike/>
          </w:rPr>
          <w:delText xml:space="preserve"> hyperabundance of a native species, due either to shifting regional trends in habitat suitability, to direct (and often anthropogenic) intervention, or to a combination of these factors (Sambaraju and Goodsman 2021, Beckett et al. 2022, Moore et al. 2023). </w:delText>
        </w:r>
      </w:del>
      <w:r w:rsidR="005078EE" w:rsidRPr="004040BD">
        <w:t>(Gibson et al. 2008</w:t>
      </w:r>
      <w:r w:rsidR="004040BD">
        <w:t xml:space="preserve">, </w:t>
      </w:r>
      <w:r w:rsidR="005078EE">
        <w:t xml:space="preserve">Miller et al. 2023). </w:t>
      </w:r>
    </w:p>
    <w:p w14:paraId="439291BE" w14:textId="284B4A7A" w:rsidR="00670218" w:rsidRDefault="00670218" w:rsidP="00A017CB">
      <w:pPr>
        <w:spacing w:after="0" w:line="480" w:lineRule="auto"/>
        <w:ind w:firstLine="720"/>
      </w:pPr>
      <w:r>
        <w:t xml:space="preserve">While there is little debate that these </w:t>
      </w:r>
      <w:r w:rsidR="004040BD">
        <w:t>hyperabundances</w:t>
      </w:r>
      <w:r>
        <w:t xml:space="preserve"> </w:t>
      </w:r>
      <w:r w:rsidR="004040BD">
        <w:t>create</w:t>
      </w:r>
      <w:r>
        <w:t xml:space="preserve"> </w:t>
      </w:r>
      <w:r w:rsidR="004040BD">
        <w:t>the</w:t>
      </w:r>
      <w:r>
        <w:t xml:space="preserve">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finding themselves confronted with such issues must make careful and informed decisions based on the best scientific information available</w:t>
      </w:r>
      <w:r>
        <w:t xml:space="preserve"> as they seek to interpret and implement the mandate to preserve resources in a natural condition. </w:t>
      </w:r>
      <w:r w:rsidR="004D0C78">
        <w:t xml:space="preserve">Hyperabundant </w:t>
      </w:r>
      <w:r w:rsidR="004D0C78">
        <w:lastRenderedPageBreak/>
        <w:t>native species are not given anywhere near the same attention as invasive species</w:t>
      </w:r>
      <w:r w:rsidR="00B94D98">
        <w:t xml:space="preserve"> </w:t>
      </w:r>
      <w:r w:rsidR="004D0C78">
        <w:t xml:space="preserve">in </w:t>
      </w:r>
      <w:r w:rsidR="00E64ABF">
        <w:t>scientific</w:t>
      </w:r>
      <w:r w:rsidR="004D0C78">
        <w:t xml:space="preserve"> literature</w:t>
      </w:r>
      <w:r w:rsidR="00B60336">
        <w:t xml:space="preserve">, and identifying these instances as they occur is challenging </w:t>
      </w:r>
      <w:r w:rsidR="00B94D98">
        <w:t>(</w:t>
      </w:r>
      <w:r w:rsidR="004D0C78">
        <w:t>Valéry et al. 2013</w:t>
      </w:r>
      <w:r w:rsidR="00B94D98">
        <w:t>)</w:t>
      </w:r>
      <w:r w:rsidR="00B60336">
        <w:t>.</w:t>
      </w:r>
      <w:r w:rsidR="00942F0B">
        <w:t xml:space="preserve"> While historical presence, abundance, or </w:t>
      </w:r>
      <w:r w:rsidR="00E64ABF">
        <w:t>range</w:t>
      </w:r>
      <w:r w:rsidR="00942F0B">
        <w:t xml:space="preserve"> of a species is useful when available, these data are often non-existent or sorely lacking (Carey et al. 2012).</w:t>
      </w:r>
    </w:p>
    <w:p w14:paraId="6E37A897" w14:textId="58B6BEE0" w:rsidR="00670218" w:rsidRDefault="00670218" w:rsidP="009056D1">
      <w:pPr>
        <w:spacing w:after="0" w:line="480" w:lineRule="auto"/>
        <w:ind w:firstLine="360"/>
      </w:pPr>
      <w:r>
        <w:t xml:space="preserve">With these ideas in mind, </w:t>
      </w:r>
      <w:r w:rsidR="00303024">
        <w:t xml:space="preserve">this 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112-acre coastal park located </w:t>
      </w:r>
      <w:r w:rsidR="00740E18">
        <w:t>(as the name suggests) 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commentRangeStart w:id="33"/>
      <w:r w:rsidR="009056D1" w:rsidRPr="00A017CB">
        <w:rPr>
          <w:rFonts w:cstheme="minorHAnsi"/>
          <w:color w:val="202122"/>
          <w:u w:val="single"/>
          <w:shd w:val="clear" w:color="auto" w:fill="FFFFFF"/>
        </w:rPr>
        <w:t>K</w:t>
      </w:r>
      <w:r w:rsidR="009056D1" w:rsidRPr="00A017CB">
        <w:rPr>
          <w:rFonts w:cstheme="minorHAnsi"/>
          <w:color w:val="202122"/>
          <w:shd w:val="clear" w:color="auto" w:fill="FFFFFF"/>
        </w:rPr>
        <w:t xml:space="preserve">aasda Héen </w:t>
      </w:r>
      <w:r w:rsidR="009056D1">
        <w:rPr>
          <w:rFonts w:cstheme="minorHAnsi"/>
          <w:color w:val="202122"/>
          <w:shd w:val="clear" w:color="auto" w:fill="FFFFFF"/>
        </w:rPr>
        <w:t xml:space="preserve">(the </w:t>
      </w:r>
      <w:r w:rsidR="00740E18">
        <w:t>Indian River</w:t>
      </w:r>
      <w:r w:rsidR="009056D1">
        <w:t>)</w:t>
      </w:r>
      <w:r w:rsidR="00740E18">
        <w:t>, the main reach and intertidal area of which fall within park boundaries.</w:t>
      </w:r>
      <w:r w:rsidRPr="00A017CB">
        <w:rPr>
          <w:rFonts w:cstheme="minorHAnsi"/>
          <w:color w:val="202122"/>
          <w:shd w:val="clear" w:color="auto" w:fill="FFFFFF"/>
        </w:rPr>
        <w:t xml:space="preserve"> </w:t>
      </w:r>
      <w:r>
        <w:t>(National Park Service 2025</w:t>
      </w:r>
      <w:r w:rsidR="00C13D3C">
        <w:t>c</w:t>
      </w:r>
      <w:r>
        <w:t>)</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 xml:space="preserve">the Indian River </w:t>
      </w:r>
      <w:commentRangeEnd w:id="33"/>
      <w:r w:rsidR="009056D1" w:rsidRPr="00A017CB">
        <w:rPr>
          <w:rStyle w:val="CommentReference"/>
          <w:rFonts w:cstheme="minorHAnsi"/>
          <w:color w:val="202122"/>
          <w:sz w:val="24"/>
          <w:szCs w:val="24"/>
          <w:shd w:val="clear" w:color="auto" w:fill="FFFFFF"/>
        </w:rPr>
        <w:commentReference w:id="33"/>
      </w:r>
      <w:r w:rsidRPr="00A017CB">
        <w:rPr>
          <w:rFonts w:cstheme="minorHAnsi"/>
          <w:color w:val="202122"/>
          <w:shd w:val="clear" w:color="auto" w:fill="FFFFFF"/>
        </w:rPr>
        <w:t>has been the location of a fishing camp and harvesting site for the Kiks.ádi clan, and particularly valued for its close proximity to the clan’s winter villages, as well as for hosting runs of a variety of Pacific salmon species, including 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enter the 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Pr="00CD14B8">
        <w:t xml:space="preserve">. This leads to two </w:t>
      </w:r>
      <w:r w:rsidRPr="00CD14B8">
        <w:lastRenderedPageBreak/>
        <w:t xml:space="preserve">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w:t>
      </w:r>
      <w:r>
        <w:lastRenderedPageBreak/>
        <w:t xml:space="preserve">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This water is 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0107CA4D" w14:textId="0B8E4031" w:rsidR="00A60972"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(Figure </w:t>
      </w:r>
      <w:r w:rsidR="00A368FA">
        <w:t>1</w:t>
      </w:r>
      <w:r w:rsidR="00F8072F">
        <w:t>)</w:t>
      </w:r>
      <w:r>
        <w:t>.</w:t>
      </w:r>
      <w:r w:rsidR="00A60972">
        <w:t xml:space="preserve"> While</w:t>
      </w:r>
      <w:r w:rsidR="006F23FA">
        <w:t xml:space="preserve"> </w:t>
      </w:r>
      <w:r w:rsidR="00A60972">
        <w:t xml:space="preserve">it has been shown that </w:t>
      </w:r>
      <w:r w:rsidR="006F23FA">
        <w:t xml:space="preserve">both the </w:t>
      </w:r>
      <w:r w:rsidR="00A60972">
        <w:t>purposeful</w:t>
      </w:r>
      <w:r w:rsidR="006F23FA">
        <w:t xml:space="preserve"> and incidental</w:t>
      </w:r>
      <w:r w:rsidR="00A60972">
        <w:t xml:space="preserve"> introduction </w:t>
      </w:r>
      <w:r w:rsidR="00A60972">
        <w:lastRenderedPageBreak/>
        <w:t>of hatchery salmon into streams with native populations can contribute to increased abundances</w:t>
      </w:r>
      <w:r w:rsidR="00A60972">
        <w:t xml:space="preserve"> (</w:t>
      </w:r>
      <w:r w:rsidR="00267F5F">
        <w:t xml:space="preserve">Anderson et al. 2014, </w:t>
      </w:r>
      <w:r w:rsidR="006F23FA">
        <w:t>McMillan et al. 2023</w:t>
      </w:r>
      <w:r w:rsidR="00A60972">
        <w:t>).</w:t>
      </w:r>
      <w:r>
        <w:t xml:space="preserve"> </w:t>
      </w:r>
    </w:p>
    <w:p w14:paraId="3F008B98" w14:textId="252E6C91" w:rsidR="00670218" w:rsidRDefault="00670218" w:rsidP="00A017CB">
      <w:pPr>
        <w:spacing w:after="0" w:line="480" w:lineRule="auto"/>
        <w:ind w:firstLine="360"/>
      </w:pPr>
      <w:r>
        <w:t xml:space="preserve">Hatchery-origin fish at Indian River can be distinguished from natural-origin fish because all pink salmon released by the hatchery are subject to a process called otolith marking, in which small carbonate bodies located in the inner ‘ears’ of 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7CF7FB77" w14:textId="57244B80" w:rsidR="007F5330" w:rsidRDefault="00A368FA" w:rsidP="00DA70F0">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w:t>
      </w:r>
      <w:r>
        <w:lastRenderedPageBreak/>
        <w:t xml:space="preserve">monitoring effort provides a regional backdrop against which abundances observed at Indian 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However, this data alone does not provide sufficient evidence to conclude whether and to what extent Sheldon Jackson Hatchery has influenced pink salmon abundance at Indian River. </w:t>
      </w:r>
      <w:r w:rsidR="00DF38BD">
        <w:t xml:space="preserve">Understanding whether pink salmon at Indian River exist within a natural range of variation requires parsing this context. </w:t>
      </w:r>
      <w:r w:rsidR="007F5330">
        <w:t xml:space="preserve"> </w:t>
      </w:r>
    </w:p>
    <w:p w14:paraId="2AB6F4F6" w14:textId="48CD7686" w:rsidR="00BD7B83" w:rsidRDefault="00BD7B83" w:rsidP="002D76A3">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If the commencement (or 2010 expansion) of hatchery operations has significantly 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w:t>
      </w:r>
      <w:r>
        <w:lastRenderedPageBreak/>
        <w:t>the treated group). Finally, the impact of hatchery releases on Indian River abundances may be 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52E0369E" w:rsidR="00670218" w:rsidRDefault="00670218" w:rsidP="00A017CB">
      <w:pPr>
        <w:spacing w:after="0" w:line="480" w:lineRule="auto"/>
      </w:pPr>
      <w:r>
        <w:t xml:space="preserve">ADFG conducts annual aerial surveys of approximately 700 streams in southeast Alaska to monitor pink salmon escapement commercial fisheries management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r w:rsidR="007C46E2">
        <w:t xml:space="preserve">In addition to these aerial surveys, SJH files annual reports </w:t>
      </w:r>
      <w:r w:rsidR="007C46E2">
        <w:lastRenderedPageBreak/>
        <w:t>with ADFG</w:t>
      </w:r>
      <w:r w:rsidR="007C46E2" w:rsidRPr="007C46E2">
        <w:t xml:space="preserve"> </w:t>
      </w:r>
      <w:r w:rsidR="007C46E2">
        <w:t>which include</w:t>
      </w:r>
      <w:r w:rsidR="007C46E2" w:rsidRPr="007C46E2">
        <w:t xml:space="preserve"> the number of salmon juveniles reared and released, the number of 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r w:rsidR="007C003B">
        <w:t xml:space="preserve"> (L. Wilson, ADFG, personal communication, July 9, 2025)</w:t>
      </w:r>
      <w:r w:rsidR="007C46E2" w:rsidRPr="007C46E2">
        <w:t>.</w:t>
      </w:r>
    </w:p>
    <w:p w14:paraId="6730D5E4" w14:textId="0FEB8577" w:rsidR="004A1DBD" w:rsidRDefault="003542B1" w:rsidP="00246989">
      <w:pPr>
        <w:spacing w:after="0" w:line="480" w:lineRule="auto"/>
        <w:ind w:firstLine="360"/>
      </w:pPr>
      <w:r>
        <w:t>Due to their life history</w:t>
      </w:r>
      <w:r w:rsidR="00B96F76">
        <w:t xml:space="preserve"> of immediately migrating into the ocean as juveniles</w:t>
      </w:r>
      <w:r>
        <w:t xml:space="preserve">, </w:t>
      </w:r>
      <w:r w:rsidR="008D1BFB">
        <w:t xml:space="preserve">the </w:t>
      </w:r>
      <w:r w:rsidR="00B96F76">
        <w:t>marine environment</w:t>
      </w:r>
      <w:r w:rsidR="008D1BFB">
        <w:t xml:space="preserve"> </w:t>
      </w:r>
      <w:r>
        <w:t xml:space="preserve">is </w:t>
      </w:r>
      <w:r w:rsidR="008D1BFB">
        <w:t xml:space="preserve">critical rearing habitat </w:t>
      </w:r>
      <w:r>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may go a long way towards explaining year-to-year variations in returning adults. The Pacific Decadal Oscillation, a recurring pattern of Northen Pacific sea surface temperature, has been shown to be robustly correlated with salmon production regimes off the coast of Alaska</w:t>
      </w:r>
      <w:r w:rsidR="00F26C13">
        <w:t xml:space="preserve"> (Mantua et al. 1997). As such, this research leverages data on ocean climate in the form of PDO as recorded by the US National Oceanic and Atmospheric Administration (NOAA).  </w:t>
      </w:r>
    </w:p>
    <w:p w14:paraId="4E0CE35B" w14:textId="1E19B084" w:rsidR="00F26C13" w:rsidRDefault="004327DF" w:rsidP="00A017CB">
      <w:pPr>
        <w:spacing w:after="0" w:line="480" w:lineRule="auto"/>
        <w:ind w:firstLine="360"/>
      </w:pPr>
      <w:r>
        <w:t xml:space="preserve">Survey data used in this study covers the period from 1960 to 2023. </w:t>
      </w:r>
      <w:r w:rsidR="00670218">
        <w:t>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w:t>
      </w:r>
      <w:r w:rsidR="00097C72">
        <w:t>3</w:t>
      </w:r>
      <w:r w:rsidR="00670218">
        <w:t xml:space="preserve"> (n = </w:t>
      </w:r>
      <w:r w:rsidR="00097C72">
        <w:t>54</w:t>
      </w:r>
      <w:r w:rsidR="00670218">
        <w:t xml:space="preserve"> annual observations). </w:t>
      </w:r>
      <w:r w:rsidR="007C46E2">
        <w:t>Annual reports from Sheldon Jackson Hatchery</w:t>
      </w:r>
      <w:r w:rsidR="00223722">
        <w:t xml:space="preserve"> are available from 1975 onwards, commensurate with the </w:t>
      </w:r>
      <w:r w:rsidR="0087213E">
        <w:t xml:space="preserve">establishment of the </w:t>
      </w:r>
      <w:r w:rsidR="00223722">
        <w:t>hatchery.</w:t>
      </w:r>
      <w:r w:rsidR="00F26C13">
        <w:t xml:space="preserve"> </w:t>
      </w:r>
      <w:r w:rsidR="00321B88">
        <w:t>NOAA PDO data included in this research likewise covers the period from 1960 to 2023.</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0F3D1B0C" w:rsidR="002657D1" w:rsidRDefault="005C4DB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w:t>
      </w:r>
      <w:r w:rsidR="000672D9">
        <w:t xml:space="preserve">. This is critical feature allows these models to be used determine how many true underlying states a set of observations represents, by comparing goodness of fit between various specifications of </w:t>
      </w:r>
      <w:r w:rsidR="000672D9" w:rsidRPr="00C64BF8">
        <w:rPr>
          <w:rFonts w:ascii="MathJax_Math-italic" w:eastAsia="Times New Roman" w:hAnsi="MathJax_Math-italic" w:cs="Times New Roman"/>
          <w:b/>
          <w:bCs/>
          <w:kern w:val="0"/>
          <w:sz w:val="26"/>
          <w:szCs w:val="26"/>
          <w:bdr w:val="none" w:sz="0" w:space="0" w:color="auto" w:frame="1"/>
          <w14:ligatures w14:val="none"/>
        </w:rPr>
        <w:t>Z</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w:t>
      </w:r>
      <w:r w:rsidR="003042E8">
        <w:t>the existence of some</w:t>
      </w:r>
      <w:r>
        <w:t xml:space="preserv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w:t>
      </w:r>
      <w:r w:rsidR="00A43887">
        <w:lastRenderedPageBreak/>
        <w:t xml:space="preserve">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021368C5"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w:t>
      </w:r>
      <w:r w:rsidR="000672D9">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43A5FE48" w14:textId="7A12324E" w:rsidR="00EF0488" w:rsidRDefault="00EF0488" w:rsidP="00EF0488">
      <w:pPr>
        <w:spacing w:after="0" w:line="480" w:lineRule="auto"/>
      </w:pPr>
      <w:r>
        <w:lastRenderedPageBreak/>
        <w:t>The first stage of this research attempt</w:t>
      </w:r>
      <w:r w:rsidR="007C003B">
        <w:t>s</w:t>
      </w:r>
      <w:r>
        <w:t xml:space="preserve">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Pr="003C6E79">
        <w:rPr>
          <w:i/>
          <w:iCs/>
        </w:rPr>
        <w:t>north southeast (outside)</w:t>
      </w:r>
      <w:r>
        <w:t xml:space="preserve"> index streams) to estimate one underlying state process of pink salmon abundance throughout the region. A comparison of how well each model fits the abundance data will either lend support to or undermine the notion that Indian River pink salmon abundances significantly differ from those observed elsewhere in the region throughout the study period. </w:t>
      </w:r>
    </w:p>
    <w:p w14:paraId="202321FB" w14:textId="71A7405B" w:rsidR="00670218" w:rsidRDefault="00FC2324" w:rsidP="00246989">
      <w:pPr>
        <w:spacing w:after="0" w:line="480" w:lineRule="auto"/>
        <w:ind w:firstLine="720"/>
      </w:pPr>
      <w:r>
        <w:t xml:space="preserve">Data is standardized at the stream level so that streams of varying available pink salmon habitat may be directly compared. </w:t>
      </w:r>
      <w:r w:rsidR="00670218">
        <w:t xml:space="preserve">These models include covariate controls for ocean climate and the observer of record for each time series observation (in </w:t>
      </w:r>
      <w:r w:rsidR="00670218" w:rsidRPr="003C6E79">
        <w:rPr>
          <w:i/>
          <w:iCs/>
        </w:rPr>
        <w:t>north southeast (outside)</w:t>
      </w:r>
      <w:r w:rsidR="00670218">
        <w:t xml:space="preserve"> index streams</w:t>
      </w:r>
      <w:r w:rsidR="007C003B">
        <w:t>,</w:t>
      </w:r>
      <w:r w:rsidR="00670218">
        <w:t xml:space="preserve"> the observer was recorded in 77% of observations, with the rest being assigned an unknown observer). The specification of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is of particular importance to this work, as it defines</w:t>
      </w:r>
      <w:r w:rsidR="00391B74">
        <w:t xml:space="preserve"> the number of underlying state processes a model estimates. A </w:t>
      </w:r>
      <w:r w:rsidR="00670218">
        <w:t>36</w:t>
      </w:r>
      <w:r w:rsidR="00391B74">
        <w:t xml:space="preserve"> </w:t>
      </w:r>
      <w:r w:rsidR="00670218">
        <w:t>x</w:t>
      </w:r>
      <w:r w:rsidR="00391B74">
        <w:t xml:space="preserve"> </w:t>
      </w:r>
      <w:r w:rsidR="00670218">
        <w:t xml:space="preserve">2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matrix</w:t>
      </w:r>
      <w:r w:rsidR="00391B74">
        <w:t xml:space="preserve"> defines two underlying states being represented by 36 observations</w:t>
      </w:r>
      <w:r w:rsidR="00670218">
        <w:t xml:space="preserve">, </w:t>
      </w:r>
      <w:r w:rsidR="00391B74">
        <w:t xml:space="preserve">and </w:t>
      </w:r>
      <w:r w:rsidR="00246989">
        <w:t xml:space="preserve">may </w:t>
      </w:r>
      <w:r w:rsidR="00391B74">
        <w:t xml:space="preserve">be written to </w:t>
      </w:r>
      <w:r w:rsidR="00670218">
        <w:t>selec</w:t>
      </w:r>
      <w:r w:rsidR="00391B74">
        <w:t>t</w:t>
      </w:r>
      <w:r w:rsidR="00670218">
        <w:t xml:space="preserve"> the Indian River as representative of one state and all other streams in the sub-region as representative of a second state. </w:t>
      </w:r>
      <w:r w:rsidR="007C003B">
        <w:t>To</w:t>
      </w:r>
      <w:r w:rsidR="00391B74">
        <w:t xml:space="preserve"> specify a model in which all observations are representative of a single underlying state, </w:t>
      </w:r>
      <w:r w:rsidR="00391B74" w:rsidRPr="00C64BF8">
        <w:rPr>
          <w:rFonts w:ascii="MathJax_Math-italic" w:eastAsia="Times New Roman" w:hAnsi="MathJax_Math-italic" w:cs="Times New Roman"/>
          <w:b/>
          <w:bCs/>
          <w:kern w:val="0"/>
          <w:sz w:val="26"/>
          <w:szCs w:val="26"/>
          <w:bdr w:val="none" w:sz="0" w:space="0" w:color="auto" w:frame="1"/>
          <w14:ligatures w14:val="none"/>
        </w:rPr>
        <w:t>Z</w:t>
      </w:r>
      <w:r w:rsidR="00391B74">
        <w:t xml:space="preserve"> is defined as a 36 x 1</w:t>
      </w:r>
      <w:r w:rsidR="00E82478">
        <w:t xml:space="preserve"> column</w:t>
      </w:r>
      <w:r w:rsidR="00391B74">
        <w:t xml:space="preserve"> vector </w:t>
      </w:r>
      <w:r w:rsidR="00E82478">
        <w:t>of 1’s.</w:t>
      </w:r>
      <w:r w:rsidR="00391B74">
        <w:t xml:space="preserve"> </w:t>
      </w:r>
      <w:r w:rsidR="00670218">
        <w:t xml:space="preserve">No </w:t>
      </w:r>
      <w:r w:rsidR="00391B74">
        <w:t xml:space="preserve">offset is </w:t>
      </w:r>
      <w:r w:rsidR="00670218">
        <w:t xml:space="preserve">estimated for the observation process, but the model allows for distinct trends in both underlying states. </w:t>
      </w:r>
      <w:r w:rsidR="00670218">
        <w:lastRenderedPageBreak/>
        <w:t>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1E7B3B00" w:rsidR="009D55B2" w:rsidRDefault="003C6E79" w:rsidP="003C6E79">
      <w:pPr>
        <w:spacing w:after="0" w:line="480" w:lineRule="auto"/>
        <w:ind w:firstLine="720"/>
      </w:pPr>
      <w:r>
        <w:t xml:space="preserve">Once fitted, this model estimates </w:t>
      </w:r>
      <w:r w:rsidR="00E82478">
        <w:t xml:space="preserve">either one or </w:t>
      </w:r>
      <w:r>
        <w:t>two</w:t>
      </w:r>
      <w:r w:rsidR="00E82478">
        <w:t xml:space="preserve"> </w:t>
      </w:r>
      <w:r>
        <w:t xml:space="preserve">underlying </w:t>
      </w:r>
      <w:r w:rsidR="00E82478">
        <w:t xml:space="preserve">state processes </w:t>
      </w:r>
      <w:r>
        <w:t xml:space="preserve">of pink salmon abundance, </w:t>
      </w:r>
      <w:r w:rsidR="00E82478">
        <w:t xml:space="preserve">depending on the specification of </w:t>
      </w:r>
      <w:r w:rsidR="00E82478" w:rsidRPr="00C64BF8">
        <w:rPr>
          <w:rFonts w:ascii="MathJax_Math-italic" w:eastAsia="Times New Roman" w:hAnsi="MathJax_Math-italic" w:cs="Times New Roman"/>
          <w:b/>
          <w:bCs/>
          <w:kern w:val="0"/>
          <w:sz w:val="26"/>
          <w:szCs w:val="26"/>
          <w:bdr w:val="none" w:sz="0" w:space="0" w:color="auto" w:frame="1"/>
          <w14:ligatures w14:val="none"/>
        </w:rPr>
        <w:t>Z</w:t>
      </w:r>
      <w:r w:rsidR="00E82478">
        <w:t xml:space="preserve">. In the two state model, </w:t>
      </w:r>
      <w:r>
        <w:t>one</w:t>
      </w:r>
      <w:r w:rsidR="00E82478">
        <w:t xml:space="preserve"> state</w:t>
      </w:r>
      <w:r>
        <w:t xml:space="preserve"> </w:t>
      </w:r>
      <w:r w:rsidR="007C003B">
        <w:t>represents</w:t>
      </w:r>
      <w:r>
        <w:t xml:space="preserve"> Indian River</w:t>
      </w:r>
      <w:r w:rsidR="007C003B">
        <w:t>,</w:t>
      </w:r>
      <w:r>
        <w:t xml:space="preserve"> </w:t>
      </w:r>
      <w:r w:rsidR="00E82478">
        <w:t>while</w:t>
      </w:r>
      <w:r>
        <w:t xml:space="preserve"> the other represent</w:t>
      </w:r>
      <w:r w:rsidR="00E82478">
        <w:t>s</w:t>
      </w:r>
      <w:r>
        <w:t xml:space="preserve"> a regional average state of pink salmon abundance in index streams (recall that index streams are selected by ADFG due to their not being heavily influenced by human activity).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6BFF426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region, there are four models that must be fit. 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w:t>
      </w:r>
      <w:r>
        <w:lastRenderedPageBreak/>
        <w:t xml:space="preserve">is specified such that, for each run, all 35 index streams and Indian River are treated as representative of one underlying state, leading to the model estimating two state processes total. There </w:t>
      </w:r>
      <w:r w:rsidR="006002FE">
        <w:t>are</w:t>
      </w:r>
      <w:r>
        <w:t xml:space="preserve"> two other important cases to consider. What if, due to some variation in the underlying genetics of each run, that odd-year runs at Indian River exhibit substantial variation in annual abundance from those of streams in the wider region, while even-runs at Indian River generally fall within the region’s natural range of variation, or vice versa? 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77777777" w:rsidR="00060EB8" w:rsidRDefault="00060EB8" w:rsidP="00060EB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7F89A2B1" w14:textId="7C6A8D42" w:rsidR="00060EB8" w:rsidRDefault="00060EB8" w:rsidP="00BA6468">
      <w:pPr>
        <w:spacing w:after="0" w:line="480" w:lineRule="auto"/>
        <w:ind w:firstLine="720"/>
      </w:pPr>
      <w:r>
        <w:lastRenderedPageBreak/>
        <w:t>This research seeks to take advantage of these distinct time periods by utilizing a difference-in-difference (DD) framework. This quasi-experimental approach</w:t>
      </w:r>
      <w:r w:rsidR="00597FAB">
        <w:t xml:space="preserve"> is</w:t>
      </w:r>
      <w:r w:rsidR="0096153E">
        <w:t xml:space="preserve"> </w:t>
      </w:r>
      <w:r>
        <w:t xml:space="preserve">designed to assess the </w:t>
      </w:r>
      <w:r w:rsidR="00597FAB">
        <w:t>effect</w:t>
      </w:r>
      <w:r>
        <w:t xml:space="preserve"> of </w:t>
      </w:r>
      <w:r w:rsidR="00597FAB">
        <w:t>a treatment</w:t>
      </w:r>
      <w:r>
        <w:t xml:space="preserve"> (in this case the operations of SJH) on an outcome of interest (pink salmon abundance at Indian River)</w:t>
      </w:r>
      <w:r w:rsidR="00597FAB">
        <w:t xml:space="preserve"> and is commonly employed</w:t>
      </w:r>
      <w:r w:rsidR="0096153E">
        <w:t xml:space="preserve"> when </w:t>
      </w:r>
      <w:r w:rsidR="00597FAB">
        <w:t>evaluating</w:t>
      </w:r>
      <w:r w:rsidR="0096153E">
        <w:t xml:space="preserve"> the impact of </w:t>
      </w:r>
      <w:r w:rsidR="00597FAB">
        <w:t>an anthropogenic interventions</w:t>
      </w:r>
      <w:r w:rsidR="0096153E">
        <w:t xml:space="preserve"> on wild salmonid populations</w:t>
      </w:r>
      <w:r w:rsidR="00AC48BB">
        <w:t xml:space="preserve"> (</w:t>
      </w:r>
      <w:r w:rsidR="00734A33">
        <w:t xml:space="preserve">Levin and Tolimieri 2001, </w:t>
      </w:r>
      <w:r w:rsidR="00AC48BB">
        <w:t>Berejikian et al. 2025</w:t>
      </w:r>
      <w:r w:rsidR="00C02ADB">
        <w:t>, Pearsons and Hillman 2025</w:t>
      </w:r>
      <w:r w:rsidR="00AC48BB">
        <w:t>)</w:t>
      </w:r>
      <w:r>
        <w:t>.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77777777" w:rsidR="00060EB8" w:rsidRDefault="00060EB8" w:rsidP="00060EB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w:t>
      </w:r>
      <w:r>
        <w:lastRenderedPageBreak/>
        <w:t>groups, known as the parallel trends assumption, is bolstered through the application of event studies which evaluate whether trends in control and treatment groups are mathematically similar in the pre-treatment period (Cunningham 2021).</w:t>
      </w:r>
    </w:p>
    <w:p w14:paraId="28256842" w14:textId="1B0ACCFB" w:rsidR="00A2387C" w:rsidRDefault="00060EB8" w:rsidP="00BA6468">
      <w:pPr>
        <w:spacing w:after="0" w:line="480" w:lineRule="auto"/>
        <w:ind w:firstLine="360"/>
      </w:pPr>
      <w:r>
        <w:t xml:space="preserve">This research applies a DD framework to MARSS models </w:t>
      </w:r>
      <w:r w:rsidR="004F779B">
        <w:t>to</w:t>
      </w:r>
      <w:r>
        <w:t xml:space="preserve"> once again control for observation error and to capture the autoregressive behavior of the underlying state processes. The indicator variables described above are</w:t>
      </w:r>
      <w:r w:rsidR="004F779B">
        <w:t xml:space="preserve"> represented in the MARSS framework with careful model specification and the</w:t>
      </w:r>
      <w:r>
        <w:t xml:space="preserve"> inclu</w:t>
      </w:r>
      <w:r w:rsidR="004F779B">
        <w:t>sion of</w:t>
      </w:r>
      <w:r>
        <w:t xml:space="preserve"> covariate data in the process equation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w:t>
      </w:r>
      <w:r w:rsidR="004F779B">
        <w:t>,</w:t>
      </w:r>
      <w:r>
        <w:t xml:space="preserve"> with </w:t>
      </w:r>
      <w:r w:rsidRPr="00344E76">
        <w:rPr>
          <w:rFonts w:ascii="MathJax_Math-italic" w:eastAsia="Times New Roman" w:hAnsi="MathJax_Math-italic" w:cs="Times New Roman"/>
          <w:b/>
          <w:bCs/>
          <w:kern w:val="0"/>
          <w:sz w:val="26"/>
          <w:szCs w:val="26"/>
          <w:bdr w:val="none" w:sz="0" w:space="0" w:color="auto" w:frame="1"/>
          <w14:ligatures w14:val="none"/>
        </w:rPr>
        <w:t>C</w:t>
      </w:r>
      <w:r>
        <w:t xml:space="preserve"> specified to capture the effects of interest. </w:t>
      </w:r>
      <w:r w:rsidR="004F779B">
        <w:t>Rather than include an indicator variable for treatment group (</w:t>
      </w:r>
      <w:r w:rsidR="004F779B" w:rsidRPr="00C64BF8">
        <w:rPr>
          <w:rFonts w:ascii="MathJax_Math-italic" w:eastAsia="Times New Roman" w:hAnsi="MathJax_Math-italic" w:cs="Times New Roman"/>
          <w:kern w:val="0"/>
          <w:sz w:val="26"/>
          <w:szCs w:val="26"/>
          <w:bdr w:val="none" w:sz="0" w:space="0" w:color="auto" w:frame="1"/>
          <w14:ligatures w14:val="none"/>
        </w:rPr>
        <w:t>β</w:t>
      </w:r>
      <w:r w:rsidR="004F779B" w:rsidRPr="00C64BF8">
        <w:rPr>
          <w:rFonts w:ascii="MathJax_Math-italic" w:eastAsia="Times New Roman" w:hAnsi="MathJax_Math-italic" w:cs="Times New Roman"/>
          <w:kern w:val="0"/>
          <w:sz w:val="26"/>
          <w:szCs w:val="26"/>
          <w:bdr w:val="none" w:sz="0" w:space="0" w:color="auto" w:frame="1"/>
          <w:vertAlign w:val="subscript"/>
          <w14:ligatures w14:val="none"/>
        </w:rPr>
        <w:t>1</w:t>
      </w:r>
      <w:r w:rsidR="004F779B">
        <w:t xml:space="preserve">), </w:t>
      </w:r>
      <w:r w:rsidR="004F779B" w:rsidRPr="00C64BF8">
        <w:rPr>
          <w:rFonts w:ascii="MathJax_Math-italic" w:eastAsia="Times New Roman" w:hAnsi="MathJax_Math-italic" w:cs="Times New Roman"/>
          <w:b/>
          <w:bCs/>
          <w:kern w:val="0"/>
          <w:sz w:val="26"/>
          <w:szCs w:val="26"/>
          <w:bdr w:val="none" w:sz="0" w:space="0" w:color="auto" w:frame="1"/>
          <w14:ligatures w14:val="none"/>
        </w:rPr>
        <w:t>Z</w:t>
      </w:r>
      <w:r w:rsidR="004F779B">
        <w:t xml:space="preserve"> is specified to allow the treatment group (observations at Indian River) to be estimated as a separate state from the control group (observations made at ADFG’s other </w:t>
      </w:r>
      <w:r w:rsidR="004F779B" w:rsidRPr="003C6E79">
        <w:rPr>
          <w:i/>
          <w:iCs/>
        </w:rPr>
        <w:t>north southeast (outside)</w:t>
      </w:r>
      <w:r w:rsidR="004F779B">
        <w:t xml:space="preserve"> index stream). Separate models consider two treatment periods: 1) t</w:t>
      </w:r>
      <w:r>
        <w:t xml:space="preserve">he period </w:t>
      </w:r>
      <w:r w:rsidR="004F779B">
        <w:t xml:space="preserve">related to the commencement of hatchery operations </w:t>
      </w:r>
      <w:r w:rsidR="005B7404">
        <w:t>(</w:t>
      </w:r>
      <w:r>
        <w:t>post-1980</w:t>
      </w:r>
      <w:r w:rsidR="005B7404">
        <w:t>)</w:t>
      </w:r>
      <w:r>
        <w:t xml:space="preserve">, </w:t>
      </w:r>
      <w:r w:rsidR="005B7404">
        <w:t>and 2) the period related to the expansion of permitted pink salmon production at SJH (p</w:t>
      </w:r>
      <w:r>
        <w:t>ost-2010</w:t>
      </w:r>
      <w:r w:rsidR="005B7404">
        <w:t>)</w:t>
      </w:r>
      <w:r>
        <w:t xml:space="preserve">. </w:t>
      </w:r>
      <w:r w:rsidR="00DF0566">
        <w:t>Because of the autoregressive character of state processes in MARSS models, an intervention occurring at a single time step can impact the time series many steps into the future. It is easy to imagine that a recurring intervention could impact the time series at multiple time steps, pushing it far from its original state</w:t>
      </w:r>
      <w:r w:rsidR="00D15E91">
        <w:t xml:space="preserve">. </w:t>
      </w:r>
      <w:r w:rsidR="006745B4">
        <w:t>However, i</w:t>
      </w:r>
      <w:r w:rsidR="00D15E91">
        <w:t xml:space="preserve">n </w:t>
      </w:r>
      <w:r w:rsidR="006745B4">
        <w:t>a</w:t>
      </w:r>
      <w:r w:rsidR="00D15E91">
        <w:t xml:space="preserve"> case </w:t>
      </w:r>
      <w:r w:rsidR="006745B4">
        <w:t xml:space="preserve">wherein a recurring intervention is driving the abundance of some natural population, there </w:t>
      </w:r>
      <w:r w:rsidR="000E5A64">
        <w:t>is likely to exist</w:t>
      </w:r>
      <w:r w:rsidR="006745B4">
        <w:t xml:space="preserve"> some upper limit beyond which the effect of an intervention would be detectable due to the carrying capacity of the ecosystem in which the population exists</w:t>
      </w:r>
      <w:r w:rsidR="000E5A64">
        <w:t xml:space="preserve"> (del Monte-Luna et al. 2004)</w:t>
      </w:r>
      <w:r w:rsidR="006745B4">
        <w:t xml:space="preserve">. </w:t>
      </w:r>
      <w:r w:rsidR="0086192A">
        <w:t>In order to thoroughly explore this possibilit</w:t>
      </w:r>
      <w:r w:rsidR="00AB15D6">
        <w:t>y</w:t>
      </w:r>
      <w:r w:rsidR="0086192A">
        <w:t xml:space="preserve">, </w:t>
      </w:r>
      <w:r w:rsidR="00AB15D6">
        <w:t>i</w:t>
      </w:r>
      <w:r w:rsidR="005B7404">
        <w:t>terations of covariate data related to treatment period (</w:t>
      </w:r>
      <w:r w:rsidR="005B7404" w:rsidRPr="00C64BF8">
        <w:rPr>
          <w:rFonts w:ascii="MathJax_Math-italic" w:eastAsia="Times New Roman" w:hAnsi="MathJax_Math-italic" w:cs="Times New Roman"/>
          <w:b/>
          <w:bCs/>
          <w:kern w:val="0"/>
          <w:sz w:val="26"/>
          <w:szCs w:val="26"/>
          <w:bdr w:val="none" w:sz="0" w:space="0" w:color="auto" w:frame="1"/>
          <w14:ligatures w14:val="none"/>
        </w:rPr>
        <w:t>c</w:t>
      </w:r>
      <w:r w:rsidR="005B7404"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5B7404">
        <w:t xml:space="preserve">) were constructed to </w:t>
      </w:r>
      <w:r w:rsidR="0086192A">
        <w:t>indicate</w:t>
      </w:r>
      <w:r w:rsidR="005B7404">
        <w:t xml:space="preserve"> </w:t>
      </w:r>
      <w:r w:rsidR="0086192A">
        <w:t xml:space="preserve">the occurrence of </w:t>
      </w:r>
      <w:r w:rsidR="005B7404">
        <w:t>treatment</w:t>
      </w:r>
      <w:r w:rsidR="0086192A">
        <w:t xml:space="preserve"> in any number of consecutive years following the initial application of </w:t>
      </w:r>
      <w:r w:rsidR="0086192A">
        <w:lastRenderedPageBreak/>
        <w:t>treatment</w:t>
      </w:r>
      <w:r w:rsidR="00AB15D6">
        <w:t xml:space="preserve">. </w:t>
      </w:r>
      <w:r w:rsidR="006F4BBF">
        <w:t>The comparison of m</w:t>
      </w:r>
      <w:r w:rsidR="00AB15D6">
        <w:t xml:space="preserve">ultiple specifications of </w:t>
      </w:r>
      <w:r w:rsidR="00AB15D6" w:rsidRPr="00344E76">
        <w:rPr>
          <w:rFonts w:ascii="MathJax_Math-italic" w:eastAsia="Times New Roman" w:hAnsi="MathJax_Math-italic" w:cs="Times New Roman"/>
          <w:b/>
          <w:bCs/>
          <w:kern w:val="0"/>
          <w:sz w:val="26"/>
          <w:szCs w:val="26"/>
          <w:bdr w:val="none" w:sz="0" w:space="0" w:color="auto" w:frame="1"/>
          <w14:ligatures w14:val="none"/>
        </w:rPr>
        <w:t>C</w:t>
      </w:r>
      <w:r w:rsidR="00AB15D6">
        <w:t xml:space="preserve"> capture</w:t>
      </w:r>
      <w:r w:rsidR="006F4BBF">
        <w:t>s</w:t>
      </w:r>
      <w:r w:rsidR="00AB15D6">
        <w:t xml:space="preserve"> </w:t>
      </w:r>
      <w:r w:rsidR="006F4BBF" w:rsidRPr="00C64BF8">
        <w:rPr>
          <w:rFonts w:ascii="MathJax_Math-italic" w:eastAsia="Times New Roman" w:hAnsi="MathJax_Math-italic" w:cs="Times New Roman"/>
          <w:kern w:val="0"/>
          <w:sz w:val="26"/>
          <w:szCs w:val="26"/>
          <w:bdr w:val="none" w:sz="0" w:space="0" w:color="auto" w:frame="1"/>
          <w14:ligatures w14:val="none"/>
        </w:rPr>
        <w:t>β</w:t>
      </w:r>
      <w:r w:rsidR="006F4BBF">
        <w:rPr>
          <w:rFonts w:ascii="MathJax_Math-italic" w:eastAsia="Times New Roman" w:hAnsi="MathJax_Math-italic" w:cs="Times New Roman"/>
          <w:kern w:val="0"/>
          <w:sz w:val="26"/>
          <w:szCs w:val="26"/>
          <w:bdr w:val="none" w:sz="0" w:space="0" w:color="auto" w:frame="1"/>
          <w:vertAlign w:val="subscript"/>
          <w14:ligatures w14:val="none"/>
        </w:rPr>
        <w:t>2</w:t>
      </w:r>
      <w:r w:rsidR="006F4BBF">
        <w:t xml:space="preserve"> and </w:t>
      </w:r>
      <w:r w:rsidR="006F4BBF" w:rsidRPr="00C64BF8">
        <w:rPr>
          <w:rFonts w:ascii="MathJax_Math-italic" w:eastAsia="Times New Roman" w:hAnsi="MathJax_Math-italic" w:cs="Times New Roman"/>
          <w:kern w:val="0"/>
          <w:sz w:val="26"/>
          <w:szCs w:val="26"/>
          <w:bdr w:val="none" w:sz="0" w:space="0" w:color="auto" w:frame="1"/>
          <w14:ligatures w14:val="none"/>
        </w:rPr>
        <w:t>β</w:t>
      </w:r>
      <w:r w:rsidR="006F4BBF"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6F4BBF">
        <w:t>. By comparing the fit of a model which allows separate effects for the treatment period to be estimated at Indian River and throughout the wider region, to the fit of a model which asserts one region wide effect of the treatment period, it can be determined whether some additional effect of treatment at Indian River exists beyond that of the treatment period throughout the study area. Finally, m</w:t>
      </w:r>
      <w:r>
        <w:t>odels are specified including additional covariates to further isolate the effect of interest, controlling for observer</w:t>
      </w:r>
      <w:r w:rsidR="005B7404">
        <w:t xml:space="preserve"> and</w:t>
      </w:r>
      <w:r>
        <w:t xml:space="preserve"> for </w:t>
      </w:r>
      <w:r w:rsidR="005B7404">
        <w:t xml:space="preserve">ocean climate via </w:t>
      </w:r>
      <w:r>
        <w:t>PDO. Th</w:t>
      </w:r>
      <w:r w:rsidR="006F4BBF">
        <w:t>is procedure leads to many</w:t>
      </w:r>
      <w:r>
        <w:t xml:space="preserve"> competing specifications</w:t>
      </w:r>
      <w:r w:rsidR="006F4BBF">
        <w:t>: 22 sets of covariate data (</w:t>
      </w:r>
      <w:r w:rsidR="006F4BBF" w:rsidRPr="00C64BF8">
        <w:rPr>
          <w:rFonts w:ascii="MathJax_Math-italic" w:eastAsia="Times New Roman" w:hAnsi="MathJax_Math-italic" w:cs="Times New Roman"/>
          <w:b/>
          <w:bCs/>
          <w:kern w:val="0"/>
          <w:sz w:val="26"/>
          <w:szCs w:val="26"/>
          <w:bdr w:val="none" w:sz="0" w:space="0" w:color="auto" w:frame="1"/>
          <w14:ligatures w14:val="none"/>
        </w:rPr>
        <w:t>c</w:t>
      </w:r>
      <w:r w:rsidR="006F4BBF"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F4BBF">
        <w:t xml:space="preserve">) in the post-1980 model which each must be evaluated against 2 competing </w:t>
      </w:r>
      <w:r w:rsidR="006F4BBF" w:rsidRPr="00344E76">
        <w:rPr>
          <w:rFonts w:ascii="MathJax_Math-italic" w:eastAsia="Times New Roman" w:hAnsi="MathJax_Math-italic" w:cs="Times New Roman"/>
          <w:b/>
          <w:bCs/>
          <w:kern w:val="0"/>
          <w:sz w:val="26"/>
          <w:szCs w:val="26"/>
          <w:bdr w:val="none" w:sz="0" w:space="0" w:color="auto" w:frame="1"/>
          <w14:ligatures w14:val="none"/>
        </w:rPr>
        <w:t>C</w:t>
      </w:r>
      <w:r>
        <w:t xml:space="preserve"> </w:t>
      </w:r>
      <w:r w:rsidR="006F4BBF">
        <w:t xml:space="preserve">matrices. These models are fit and then </w:t>
      </w:r>
      <w:r>
        <w:t>evaluated using AICc</w:t>
      </w:r>
      <w:r w:rsidR="006F4BBF">
        <w:t xml:space="preserve"> to determine which specification best describes the </w:t>
      </w:r>
      <w:r w:rsidR="004B21F9">
        <w:t>data</w:t>
      </w:r>
      <w:r>
        <w:t xml:space="preserve">. </w:t>
      </w:r>
    </w:p>
    <w:p w14:paraId="5A918DB5" w14:textId="726F0526" w:rsidR="002A4213" w:rsidRDefault="00060EB8" w:rsidP="00A2387C">
      <w:pPr>
        <w:spacing w:after="0" w:line="480" w:lineRule="auto"/>
        <w:ind w:firstLine="360"/>
      </w:pPr>
      <w:r>
        <w:t>To ensure that the parallel trends assumption holds between treatment and control groups during the pre-treatment period, event studies are undertaken on the best fit models</w:t>
      </w:r>
      <w:r w:rsidR="002A4213">
        <w:t>. Simple linear models are structured to isolate the effect of Indian River on pink salmon abundances during pre-treatment periods, as illustrated below:</w:t>
      </w:r>
    </w:p>
    <w:p w14:paraId="1CF65058" w14:textId="77777777" w:rsidR="002A4213" w:rsidRDefault="002A4213" w:rsidP="002A4213">
      <w:pPr>
        <w:spacing w:after="0" w:line="480" w:lineRule="auto"/>
      </w:pPr>
    </w:p>
    <w:p w14:paraId="3074EF8D" w14:textId="77777777" w:rsidR="002A4213" w:rsidRPr="008F33A8" w:rsidRDefault="002A4213" w:rsidP="002A4213">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1116B4D0" w14:textId="77777777" w:rsidR="002A4213" w:rsidRDefault="002A4213" w:rsidP="002A4213">
      <w:pPr>
        <w:spacing w:after="0" w:line="480" w:lineRule="auto"/>
      </w:pPr>
    </w:p>
    <w:p w14:paraId="32D3E6AE" w14:textId="65512B8F" w:rsidR="00060EB8" w:rsidRDefault="002A4213" w:rsidP="002A4213">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 xml:space="preserve">indicates </w:t>
      </w:r>
      <w:r w:rsidR="00672EBC">
        <w:t>whether</w:t>
      </w:r>
      <w:r>
        <w:t xml:space="preserve">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w:t>
      </w:r>
      <w:r w:rsidR="00060EB8">
        <w:lastRenderedPageBreak/>
        <w:t xml:space="preserve">groups significantly differ, a synthetic control group is constructed using a weighted average of untreated streams to match the Indian River’s pre-treatment trend. </w:t>
      </w:r>
    </w:p>
    <w:p w14:paraId="62C5440C" w14:textId="2553023A" w:rsidR="00060EB8" w:rsidRDefault="00060EB8" w:rsidP="00060EB8">
      <w:pPr>
        <w:spacing w:after="0" w:line="480" w:lineRule="auto"/>
        <w:ind w:firstLine="360"/>
      </w:pPr>
      <w:r>
        <w:t>Parametric bootstrapping is employed on the best fit models to construct confidence intervals around the parameter estimates</w:t>
      </w:r>
      <w:r w:rsidR="00FB4201">
        <w:t xml:space="preserve"> of interest</w:t>
      </w:r>
      <w:r>
        <w:t>. A statistically significant estimate of</w:t>
      </w:r>
      <w:r w:rsidR="00FB4201">
        <w:t xml:space="preserve"> the treatment period at Indian River that differs from the effect observed throughout the region would imply</w:t>
      </w:r>
      <w:r>
        <w:t xml:space="preserve"> indicate that SJH operations are </w:t>
      </w:r>
      <w:r w:rsidR="00FB4201">
        <w:t>having some impact on pink salmon abundances.</w:t>
      </w:r>
      <w:r>
        <w:t xml:space="preserve"> However, even if an estimate is found to be statistically significant</w:t>
      </w:r>
      <w:r w:rsidR="00FB4201">
        <w:t xml:space="preserve"> and different to the effect of the treatment period observed at other streams in the region</w:t>
      </w:r>
      <w:r>
        <w:t xml:space="preserve">, the size of the effect must also be considered, as even a significant effect may not be responsible for a large impact on salmon abundance. </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AD82FAA" w:rsidR="00F4350E" w:rsidRDefault="004B019B" w:rsidP="00C64BF8">
      <w:pPr>
        <w:spacing w:after="0" w:line="480" w:lineRule="auto"/>
      </w:pPr>
      <w:r>
        <w:t>Finally</w:t>
      </w:r>
      <w:r w:rsidR="00670218">
        <w:t xml:space="preserve">, </w:t>
      </w:r>
      <w:r w:rsidR="00060EB8">
        <w:t>this research</w:t>
      </w:r>
      <w:r w:rsidR="00670218">
        <w:t xml:space="preserve"> focus</w:t>
      </w:r>
      <w:r w:rsidR="00060EB8">
        <w:t>es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w:t>
      </w:r>
      <w:commentRangeStart w:id="34"/>
      <w:commentRangeStart w:id="35"/>
      <w:commentRangeStart w:id="36"/>
      <w:commentRangeStart w:id="37"/>
      <w:r w:rsidR="00670218">
        <w:t xml:space="preserve">It is important to consider the effect of straying both to and from Indian River, as both would influence the abundances observed in stream. </w:t>
      </w:r>
      <w:commentRangeEnd w:id="36"/>
      <w:r w:rsidR="00205B63">
        <w:rPr>
          <w:rStyle w:val="CommentReference"/>
          <w:sz w:val="24"/>
          <w:szCs w:val="24"/>
        </w:rPr>
        <w:commentReference w:id="36"/>
      </w:r>
      <w:commentRangeEnd w:id="37"/>
      <w:r w:rsidR="00F275C7">
        <w:rPr>
          <w:rStyle w:val="CommentReference"/>
          <w:sz w:val="24"/>
          <w:szCs w:val="24"/>
        </w:rPr>
        <w:commentReference w:id="37"/>
      </w:r>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w:t>
      </w:r>
      <w:r w:rsidR="00670218">
        <w:lastRenderedPageBreak/>
        <w:t>percent increases from one time step to the next.</w:t>
      </w:r>
      <w:commentRangeEnd w:id="34"/>
      <w:r w:rsidR="009B5B49">
        <w:rPr>
          <w:rStyle w:val="CommentReference"/>
          <w:sz w:val="24"/>
          <w:szCs w:val="24"/>
        </w:rPr>
        <w:commentReference w:id="34"/>
      </w:r>
      <w:commentRangeEnd w:id="35"/>
      <w:r w:rsidR="00F275C7">
        <w:rPr>
          <w:rStyle w:val="CommentReference"/>
          <w:sz w:val="24"/>
          <w:szCs w:val="24"/>
        </w:rPr>
        <w:commentReference w:id="35"/>
      </w:r>
      <w:r w:rsidR="00670218">
        <w:t xml:space="preserve"> </w:t>
      </w:r>
      <w:r w:rsidR="005B1CFB">
        <w:t>Parametric bootstrapping is employed to construct confidence intervals around these parameter estimates.</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38"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lastRenderedPageBreak/>
        <w:t>Regional Abundance</w:t>
      </w:r>
    </w:p>
    <w:p w14:paraId="03F45F5B" w14:textId="0C23291B" w:rsidR="00C3066D" w:rsidRDefault="007635F3" w:rsidP="00F4350E">
      <w:pPr>
        <w:spacing w:after="0" w:line="480" w:lineRule="auto"/>
      </w:pPr>
      <w:r>
        <w:t>For both even- and odd-year runs</w:t>
      </w:r>
      <w:commentRangeStart w:id="39"/>
      <w:commentRangeStart w:id="40"/>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w:t>
      </w:r>
      <w:commentRangeStart w:id="41"/>
      <w:r w:rsidR="00837571">
        <w:t>regional average</w:t>
      </w:r>
      <w:commentRangeEnd w:id="41"/>
      <w:r w:rsidR="00837571">
        <w:rPr>
          <w:rStyle w:val="CommentReference"/>
          <w:sz w:val="24"/>
          <w:szCs w:val="24"/>
        </w:rPr>
        <w:commentReference w:id="41"/>
      </w:r>
      <w:r w:rsidR="00837571">
        <w:t>, while odd-year Indian River abundance in 1961 was estimated to be 1.326 standard deviations lower</w:t>
      </w:r>
      <w:r w:rsidR="00C3066D">
        <w:t>. Over the course of the time series, Indian River abundances for both runs “catch-up” to what would be expected of an average pink salmon index stream</w:t>
      </w:r>
      <w:r w:rsidR="001A405D">
        <w:t xml:space="preserve">, although odd-year Indian River runs take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runs are closely aligned with the average index stream, exceeding the average in some years and falling short in others, but in either case not by an amount that appears drastic when visually appraised</w:t>
      </w:r>
      <w:r>
        <w:t xml:space="preserve"> (Figure 3)</w:t>
      </w:r>
      <w:r w:rsidR="001A405D">
        <w:t>.</w:t>
      </w:r>
      <w:commentRangeEnd w:id="39"/>
      <w:r w:rsidR="009C0B82">
        <w:rPr>
          <w:rStyle w:val="CommentReference"/>
          <w:sz w:val="24"/>
          <w:szCs w:val="24"/>
        </w:rPr>
        <w:commentReference w:id="39"/>
      </w:r>
      <w:commentRangeEnd w:id="40"/>
      <w:r w:rsidR="00F9527E">
        <w:rPr>
          <w:rStyle w:val="CommentReference"/>
          <w:sz w:val="24"/>
          <w:szCs w:val="24"/>
        </w:rPr>
        <w:commentReference w:id="40"/>
      </w:r>
    </w:p>
    <w:p w14:paraId="09E780EF" w14:textId="511D4277" w:rsidR="00FC2324" w:rsidRPr="00C3066D" w:rsidRDefault="006A0FFE" w:rsidP="00A2387C">
      <w:pPr>
        <w:spacing w:after="0" w:line="480" w:lineRule="auto"/>
      </w:pPr>
      <w:r>
        <w:tab/>
      </w:r>
      <w:r w:rsidR="007635F3">
        <w:t>P</w:t>
      </w:r>
      <w:r>
        <w:t>ink salmon abundances observed in recent years at Indian River</w:t>
      </w:r>
      <w:r w:rsidR="008D3168">
        <w:t xml:space="preserve"> do not seem to </w:t>
      </w:r>
      <w:r w:rsidR="001B7645">
        <w:t xml:space="preserve">deviate wildly from the </w:t>
      </w:r>
      <w:commentRangeStart w:id="42"/>
      <w:r w:rsidR="001B7645">
        <w:t>regional average</w:t>
      </w:r>
      <w:commentRangeEnd w:id="42"/>
      <w:r w:rsidR="00AF5677">
        <w:rPr>
          <w:rStyle w:val="CommentReference"/>
          <w:sz w:val="24"/>
          <w:szCs w:val="24"/>
        </w:rPr>
        <w:commentReference w:id="42"/>
      </w:r>
      <w:r>
        <w:t xml:space="preserve">. However, plotting these time series is not enough to conclusively state that abundances at Indian River do not differ from those that would be expected of an average pink salmon index stream in the region in a statistically significant way. </w:t>
      </w:r>
      <w:del w:id="43" w:author="Brian McGreal" w:date="2026-03-30T12:29:00Z" w16du:dateUtc="2026-03-30T19:29:00Z">
        <w:r w:rsidR="00B50797" w:rsidDel="002A4213">
          <w:delText xml:space="preserve"> </w:delText>
        </w:r>
      </w:del>
      <w:r w:rsidR="001B7645">
        <w:t xml:space="preserve">Models specified to allow the estimation of different underlying states are compared for best fit (Table 1). The best fit model allows includes a separate underlying state of Indian River pink salmon abundance in odd years, while estimating a single underlying state of pink salmon abundance throughout the region (including Indian River) in even years. </w:t>
      </w:r>
      <w:r w:rsidR="00112BBF">
        <w:t>Due to the difference in AICc of 12.916 between this model and t</w:t>
      </w:r>
      <w:r w:rsidR="001B7645">
        <w:t>he model with the second best fit</w:t>
      </w:r>
      <w:r w:rsidR="00112BBF">
        <w:t xml:space="preserve"> (which</w:t>
      </w:r>
      <w:r w:rsidR="001B7645">
        <w:t xml:space="preserve"> allows for both even- and odd-year Indian River pink salmon abundance to be estimated as separate from regional abundances</w:t>
      </w:r>
      <w:r w:rsidR="00112BBF">
        <w:t xml:space="preserve">) means that, given the available data, this model can be said to be best </w:t>
      </w:r>
      <w:r w:rsidR="00112BBF">
        <w:lastRenderedPageBreak/>
        <w:t xml:space="preserve">with 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AE03EE">
        <w:t xml:space="preserve">differ significantly. It is important to note that this difference may be </w:t>
      </w:r>
      <w:r w:rsidR="00112BBF">
        <w:t xml:space="preserve">may be due to the large differences between </w:t>
      </w:r>
      <w:r w:rsidR="00AE03EE">
        <w:t xml:space="preserve">odd year </w:t>
      </w:r>
      <w:r w:rsidR="00112BBF">
        <w:t xml:space="preserve">time series observed </w:t>
      </w:r>
      <w:r w:rsidR="00AE03EE">
        <w:t>in the first 30 years of the study period (Figure 3), which could suggest that SJH releases may not be a primary driver of this disparity</w:t>
      </w:r>
      <w:r w:rsidR="00112BBF">
        <w:t>.</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5BF7CC99" w14:textId="09F09387" w:rsidR="007B0F67" w:rsidRDefault="00672EBC" w:rsidP="003D1E65">
      <w:pPr>
        <w:spacing w:after="0" w:line="480" w:lineRule="auto"/>
      </w:pPr>
      <w:r>
        <w:t xml:space="preserve">Separate </w:t>
      </w:r>
      <w:r w:rsidR="00FE133B">
        <w:t>difference-in-difference</w:t>
      </w:r>
      <w:r>
        <w:t xml:space="preserve"> models were fit for </w:t>
      </w:r>
      <w:r w:rsidR="00FE133B">
        <w:t xml:space="preserve">the post-1980 and post-2010 treatment periods. </w:t>
      </w:r>
      <w:r w:rsidR="001370D1">
        <w:t xml:space="preserve">In both cases and for both even- and odd-year runs, AICc comparisons of various model specifications </w:t>
      </w:r>
      <w:r w:rsidR="003042E8">
        <w:t xml:space="preserve">find </w:t>
      </w:r>
      <w:r w:rsidR="001370D1">
        <w:t>that models</w:t>
      </w:r>
      <w:r w:rsidR="003042E8">
        <w:t xml:space="preserve"> which </w:t>
      </w:r>
      <w:r w:rsidR="001370D1">
        <w:t xml:space="preserve">do not treat Indian River as a separate state from the greater region are best fit, implying that no significant effect of either the commencement or expansion of hatchery operations is observable at Indian River. For both models, multiple specifications of </w:t>
      </w:r>
      <w:r w:rsidR="001370D1" w:rsidRPr="00C64BF8">
        <w:rPr>
          <w:rFonts w:ascii="MathJax_Math-italic" w:eastAsia="Times New Roman" w:hAnsi="MathJax_Math-italic" w:cs="Times New Roman"/>
          <w:b/>
          <w:bCs/>
          <w:kern w:val="0"/>
          <w:sz w:val="26"/>
          <w:szCs w:val="26"/>
          <w:bdr w:val="none" w:sz="0" w:space="0" w:color="auto" w:frame="1"/>
          <w14:ligatures w14:val="none"/>
        </w:rPr>
        <w:t>c</w:t>
      </w:r>
      <w:r w:rsidR="001370D1"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1370D1">
        <w:t xml:space="preserve"> fell within 2 AICc of the best fit model, but of these the vast majority featured </w:t>
      </w:r>
      <w:r w:rsidR="001370D1" w:rsidRPr="00C64BF8">
        <w:rPr>
          <w:rFonts w:ascii="MathJax_Math-italic" w:eastAsia="Times New Roman" w:hAnsi="MathJax_Math-italic" w:cs="Times New Roman"/>
          <w:b/>
          <w:bCs/>
          <w:kern w:val="0"/>
          <w:sz w:val="26"/>
          <w:szCs w:val="26"/>
          <w:bdr w:val="none" w:sz="0" w:space="0" w:color="auto" w:frame="1"/>
          <w14:ligatures w14:val="none"/>
        </w:rPr>
        <w:t>Z</w:t>
      </w:r>
      <w:r w:rsidR="001370D1">
        <w:t xml:space="preserve"> matrices structured </w:t>
      </w:r>
      <w:r w:rsidR="00875B91">
        <w:t xml:space="preserve">to not distinguish Indian River as a separate state. For the post-1980 model, this is true for 43 of 46 models in which </w:t>
      </w:r>
      <w:r w:rsidR="00875B91">
        <w:rPr>
          <w:rFonts w:cstheme="minorHAnsi"/>
        </w:rPr>
        <w:t>Δ</w:t>
      </w:r>
      <w:r w:rsidR="00875B91">
        <w:t xml:space="preserve">AICc &lt; 2, and for the post-2010 model this is true for all models within 2 AICc of the best fit model. </w:t>
      </w:r>
      <w:r w:rsidR="003B7704">
        <w:t>While there may be some general effect of the post-treatment period in both cases, an impact of SJH operations is not apparent in either case.</w:t>
      </w:r>
    </w:p>
    <w:p w14:paraId="19FCCE81" w14:textId="6F798663" w:rsidR="003D1E65" w:rsidRDefault="003B7704" w:rsidP="007B0F67">
      <w:pPr>
        <w:spacing w:after="0" w:line="480" w:lineRule="auto"/>
        <w:ind w:firstLine="720"/>
      </w:pPr>
      <w:r>
        <w:lastRenderedPageBreak/>
        <w:t>T</w:t>
      </w:r>
      <w:r w:rsidR="007B0F67">
        <w:t>he</w:t>
      </w:r>
      <w:r w:rsidR="00BB24CA">
        <w:t xml:space="preserve"> </w:t>
      </w:r>
      <w:r w:rsidR="003D1E65">
        <w:t>parallel trends assumption</w:t>
      </w:r>
      <w:r w:rsidR="007B0F67">
        <w:t xml:space="preserve"> </w:t>
      </w:r>
      <w:r>
        <w:t xml:space="preserve">was </w:t>
      </w:r>
      <w:r w:rsidR="007B0F67">
        <w:t xml:space="preserve">evaluated </w:t>
      </w:r>
      <w:r>
        <w:t>for each of these treatments in the pre-treatment period</w:t>
      </w:r>
      <w:r w:rsidR="00BB24CA">
        <w:t xml:space="preserve">. </w:t>
      </w:r>
      <w:r w:rsidR="003D1E65">
        <w:t xml:space="preserve">For both odd- and even-year runs, pink salmon abundances at Indian River do not differ significantly from those observed in either pre-treatment period elsewhere in the region (Figure 4), meaning that the parallel trends assumption holds in all cases and there </w:t>
      </w:r>
      <w:r w:rsidR="00BD3740">
        <w:t>was</w:t>
      </w:r>
      <w:r w:rsidR="003D1E65">
        <w:t xml:space="preserve"> no need to construct synthetic control groups.</w:t>
      </w:r>
    </w:p>
    <w:p w14:paraId="32509FB1" w14:textId="568E58F7" w:rsidR="005B1CFB" w:rsidRDefault="00CD3E62" w:rsidP="00EC3B72">
      <w:pPr>
        <w:spacing w:after="0" w:line="480" w:lineRule="auto"/>
      </w:pPr>
      <w:r>
        <w:tab/>
      </w:r>
      <w:r w:rsidR="000B2062">
        <w:t>Due to statistical confidence favoring single-state model specifications, p</w:t>
      </w:r>
      <w:r w:rsidR="005B1CFB">
        <w:t xml:space="preserve">arametric bootstrapping of DD effects of interest </w:t>
      </w:r>
      <w:r w:rsidR="00C92B7C">
        <w:t>construct</w:t>
      </w:r>
      <w:r w:rsidR="000B2062">
        <w:t xml:space="preserve"> confidence intervals for the effect of the post-treatment period, rather than the effect of treatment at Indian River</w:t>
      </w:r>
      <w:r w:rsidR="005B1CFB">
        <w:t>.</w:t>
      </w:r>
      <w:r w:rsidR="00C92B7C">
        <w:t xml:space="preserve"> A significant effect of the treatment period is observed</w:t>
      </w:r>
      <w:r w:rsidR="005B1CFB">
        <w:t xml:space="preserve"> </w:t>
      </w:r>
      <w:r w:rsidR="00C92B7C">
        <w:t>in the post-1980 model for even-year runs, meaning that regional pink salmon abundances in even years have increased significantly since that time. N</w:t>
      </w:r>
      <w:r w:rsidR="005B1CFB">
        <w:t>o</w:t>
      </w:r>
      <w:r w:rsidR="00C92B7C">
        <w:t xml:space="preserve"> other</w:t>
      </w:r>
      <w:r w:rsidR="005B1CFB">
        <w:t xml:space="preserve"> significant effect</w:t>
      </w:r>
      <w:r w:rsidR="00C92B7C">
        <w:t>s</w:t>
      </w:r>
      <w:r w:rsidR="005B1CFB">
        <w:t xml:space="preserve"> of treatment period</w:t>
      </w:r>
      <w:r w:rsidR="00C92B7C">
        <w:t xml:space="preserve"> are found</w:t>
      </w:r>
      <w:r w:rsidR="005B1CFB">
        <w:t xml:space="preserve"> (Figure 5). In </w:t>
      </w:r>
      <w:r w:rsidR="00C92B7C">
        <w:t>the other three best fit specifications (odd-year runs post-1980 and both runs post-2010)</w:t>
      </w:r>
      <w:r w:rsidR="005B1CFB">
        <w:t xml:space="preserve"> bootstrap parameter estimates of the effect of treatment </w:t>
      </w:r>
      <w:r w:rsidR="00C92B7C">
        <w:t>period</w:t>
      </w:r>
      <w:r w:rsidR="005B1CFB">
        <w:t xml:space="preserve"> tend to be positive, although not frequently enough to say with high confidence that </w:t>
      </w:r>
      <w:r w:rsidR="00C92B7C">
        <w:t>a true effect is being observed</w:t>
      </w:r>
      <w:r w:rsidR="005B1CFB">
        <w:t xml:space="preserve">. </w:t>
      </w:r>
      <w:commentRangeStart w:id="44"/>
      <w:r w:rsidR="00EC3B72">
        <w:t>While t</w:t>
      </w:r>
      <w:r w:rsidR="00C92B7C">
        <w:t xml:space="preserve">hese </w:t>
      </w:r>
      <w:r w:rsidR="005B1CFB">
        <w:t>result</w:t>
      </w:r>
      <w:r w:rsidR="00C92B7C">
        <w:t xml:space="preserve">s </w:t>
      </w:r>
      <w:r w:rsidR="00EC3B72">
        <w:t>do not</w:t>
      </w:r>
      <w:r w:rsidR="00C92B7C">
        <w:t xml:space="preserve"> </w:t>
      </w:r>
      <w:r w:rsidR="00EC3B72">
        <w:t>conclusively</w:t>
      </w:r>
      <w:r w:rsidR="00C92B7C">
        <w:t xml:space="preserve"> </w:t>
      </w:r>
      <w:r w:rsidR="00EC3B72">
        <w:t xml:space="preserve">determine that </w:t>
      </w:r>
      <w:r w:rsidR="00C92B7C">
        <w:t>no effect of SJH operations on Indian River pink salmon abundances</w:t>
      </w:r>
      <w:r w:rsidR="00EC3B72">
        <w:t xml:space="preserve"> exists</w:t>
      </w:r>
      <w:r w:rsidR="00C92B7C">
        <w:t>, th</w:t>
      </w:r>
      <w:r w:rsidR="00EC3B72">
        <w:t>ey carry the implication that any</w:t>
      </w:r>
      <w:r w:rsidR="00C92B7C">
        <w:t xml:space="preserve"> effect </w:t>
      </w:r>
      <w:r w:rsidR="00EC3B72">
        <w:t xml:space="preserve">of SJH operations </w:t>
      </w:r>
      <w:r w:rsidR="00C92B7C">
        <w:t>that might exist i</w:t>
      </w:r>
      <w:r w:rsidR="00EC3B72">
        <w:t xml:space="preserve">s dwarfed by the overall changes in pink salmon population dynamics throughout the region during the treatment period. </w:t>
      </w:r>
      <w:commentRangeEnd w:id="44"/>
      <w:r w:rsidR="00EC3B72">
        <w:rPr>
          <w:rStyle w:val="CommentReference"/>
          <w:sz w:val="24"/>
          <w:szCs w:val="24"/>
        </w:rPr>
        <w:commentReference w:id="44"/>
      </w:r>
    </w:p>
    <w:p w14:paraId="0E88E592" w14:textId="5A0B0CCF"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49EB5603" w:rsidR="00C3066D" w:rsidRDefault="005B1CFB" w:rsidP="008C144E">
      <w:pPr>
        <w:spacing w:after="0" w:line="480" w:lineRule="auto"/>
      </w:pPr>
      <w:r>
        <w:t>T</w:t>
      </w:r>
      <w:r w:rsidR="00976473">
        <w:t xml:space="preserve">he </w:t>
      </w:r>
      <w:r>
        <w:t>final</w:t>
      </w:r>
      <w:r w:rsidR="00976473">
        <w:t xml:space="preserve"> stage of this research </w:t>
      </w:r>
      <w:r>
        <w:t>d</w:t>
      </w:r>
      <w:r w:rsidR="00976473">
        <w:t>irectly evaluate</w:t>
      </w:r>
      <w:r>
        <w:t>s</w:t>
      </w:r>
      <w:r w:rsidR="00976473">
        <w:t xml:space="preserve"> the effect o</w:t>
      </w:r>
      <w:r w:rsidR="005227E4">
        <w:t xml:space="preserve">f the volume of pink salmon coming from each source (the river and the hatchery) in brood year t-1 has on the other in </w:t>
      </w:r>
      <w:r w:rsidR="005227E4">
        <w:lastRenderedPageBreak/>
        <w:t>brood year t</w:t>
      </w:r>
      <w:r w:rsidR="00976473">
        <w:t>.</w:t>
      </w:r>
      <w:r w:rsidR="00090DA1">
        <w:t xml:space="preserve"> MARSS model</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parameter estimates capture these interaction effects</w:t>
      </w:r>
      <w:r w:rsidR="00090DA1">
        <w:t>,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prior brood year Indian River abundance on current brood year</w:t>
      </w:r>
      <w:r w:rsidR="00090DA1">
        <w:t xml:space="preserve"> </w:t>
      </w:r>
      <w:r w:rsidR="00090DA1" w:rsidRPr="00090DA1">
        <w:t>hatchery returns</w:t>
      </w:r>
      <w:r w:rsidR="00090DA1">
        <w:t>, and the effect of prior brood year Indian River abundance on current brood year Indian River abundance</w:t>
      </w:r>
      <w:r>
        <w:t xml:space="preserve"> (Figure 6)</w:t>
      </w:r>
      <w:r w:rsidR="00090DA1">
        <w:t>.</w:t>
      </w:r>
    </w:p>
    <w:p w14:paraId="40ADB905" w14:textId="1F202FC7" w:rsidR="00675815" w:rsidRDefault="00090DA1" w:rsidP="008C144E">
      <w:pPr>
        <w:spacing w:after="0" w:line="480" w:lineRule="auto"/>
      </w:pPr>
      <w:r>
        <w:tab/>
        <w:t xml:space="preserve">The </w:t>
      </w:r>
      <w:r w:rsidR="00855FD8">
        <w:t xml:space="preserve">average </w:t>
      </w:r>
      <w:r w:rsidR="006D7969">
        <w:t>e</w:t>
      </w:r>
      <w:r w:rsidR="006D7969" w:rsidRPr="00090DA1">
        <w:t>ffect of prior brood year hatchery returns on current brood year Indian River abundance</w:t>
      </w:r>
      <w:r w:rsidR="00A21D8D">
        <w:t xml:space="preserve"> was</w:t>
      </w:r>
      <w:r w:rsidR="006D7969">
        <w:t xml:space="preserve"> </w:t>
      </w:r>
      <w:r w:rsidR="009F6B38">
        <w:t xml:space="preserve">positive </w:t>
      </w:r>
      <w:r w:rsidR="006D7969">
        <w:t>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855FD8">
        <w:t>, and in both cases enough parameter estimates fell below zero to diminish statistical confidence in the result</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commentRangeStart w:id="45"/>
      <w:r w:rsidR="00675815">
        <w:t xml:space="preserve">While the effect of prior brood year Indian River abundances on current brood year hatchery returns is stronger for both runs than its inverse, it is crucial to note that hatchery returns are </w:t>
      </w:r>
      <w:r w:rsidR="00B00D9B">
        <w:t>greater than Indian River abundance much more often than not. This means that</w:t>
      </w:r>
      <w:r w:rsidR="005C24C4">
        <w:t>,</w:t>
      </w:r>
      <w:r w:rsidR="00B00D9B">
        <w:t xml:space="preserve"> despite the difference in effect, the overall numbers of fish </w:t>
      </w:r>
      <w:r w:rsidR="00A21D8D">
        <w:t xml:space="preserve">straying </w:t>
      </w:r>
      <w:r w:rsidR="00B00D9B">
        <w:t xml:space="preserve">to a </w:t>
      </w:r>
      <w:r w:rsidR="00A21D8D">
        <w:t xml:space="preserve">non-origin </w:t>
      </w:r>
      <w:r w:rsidR="00B00D9B">
        <w:t xml:space="preserve">site </w:t>
      </w:r>
      <w:r w:rsidR="00625D54">
        <w:t>could be roughly equal or even skewed towards hatchery-born fish returning to Indian River.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commentRangeEnd w:id="45"/>
      <w:r w:rsidR="00B07643">
        <w:rPr>
          <w:rStyle w:val="CommentReference"/>
          <w:sz w:val="24"/>
          <w:szCs w:val="24"/>
        </w:rPr>
        <w:commentReference w:id="45"/>
      </w:r>
    </w:p>
    <w:p w14:paraId="791283B6" w14:textId="77777777" w:rsidR="00344905" w:rsidRDefault="00344905" w:rsidP="008C144E">
      <w:pPr>
        <w:spacing w:after="0" w:line="480" w:lineRule="auto"/>
      </w:pPr>
    </w:p>
    <w:bookmarkEnd w:id="1"/>
    <w:bookmarkEnd w:id="38"/>
    <w:p w14:paraId="5EDACFAE" w14:textId="77777777" w:rsidR="005306BE" w:rsidRPr="008C144E" w:rsidRDefault="005306BE" w:rsidP="005306BE">
      <w:pPr>
        <w:spacing w:after="0" w:line="480" w:lineRule="auto"/>
        <w:rPr>
          <w:b/>
          <w:bCs/>
          <w:u w:val="single"/>
        </w:rPr>
      </w:pPr>
      <w:commentRangeStart w:id="46"/>
      <w:r w:rsidRPr="008C144E">
        <w:rPr>
          <w:b/>
          <w:bCs/>
          <w:u w:val="single"/>
        </w:rPr>
        <w:t>Discussion</w:t>
      </w:r>
      <w:commentRangeEnd w:id="46"/>
      <w:r w:rsidRPr="008C144E">
        <w:rPr>
          <w:rStyle w:val="CommentReference"/>
          <w:b/>
          <w:bCs/>
          <w:sz w:val="24"/>
          <w:szCs w:val="24"/>
          <w:u w:val="single"/>
        </w:rPr>
        <w:commentReference w:id="46"/>
      </w:r>
    </w:p>
    <w:p w14:paraId="0B5E22D3" w14:textId="275F2A4B" w:rsidR="005306BE" w:rsidRDefault="005306BE" w:rsidP="005306BE">
      <w:pPr>
        <w:spacing w:after="0" w:line="480" w:lineRule="auto"/>
        <w:ind w:firstLine="720"/>
      </w:pPr>
      <w:commentRangeStart w:id="47"/>
      <w:r>
        <w:lastRenderedPageBreak/>
        <w:t xml:space="preserve">While pink salmon densities observed at Indian River in recent decades are high compared to those that were recorded decades ago, more contemporary returns of adults to the Indian River in even years are largely in line with index streams in the </w:t>
      </w:r>
      <w:r w:rsidRPr="003C6E79">
        <w:rPr>
          <w:i/>
          <w:iCs/>
        </w:rPr>
        <w:t xml:space="preserve">north southeast </w:t>
      </w:r>
      <w:r w:rsidRPr="00095DCA">
        <w:t>(</w:t>
      </w:r>
      <w:r w:rsidRPr="003C6E79">
        <w:rPr>
          <w:i/>
          <w:iCs/>
        </w:rPr>
        <w:t>outside</w:t>
      </w:r>
      <w:r w:rsidRPr="00095DCA">
        <w:t>), where</w:t>
      </w:r>
      <w:r>
        <w:t>as odd-year runs are not in line with broader regional patterns</w:t>
      </w:r>
      <w:r w:rsidR="00BA6468">
        <w:t>, although this may be due to the large gaps observed early in the time series</w:t>
      </w:r>
      <w:r>
        <w:t>. No significant impact of hatchery operations at Indian River was observed in either run</w:t>
      </w:r>
      <w:r w:rsidR="00ED6470">
        <w:t>.</w:t>
      </w:r>
      <w:r>
        <w:t xml:space="preserve"> The effect of hatchery releases on subsequent brood year Indian River abundances was not found to be statistically significant for either run, in both cases a convincing majority of bootstrapped parameter estimates were positive (94.2% in even-year runs, and 92% in odd-year runs). This falls short of the 95% confidence threshold, it is worth considering the implications of a small but positive true effect of hatchery releases on Indian River pink salmon abundance in the following brood year. For both runs, the effect of prior brood year Indian River abundances on current brood year hatchery returns is stronger than its inverse (Figure 6), but it is crucial to note that hatchery returns are greater than Indian River abundance much more often than not. This means that, if there exists a small but positive true effect of hatchery releases on subsequent brood year Indian River abundances, the overall numbers of fish straying to a non-origin site could be roughly equal or even skewed towards hatchery-born fish returning to Indian River. In those brood years where Indian River abundances exceed hatchery returns, these effect sizes imply that the following brood year will see more fish from Indian River returning to the hatchery than vice versa.</w:t>
      </w:r>
    </w:p>
    <w:p w14:paraId="5B459E09" w14:textId="1514AEFB" w:rsidR="005306BE" w:rsidRDefault="005306BE" w:rsidP="005306BE">
      <w:pPr>
        <w:spacing w:after="0" w:line="480" w:lineRule="auto"/>
        <w:ind w:firstLine="720"/>
      </w:pPr>
      <w:r>
        <w:t xml:space="preserve">In even years, Indian River salmon are not out of the ordinary relative to the wider region. No effect of the commencement of hatchery operations or the expansion of hatchery </w:t>
      </w:r>
      <w:r>
        <w:lastRenderedPageBreak/>
        <w:t xml:space="preserve">releases was associated with an increase in the numbers of spawning pink salmon at Indian River relative to the wider region (Figure 5). However, in even years, Indian River abundances were estimated to have a strong impact on pink salmon returning to the hatchery in the subsequent brood year, while an accompanying effect of hatchery releases on subsequent brood year Indian River abundances was not found to be statistically significant (Figure 6). </w:t>
      </w:r>
      <w:r w:rsidR="009754D5">
        <w:t xml:space="preserve">Even if there exists small but positive true effect of hatchery releases on subsequent brood year Indian River abundances in even-year runs, the difference between this effect and the relatively larger effect of Indian River abundances on pink salmon returning to the hatchery in the subsequent brood year is fairly large. This would imply that Indian River spawners would have to vastly outnumber hatchery releases in a given year in order for a net increase in Indian River abundance due to hatchery releases to occur in the following brood year. </w:t>
      </w:r>
      <w:r>
        <w:t>Taken together, these results imply there is little concern that even-year pink salmon abundances fall outside their natural range of variation at Indian River, and indeed seem to be significantly contributing to hatchery returns.</w:t>
      </w:r>
    </w:p>
    <w:p w14:paraId="18CC9B5C" w14:textId="77777777" w:rsidR="005306BE" w:rsidRDefault="005306BE" w:rsidP="005306BE">
      <w:pPr>
        <w:spacing w:after="0" w:line="480" w:lineRule="auto"/>
        <w:ind w:firstLine="720"/>
      </w:pPr>
      <w:r>
        <w:t xml:space="preserve">In odd years, MARSS models evaluated for best fit suggested that abundances at Indian River significantly differ in character from what would be expected of a similar stream in the region. However, similar to even-year runs, there was no effect of significance which associated Indian River pink salmon abundances with the commencement of hatchery operations or the expansion of hatchery releases. Also similar to even-year runs, odd-year Indian River abundances were estimated to have a significant effect on pink salmon returning to SJH in the subsequent brood year, although this effect was not as strong as its even-year counterpart (Figure 6). While indications exist that odd-year pink salmon abundance at Indian River do not </w:t>
      </w:r>
      <w:r>
        <w:lastRenderedPageBreak/>
        <w:t xml:space="preserve">fall within the natural range of variation expected throughout the wider region, there is no conclusive evidence that indicates this difference is being driven by SJH pink salmon releases. It may be that the gap between Indian River abundances and the regional expectation is due to the large differences observed in the first three decades of the time series (Figure 3). </w:t>
      </w:r>
      <w:commentRangeEnd w:id="47"/>
      <w:r w:rsidR="00281853">
        <w:rPr>
          <w:rStyle w:val="CommentReference"/>
          <w:sz w:val="24"/>
          <w:szCs w:val="24"/>
        </w:rPr>
        <w:commentReference w:id="47"/>
      </w:r>
    </w:p>
    <w:p w14:paraId="0FA6D895" w14:textId="551E2E95" w:rsidR="005306BE" w:rsidRDefault="005306BE" w:rsidP="005306BE">
      <w:pPr>
        <w:spacing w:after="0" w:line="480" w:lineRule="auto"/>
      </w:pPr>
      <w:r>
        <w:tab/>
        <w:t xml:space="preserve">Being that the results of this work are intended first and foremost to provide management at SITK with a comprehensive description of both the impacts of SJH operations and of the population dynamics of pink salmon throughout the broader region, the implications of these findings and how they might inform the duties of park officials with respect to conservation must be considered. In even years, pink salmon abundances are in line with those observed at ‘pristine’ index streams nearby and thus increases in their spawning densities are likely still within the natural range of variation. This is not to say that concerns about hypoxia events are not still pressing, but the possibility exists that interceding on behalf of Indian River’s other resident species may run contrary to the natural state of even-year pink salmon. Available evidence suggests that there is likely no need for intervention to address even-year abundances. In odd years there exists more compelling evidence that hatchery releases of pink salmon could be exerting some influence over abundances at Indian River. It is not likely that the hatchery is the main driver of high pink salmon densities in odd years (spawning abundances of these fish have been on the rise throughout the region for decades), but there exists a greater possibility that hatchery fish may having some influence on abundances seen at Indian River than for even-year runs. Recall that in odd years, the effect of Indian River pink salmon abundance on hatchery returns in the subsequent brood year is lower than the effect observed in even years. If there exists some small but positive true effect of hatchery releases on subsequent brood </w:t>
      </w:r>
      <w:r>
        <w:lastRenderedPageBreak/>
        <w:t>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otolith sampling of odd-year Indian River spawners in order to further understand the impact of SJH releases.</w:t>
      </w:r>
    </w:p>
    <w:p w14:paraId="6ABAA840" w14:textId="4639ADD8" w:rsidR="00306AE3" w:rsidRDefault="005306BE" w:rsidP="005306BE">
      <w:pPr>
        <w:spacing w:after="0" w:line="480" w:lineRule="auto"/>
      </w:pPr>
      <w:r>
        <w:tab/>
        <w:t>It is clear from this research that determining the point at which a native species becomes overabundant is not a simple task. In the case of pink salmon at Indian River, this task is made additionally complicated by the fact there two populations 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r w:rsidR="00306AE3">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0"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1" w:history="1">
        <w:r w:rsidRPr="007B1A5E">
          <w:rPr>
            <w:rStyle w:val="Hyperlink"/>
          </w:rPr>
          <w:t>https://mtalab.adfg.alaska.gov/OTO/marking.aspx</w:t>
        </w:r>
      </w:hyperlink>
      <w:r>
        <w:t xml:space="preserve"> (accessed December 14, 2024)</w:t>
      </w:r>
    </w:p>
    <w:p w14:paraId="2D47526E" w14:textId="0BBA3DEB" w:rsidR="00267F5F" w:rsidRPr="003A279D" w:rsidRDefault="00267F5F" w:rsidP="000F7853">
      <w:pPr>
        <w:spacing w:line="240" w:lineRule="auto"/>
        <w:ind w:left="720" w:hanging="720"/>
      </w:pPr>
      <w:r>
        <w:t xml:space="preserve">Anderson, J. H., G. R. Pess, R. W. Carmichael, M. J. Ford, T. D. Cooney, C. M. Baldwin, and M. M. McClure. </w:t>
      </w:r>
      <w:r w:rsidR="003A279D">
        <w:t xml:space="preserve">2014. </w:t>
      </w:r>
      <w:r>
        <w:t xml:space="preserve">Planning Pacific Salmon and Steelhead Reintroductions Aimed at Long-Term Viability and Recovery. </w:t>
      </w:r>
      <w:r w:rsidR="003A279D">
        <w:rPr>
          <w:i/>
          <w:iCs/>
        </w:rPr>
        <w:t xml:space="preserve">North American Journal of Fisheries Management </w:t>
      </w:r>
      <w:r w:rsidR="003A279D">
        <w:t>34: 72-93.</w:t>
      </w:r>
    </w:p>
    <w:p w14:paraId="6C183250" w14:textId="43A5AF1F" w:rsidR="000F7853" w:rsidRDefault="000F7853" w:rsidP="000F7853">
      <w:pPr>
        <w:spacing w:line="240" w:lineRule="auto"/>
        <w:ind w:left="720" w:hanging="720"/>
      </w:pPr>
      <w:r>
        <w:t xml:space="preserve">Beckett, K., E. Elle, C. Kremen, A. Sherwood, S. McComb, </w:t>
      </w:r>
      <w:r w:rsidR="00A928CA">
        <w:t>and</w:t>
      </w:r>
      <w:r w:rsidR="009B7CF2">
        <w:t xml:space="preserve"> </w:t>
      </w:r>
      <w:r>
        <w:t xml:space="preserve">T. G. Martin. 2022. Hyperabundant black-tailed deer impact endangered Garry oak ecosystem floral and bumblebee communities. </w:t>
      </w:r>
      <w:r>
        <w:rPr>
          <w:i/>
          <w:iCs/>
        </w:rPr>
        <w:t>Global Ecology and Conservation</w:t>
      </w:r>
      <w:r>
        <w:t xml:space="preserve"> 38: 14pp.</w:t>
      </w:r>
    </w:p>
    <w:p w14:paraId="631C26BB" w14:textId="3B934B1D" w:rsidR="00AC48BB" w:rsidRPr="00AC48BB" w:rsidRDefault="00AC48BB" w:rsidP="000F7853">
      <w:pPr>
        <w:spacing w:line="240" w:lineRule="auto"/>
        <w:ind w:left="720" w:hanging="720"/>
      </w:pPr>
      <w:r>
        <w:t xml:space="preserve">Berejikian, B. A., M. J. Malick, J. Lee-Waltermire, M. R. Downen, K. K. Shelby, R. Endicott, </w:t>
      </w:r>
      <w:r w:rsidR="00A928CA">
        <w:t>and</w:t>
      </w:r>
      <w:r>
        <w:t xml:space="preserve"> A. Batista. 2025. Conservation hatchery effects on the abundance and spawn timing of natural steelhead populations: a replicated before-after-control-impact experiment in the Hood Canal watershed. </w:t>
      </w:r>
      <w:r>
        <w:rPr>
          <w:i/>
          <w:iCs/>
        </w:rPr>
        <w:t>Canadian Journal of Fisheries and Aquatic Sciences</w:t>
      </w:r>
      <w:r>
        <w:t xml:space="preserve"> 82: 1-16.</w:t>
      </w:r>
    </w:p>
    <w:p w14:paraId="35989E02" w14:textId="1819DB56" w:rsidR="00FE133B" w:rsidRDefault="00FE133B" w:rsidP="000F7853">
      <w:pPr>
        <w:spacing w:line="240" w:lineRule="auto"/>
        <w:ind w:left="720" w:hanging="720"/>
        <w:rPr>
          <w:ins w:id="48" w:author="Brian E McGreal" w:date="2026-03-27T09:38:00Z" w16du:dateUtc="2026-03-27T16:38:00Z"/>
        </w:rPr>
      </w:pPr>
      <w:r w:rsidRPr="00FE133B">
        <w:t xml:space="preserve">Burnham, K. P., </w:t>
      </w:r>
      <w:r w:rsidR="00A928CA">
        <w:t>and</w:t>
      </w:r>
      <w:r w:rsidRPr="00FE133B">
        <w:t>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52A3A57" w:rsidR="009D55B2" w:rsidRDefault="009D55B2" w:rsidP="009D55B2">
      <w:pPr>
        <w:spacing w:line="240" w:lineRule="auto"/>
        <w:ind w:left="720" w:hanging="720"/>
      </w:pPr>
      <w:ins w:id="49" w:author="Brian E McGreal" w:date="2026-03-27T09:38:00Z" w16du:dateUtc="2026-03-27T16:38:00Z">
        <w:r>
          <w:t xml:space="preserve">Burnham, K. P., D. R. Anderson, </w:t>
        </w:r>
      </w:ins>
      <w:r w:rsidR="00A928CA">
        <w:t>and</w:t>
      </w:r>
      <w:r w:rsidR="009B7CF2">
        <w:t xml:space="preserve"> </w:t>
      </w:r>
      <w:ins w:id="50" w:author="Brian E McGreal" w:date="2026-03-27T09:38:00Z" w16du:dateUtc="2026-03-27T16:38:00Z">
        <w:r>
          <w:t xml:space="preserve">K. P. Huyvaert. 2010. AIC model selection and multimodal interference in behavioral ecology: some background, observations, and comparisons. </w:t>
        </w:r>
        <w:r>
          <w:rPr>
            <w:i/>
            <w:iCs/>
          </w:rPr>
          <w:t xml:space="preserve">Behavioral Ecology and Sociobiology </w:t>
        </w:r>
        <w:r>
          <w:t>65: 23-35.</w:t>
        </w:r>
      </w:ins>
    </w:p>
    <w:p w14:paraId="1D79DCC1" w14:textId="7B0EB43D" w:rsidR="004D0C78" w:rsidRPr="004D0C78" w:rsidRDefault="004D0C78" w:rsidP="009D55B2">
      <w:pPr>
        <w:spacing w:line="240" w:lineRule="auto"/>
        <w:ind w:left="720" w:hanging="720"/>
      </w:pPr>
      <w:r>
        <w:t xml:space="preserve">Carey, M. P., B. L. Sanderson, K. A. Barnas, and J. D. Olden. 2012. Native invaders – challenges for science, management, policy, and society. </w:t>
      </w:r>
      <w:r>
        <w:rPr>
          <w:i/>
          <w:iCs/>
        </w:rPr>
        <w:t xml:space="preserve">Frontiers in Ecology and the Environment </w:t>
      </w:r>
      <w:r>
        <w:t>10(7): 373-381.</w:t>
      </w:r>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097703A8" w14:textId="16B5371D" w:rsidR="000E5A64" w:rsidRPr="00E26A22" w:rsidRDefault="000E5A64" w:rsidP="000F7853">
      <w:pPr>
        <w:spacing w:line="240" w:lineRule="auto"/>
        <w:ind w:left="720" w:hanging="720"/>
      </w:pPr>
      <w:r>
        <w:t>del Monte-Luna, P., B. W. Brook, M. J. Zetina-Rej</w:t>
      </w:r>
      <w:r w:rsidR="00270CF9">
        <w:t xml:space="preserve">ón, and </w:t>
      </w:r>
      <w:r w:rsidR="00E26A22">
        <w:t xml:space="preserve">V. H. Cruz-Escalona. 2004. The carrying capacity of ecosystems. </w:t>
      </w:r>
      <w:r w:rsidR="00E26A22">
        <w:rPr>
          <w:i/>
          <w:iCs/>
        </w:rPr>
        <w:t xml:space="preserve">Global Ecology and Biogeography </w:t>
      </w:r>
      <w:r w:rsidR="00E26A22">
        <w:t>13: 485-495.</w:t>
      </w:r>
    </w:p>
    <w:p w14:paraId="32EFCA09" w14:textId="2FAA9FAC" w:rsidR="000F7853"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w:t>
      </w:r>
      <w:r w:rsidR="00A928CA">
        <w:t>and</w:t>
      </w:r>
      <w:r w:rsidR="009B7CF2">
        <w:t xml:space="preserve"> </w:t>
      </w:r>
      <w:r>
        <w:t xml:space="preserve">J. R. Webster. 2005. Loss of foundation species: consequences for the structure and dynamics of forested ecosystems. </w:t>
      </w:r>
      <w:r>
        <w:rPr>
          <w:i/>
          <w:iCs/>
        </w:rPr>
        <w:t>Frontiers in Ecology and the Environment</w:t>
      </w:r>
      <w:r>
        <w:t xml:space="preserve"> 3(9): 479-486.</w:t>
      </w:r>
    </w:p>
    <w:p w14:paraId="09FE861A" w14:textId="1E8D27F9" w:rsidR="00B424B2" w:rsidRPr="006B062A" w:rsidRDefault="00B424B2" w:rsidP="000F7853">
      <w:pPr>
        <w:spacing w:line="240" w:lineRule="auto"/>
        <w:ind w:left="720" w:hanging="720"/>
      </w:pPr>
      <w:r>
        <w:t xml:space="preserve">Estes, J. A. 2015. Natural History, Ecology, and the </w:t>
      </w:r>
      <w:r w:rsidR="006B062A">
        <w:t xml:space="preserve">Conservation and Management of Sea Otters. Edited by Shawn Larson. </w:t>
      </w:r>
      <w:r w:rsidR="006B062A">
        <w:rPr>
          <w:i/>
          <w:iCs/>
        </w:rPr>
        <w:t xml:space="preserve">Sea Otter Conservation </w:t>
      </w:r>
      <w:r w:rsidR="006B062A">
        <w:t>35-60. Academic Press.</w:t>
      </w:r>
    </w:p>
    <w:p w14:paraId="34268021" w14:textId="3BC2E239" w:rsidR="000F7853" w:rsidRDefault="000F7853" w:rsidP="000F7853">
      <w:pPr>
        <w:spacing w:line="240" w:lineRule="auto"/>
        <w:ind w:left="720" w:hanging="720"/>
      </w:pPr>
      <w:r>
        <w:lastRenderedPageBreak/>
        <w:t xml:space="preserve">Gende, S. </w:t>
      </w:r>
      <w:r w:rsidR="00A928CA">
        <w:t>and</w:t>
      </w:r>
      <w:r>
        <w:t xml:space="preserve"> B. Carter. 2015. </w:t>
      </w:r>
      <w:r w:rsidRPr="00942C32">
        <w:rPr>
          <w:i/>
          <w:iCs/>
        </w:rPr>
        <w:t>Straying rates of pink salmon into the Indian River, Sitka National Historical Park. Final Report – ADF&amp;G Permit # SF2015-225.</w:t>
      </w:r>
      <w:r>
        <w:t xml:space="preserve"> National Park Service, 11 pp.</w:t>
      </w:r>
    </w:p>
    <w:p w14:paraId="440E490E" w14:textId="6352FEF6" w:rsidR="000F7853" w:rsidRDefault="000F7853" w:rsidP="000F7853">
      <w:pPr>
        <w:spacing w:line="240" w:lineRule="auto"/>
        <w:ind w:left="720" w:hanging="720"/>
      </w:pPr>
      <w:r>
        <w:t xml:space="preserve">Gibson, K., K. Skov, S. Kegley, C. Jorgensen, S. Smith, </w:t>
      </w:r>
      <w:r w:rsidR="00A928CA">
        <w:t>and</w:t>
      </w:r>
      <w:r>
        <w:t xml:space="preserve"> J. Witcosky. 2008. </w:t>
      </w:r>
      <w:r w:rsidRPr="00DB7D2F">
        <w:t>Mountain Pine Beetle Impacts in High-Elevation Five-Needle Pines: Current Trends and Challenges.</w:t>
      </w:r>
      <w:r>
        <w:t xml:space="preserve"> USDA Forest Service – Forest Health Protection, 40 pp.</w:t>
      </w:r>
    </w:p>
    <w:p w14:paraId="73157A78" w14:textId="4DE02BE5" w:rsidR="000F7853" w:rsidRDefault="000F7853" w:rsidP="000F7853">
      <w:pPr>
        <w:spacing w:line="240" w:lineRule="auto"/>
        <w:ind w:left="720" w:hanging="720"/>
      </w:pPr>
      <w:r>
        <w:t xml:space="preserve">Gallardo, B., M. Clavero, M. I. Sánchez, </w:t>
      </w:r>
      <w:r w:rsidR="00A928CA">
        <w:t>and</w:t>
      </w:r>
      <w:r w:rsidR="009B7CF2">
        <w:t xml:space="preserve"> </w:t>
      </w:r>
      <w:r>
        <w:t xml:space="preserve">M. Vilà. 2015. Global ecological impacts of invasive species in aquatic ecosystems. </w:t>
      </w:r>
      <w:r>
        <w:rPr>
          <w:i/>
          <w:iCs/>
        </w:rPr>
        <w:t xml:space="preserve">Global Change Biology </w:t>
      </w:r>
      <w:r>
        <w:t>22(1): 151-163.</w:t>
      </w:r>
    </w:p>
    <w:p w14:paraId="4244AEC7" w14:textId="5A970721" w:rsidR="00267F5F" w:rsidRPr="00E840C6" w:rsidRDefault="00267F5F" w:rsidP="000F7853">
      <w:pPr>
        <w:spacing w:line="240" w:lineRule="auto"/>
        <w:ind w:left="720" w:hanging="720"/>
        <w:rPr>
          <w:strike/>
        </w:rPr>
      </w:pPr>
      <w:r w:rsidRPr="00E840C6">
        <w:rPr>
          <w:strike/>
        </w:rPr>
        <w:t xml:space="preserve">Hasegawa, K., T. Ohta, and S. Takahashi. 2017. Are hatchery chum salmon fry a native invader? Direct and indirect effects of stocking salmon fry on stream organisms. </w:t>
      </w:r>
      <w:r w:rsidRPr="00E840C6">
        <w:rPr>
          <w:i/>
          <w:iCs/>
          <w:strike/>
        </w:rPr>
        <w:t xml:space="preserve">Hydrobiologia </w:t>
      </w:r>
      <w:r w:rsidRPr="00E840C6">
        <w:rPr>
          <w:strike/>
        </w:rPr>
        <w:t>806: 111-121.</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282A0D82" w:rsidR="000F7853" w:rsidRDefault="000F7853" w:rsidP="000F7853">
      <w:pPr>
        <w:spacing w:line="240" w:lineRule="auto"/>
        <w:ind w:left="720" w:hanging="720"/>
      </w:pPr>
      <w:r>
        <w:t xml:space="preserve">Holmes, E. E., E. J. Ward, </w:t>
      </w:r>
      <w:r w:rsidR="00A928CA">
        <w:t>and</w:t>
      </w:r>
      <w:r>
        <w:t xml:space="preserve"> K. Wills. 2012. MARSS: Multivariate Autoregressive State-space Models for Analyzing Time-series Data. </w:t>
      </w:r>
      <w:r>
        <w:rPr>
          <w:i/>
          <w:iCs/>
        </w:rPr>
        <w:t>The R Journal</w:t>
      </w:r>
      <w:r>
        <w:t xml:space="preserve"> 4(1): 11-19.</w:t>
      </w:r>
    </w:p>
    <w:p w14:paraId="4B66BF3D" w14:textId="6ED9A891"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w:t>
      </w:r>
      <w:r w:rsidR="00A928CA">
        <w:t xml:space="preserve">and </w:t>
      </w:r>
      <w:r>
        <w:t xml:space="preserve">S. Kumschick. 2014. Defining the Impact of Non-Native Species. </w:t>
      </w:r>
      <w:r>
        <w:rPr>
          <w:i/>
          <w:iCs/>
        </w:rPr>
        <w:t>Conservation Biology</w:t>
      </w:r>
      <w:r>
        <w:t xml:space="preserve"> 28(5): 1188-1194.</w:t>
      </w:r>
    </w:p>
    <w:p w14:paraId="3FC36220" w14:textId="597DA91B" w:rsidR="000F7853" w:rsidRDefault="000F7853" w:rsidP="000F7853">
      <w:pPr>
        <w:spacing w:line="240" w:lineRule="auto"/>
        <w:ind w:left="720" w:hanging="720"/>
      </w:pPr>
      <w:r>
        <w:t xml:space="preserve">Knudsen, E. E., P. S. Rand, K. B. Gorman, D. R. Bernard, </w:t>
      </w:r>
      <w:r w:rsidR="00A928CA">
        <w:t xml:space="preserve">and </w:t>
      </w:r>
      <w:r>
        <w:t xml:space="preserve">W. D. Templin. 2021. Hatchery-origin stray rates and total run characteristics for Pink Salmon and Chum Salmon returning to Prince William Sound, Alaska in 2013-2015. </w:t>
      </w:r>
      <w:r>
        <w:rPr>
          <w:i/>
          <w:iCs/>
        </w:rPr>
        <w:t xml:space="preserve">Marine and Coastal Fisheries </w:t>
      </w:r>
      <w:r>
        <w:t>13(1): 41-68.</w:t>
      </w:r>
    </w:p>
    <w:p w14:paraId="17D8264D" w14:textId="3049F5DE" w:rsidR="00734A33" w:rsidRPr="00734A33" w:rsidRDefault="00734A33" w:rsidP="000F7853">
      <w:pPr>
        <w:spacing w:line="240" w:lineRule="auto"/>
        <w:ind w:left="720" w:hanging="720"/>
      </w:pPr>
      <w:r>
        <w:t xml:space="preserve">Levin, P. S., and N. Tolimieri. 2001. Differences in the impacts of dams on the dynamics of salmon populations. </w:t>
      </w:r>
      <w:r>
        <w:rPr>
          <w:i/>
          <w:iCs/>
        </w:rPr>
        <w:t xml:space="preserve">Animal Conservation </w:t>
      </w:r>
      <w:r>
        <w:t>4(4): 291-299.</w:t>
      </w:r>
    </w:p>
    <w:p w14:paraId="45982CBB" w14:textId="279BDE97" w:rsidR="000F7853" w:rsidRDefault="000F7853" w:rsidP="000F7853">
      <w:pPr>
        <w:spacing w:line="240" w:lineRule="auto"/>
        <w:ind w:left="720" w:hanging="720"/>
      </w:pPr>
      <w:r>
        <w:t xml:space="preserve">Manhard, C. V., J. E. Joyce, W. W. Smoker, </w:t>
      </w:r>
      <w:r w:rsidR="00A928CA">
        <w:t>and</w:t>
      </w:r>
      <w:r>
        <w:t xml:space="preserve">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6BD9990B" w:rsidR="00AF5677" w:rsidRDefault="000F7853" w:rsidP="000F7853">
      <w:pPr>
        <w:spacing w:line="240" w:lineRule="auto"/>
        <w:ind w:left="720" w:hanging="720"/>
      </w:pPr>
      <w:r>
        <w:t xml:space="preserve">Mantua, N. J., S. R. Hare, Y. Zhang, J. M. Wallace, </w:t>
      </w:r>
      <w:r w:rsidR="00A928CA">
        <w:t>and</w:t>
      </w:r>
      <w:r>
        <w:t xml:space="preserve"> R. C. Francis. A Pacific Interdecadal Climate Oscillation with Impacts on Salmon Production. </w:t>
      </w:r>
      <w:r>
        <w:rPr>
          <w:i/>
          <w:iCs/>
        </w:rPr>
        <w:t>Bulletin of the American Meteorological Society</w:t>
      </w:r>
      <w:r>
        <w:t xml:space="preserve"> 78(6): 1069-1079.</w:t>
      </w:r>
    </w:p>
    <w:p w14:paraId="0D5ACF9E" w14:textId="77777777" w:rsidR="006F23FA"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p>
    <w:p w14:paraId="79F8EA3B" w14:textId="30A67FBA" w:rsidR="000F7853" w:rsidRDefault="006F23FA" w:rsidP="00AF5677">
      <w:pPr>
        <w:spacing w:line="240" w:lineRule="auto"/>
        <w:ind w:left="720" w:hanging="720"/>
      </w:pPr>
      <w:r>
        <w:t xml:space="preserve">McMillan, J. R., B. Morrison, N. Chambers, G. Ruggerone, L. Bernatchez, J. Stanford, and H. Neville. 2023. A global synthesis of peer-reviewed research on the effects of hatchery salmonids on wild salmonids. </w:t>
      </w:r>
      <w:r>
        <w:rPr>
          <w:i/>
          <w:iCs/>
        </w:rPr>
        <w:t xml:space="preserve">Fisheries Management and Ecology </w:t>
      </w:r>
      <w:r>
        <w:t>30(5): 446-463.</w:t>
      </w:r>
      <w:r w:rsidR="000F7853">
        <w:t xml:space="preserve">  </w:t>
      </w:r>
    </w:p>
    <w:p w14:paraId="5D3ED3A4" w14:textId="3EEE271A" w:rsidR="000F7853" w:rsidRDefault="000F7853" w:rsidP="000F7853">
      <w:pPr>
        <w:spacing w:line="240" w:lineRule="auto"/>
        <w:ind w:left="720" w:hanging="720"/>
      </w:pPr>
      <w:r>
        <w:t xml:space="preserve">Miller, K. M., S. J. Perles, J. P. Schmit, E. R. Matthews, A. S. Weed, J. A. Comiskey, M. R. Marshall, P. Nelson, </w:t>
      </w:r>
      <w:r w:rsidR="00A928CA">
        <w:t xml:space="preserve">and </w:t>
      </w:r>
      <w:r>
        <w:t xml:space="preserve">N. A. Fisichelli. 2023. </w:t>
      </w:r>
      <w:r w:rsidRPr="00656692">
        <w:t xml:space="preserve">Overabundant deer and invasive plants drive </w:t>
      </w:r>
      <w:r w:rsidRPr="00656692">
        <w:lastRenderedPageBreak/>
        <w:t>widespread regeneration debt in eastern United States national parks.</w:t>
      </w:r>
      <w:r>
        <w:t xml:space="preserve"> </w:t>
      </w:r>
      <w:r w:rsidRPr="00EF3D97">
        <w:rPr>
          <w:i/>
          <w:iCs/>
        </w:rPr>
        <w:t>Ecological Applications</w:t>
      </w:r>
      <w:r>
        <w:rPr>
          <w:i/>
          <w:iCs/>
        </w:rPr>
        <w:t xml:space="preserve"> </w:t>
      </w:r>
      <w:r>
        <w:t>33: 24pp.</w:t>
      </w:r>
    </w:p>
    <w:p w14:paraId="4E4A1E4F" w14:textId="3D6AEAD3" w:rsidR="000F7853" w:rsidRDefault="000F7853" w:rsidP="000F7853">
      <w:pPr>
        <w:spacing w:line="240" w:lineRule="auto"/>
        <w:ind w:left="720" w:hanging="720"/>
      </w:pPr>
      <w:r>
        <w:t xml:space="preserve">Moore, J. H., L. Gibson, Z. Amir, W. Chanthorn, A. H. Ahmad, P. A. Jansen, C. P. Mendes, M. Onuma, C. A. Peres, </w:t>
      </w:r>
      <w:r w:rsidR="00A928CA">
        <w:t xml:space="preserve">and </w:t>
      </w:r>
      <w:r>
        <w:t xml:space="preserve">M. S. Luskin. 2023. The rise of hyperabundant native generalists threatens both humans and nature. </w:t>
      </w:r>
      <w:r>
        <w:rPr>
          <w:i/>
          <w:iCs/>
        </w:rPr>
        <w:t>Biological Reviews</w:t>
      </w:r>
      <w:r>
        <w:t xml:space="preserve"> 98(5): 1829-1844.</w:t>
      </w:r>
    </w:p>
    <w:p w14:paraId="049BE68D" w14:textId="4746F548" w:rsidR="00C13D3C" w:rsidRDefault="00C13D3C" w:rsidP="00C13D3C">
      <w:pPr>
        <w:spacing w:line="240" w:lineRule="auto"/>
        <w:ind w:left="720" w:hanging="720"/>
      </w:pPr>
      <w:r>
        <w:t xml:space="preserve">National Park Service. 2023. Reducing deer numbers and removing invasive plants are key to long term forest health. </w:t>
      </w:r>
      <w:r>
        <w:t xml:space="preserve">Available at: </w:t>
      </w:r>
      <w:hyperlink r:id="rId12" w:history="1">
        <w:r w:rsidRPr="00566B2A">
          <w:rPr>
            <w:rStyle w:val="Hyperlink"/>
          </w:rPr>
          <w:t>https://www.nps.gov/cato/learn/news/reducing-deer-numbers-and-removing-invasive-plants-are-key-to-long-term-forest-health.htm</w:t>
        </w:r>
      </w:hyperlink>
      <w:r>
        <w:t xml:space="preserve"> (accessed March 10</w:t>
      </w:r>
      <w:r>
        <w:t>, 202</w:t>
      </w:r>
      <w:r>
        <w:t>6</w:t>
      </w:r>
      <w:r>
        <w:t>)</w:t>
      </w:r>
    </w:p>
    <w:p w14:paraId="0703A74C" w14:textId="3A29F310" w:rsidR="00C13D3C" w:rsidRPr="00E66FA7" w:rsidRDefault="00C13D3C" w:rsidP="00C13D3C">
      <w:pPr>
        <w:spacing w:line="240" w:lineRule="auto"/>
        <w:ind w:left="720" w:hanging="720"/>
      </w:pPr>
      <w:r>
        <w:t xml:space="preserve">National Park Service. 2025a. History of Bison Management in Yellowstone. Available at: </w:t>
      </w:r>
      <w:hyperlink r:id="rId13" w:history="1">
        <w:r w:rsidRPr="00566B2A">
          <w:rPr>
            <w:rStyle w:val="Hyperlink"/>
          </w:rPr>
          <w:t>https://www.nps.gov/articles/bison-history-yellowstone.htm</w:t>
        </w:r>
      </w:hyperlink>
      <w:r>
        <w:t xml:space="preserve"> (accessed March 10, 2026).</w:t>
      </w:r>
    </w:p>
    <w:p w14:paraId="0C798D7A" w14:textId="0F804299" w:rsidR="000F7853" w:rsidRDefault="000F7853" w:rsidP="000F7853">
      <w:pPr>
        <w:spacing w:line="240" w:lineRule="auto"/>
        <w:ind w:left="720" w:hanging="720"/>
      </w:pPr>
      <w:r>
        <w:t>National Park Service. 2025</w:t>
      </w:r>
      <w:r w:rsidR="00C13D3C">
        <w:t>b</w:t>
      </w:r>
      <w:r>
        <w:t xml:space="preserve">. Organic Act of 1916. Available at: </w:t>
      </w:r>
      <w:hyperlink r:id="rId14" w:history="1">
        <w:r w:rsidRPr="00096DB2">
          <w:rPr>
            <w:rStyle w:val="Hyperlink"/>
          </w:rPr>
          <w:t>https://www.nps.gov/grba/learn/management/organic-act-of-1916.htm</w:t>
        </w:r>
      </w:hyperlink>
      <w:r>
        <w:t xml:space="preserve"> (accessed March 27, 2025)</w:t>
      </w:r>
    </w:p>
    <w:p w14:paraId="2E352D74" w14:textId="5C006D5F" w:rsidR="000F7853" w:rsidRPr="00096DB2" w:rsidRDefault="000F7853" w:rsidP="000F7853">
      <w:pPr>
        <w:spacing w:line="240" w:lineRule="auto"/>
        <w:ind w:left="720" w:hanging="720"/>
        <w:rPr>
          <w:i/>
          <w:iCs/>
        </w:rPr>
      </w:pPr>
      <w:r>
        <w:t>National Park Service. 2025</w:t>
      </w:r>
      <w:r w:rsidR="00C13D3C">
        <w:t>c</w:t>
      </w:r>
      <w:r>
        <w:t xml:space="preserve">. Sitka National Historical Park. Available at: </w:t>
      </w:r>
      <w:hyperlink r:id="rId15" w:history="1">
        <w:r w:rsidRPr="00096DB2">
          <w:rPr>
            <w:rStyle w:val="Hyperlink"/>
          </w:rPr>
          <w:t>https://www.nps.gov/sitk/index.htm</w:t>
        </w:r>
      </w:hyperlink>
      <w:r>
        <w:t xml:space="preserve"> (accessed March 18, 2025)</w:t>
      </w:r>
      <w:r>
        <w:rPr>
          <w:i/>
          <w:iCs/>
        </w:rPr>
        <w:t xml:space="preserve"> </w:t>
      </w:r>
    </w:p>
    <w:p w14:paraId="66E9863D" w14:textId="60D4039D" w:rsidR="00EF3D97" w:rsidRDefault="00EF3D97" w:rsidP="000F7853">
      <w:pPr>
        <w:spacing w:line="240" w:lineRule="auto"/>
        <w:ind w:left="720" w:hanging="720"/>
      </w:pPr>
      <w:r>
        <w:t xml:space="preserve">Pearsons, T. N., and T. W. Hillman. 2025. Costs and benefits of a multi-generation captive broodstock Chinook Salmon hatchery program. </w:t>
      </w:r>
      <w:r>
        <w:rPr>
          <w:i/>
          <w:iCs/>
        </w:rPr>
        <w:t xml:space="preserve">North American Journal of Fisheries Management </w:t>
      </w:r>
      <w:r>
        <w:t>45:402-419.</w:t>
      </w:r>
    </w:p>
    <w:p w14:paraId="27328D4F" w14:textId="341FFF9A" w:rsidR="00DB0CE4" w:rsidRPr="00B60336" w:rsidRDefault="00DB0CE4" w:rsidP="000F7853">
      <w:pPr>
        <w:spacing w:line="240" w:lineRule="auto"/>
        <w:ind w:left="720" w:hanging="720"/>
        <w:rPr>
          <w:strike/>
        </w:rPr>
      </w:pPr>
      <w:r w:rsidRPr="00B60336">
        <w:rPr>
          <w:strike/>
        </w:rPr>
        <w:t xml:space="preserve">Pivello, R. V., M. V. Viera, M. T. Grombone-Guaratini, and D. M. S. Matos. 2018. Thinking about super-dominant populations of native species – Examples from Brazil. </w:t>
      </w:r>
      <w:r w:rsidRPr="00B60336">
        <w:rPr>
          <w:i/>
          <w:iCs/>
          <w:strike/>
        </w:rPr>
        <w:t xml:space="preserve">Perspectives in ecology and conservation </w:t>
      </w:r>
      <w:r w:rsidRPr="00B60336">
        <w:rPr>
          <w:strike/>
        </w:rPr>
        <w:t>16: 74-82.</w:t>
      </w:r>
    </w:p>
    <w:p w14:paraId="491D9474" w14:textId="2194DCDB"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0ED513C4" w14:textId="536A0569" w:rsidR="000F7853" w:rsidRDefault="000F7853" w:rsidP="000F7853">
      <w:pPr>
        <w:spacing w:line="240" w:lineRule="auto"/>
        <w:ind w:left="720" w:hanging="720"/>
      </w:pPr>
      <w:r>
        <w:t>Sambaraju, K. R.</w:t>
      </w:r>
      <w:r w:rsidR="00A928CA">
        <w:t xml:space="preserve"> and </w:t>
      </w:r>
      <w:r>
        <w:t xml:space="preserve"> D. W. Goodman. 2021. Mountain pine beetle: an example of a climate-driven eruptive insect impacting conifer forest ecosystems. </w:t>
      </w:r>
      <w:r>
        <w:rPr>
          <w:i/>
          <w:iCs/>
        </w:rPr>
        <w:t>CABI Reviews</w:t>
      </w:r>
      <w:r>
        <w:t>: 18pp.</w:t>
      </w:r>
    </w:p>
    <w:p w14:paraId="27B12705" w14:textId="061DCDF6" w:rsidR="00310948" w:rsidRDefault="00310948" w:rsidP="00310948">
      <w:pPr>
        <w:spacing w:line="240" w:lineRule="auto"/>
        <w:ind w:left="720" w:hanging="720"/>
      </w:pPr>
      <w:r>
        <w:t xml:space="preserve">Scheuerell, M. D., E. R. Buhle, B. X. Semmens, M. J. Ford, T. Cooney, </w:t>
      </w:r>
      <w:r w:rsidR="00A928CA">
        <w:t xml:space="preserve">and </w:t>
      </w:r>
      <w:r>
        <w:t xml:space="preserve">R. W. Carmichael. 2015. Analyzing large-scale conservation interventions with Bayesian hierarchical models: a case study of supplementing threated Pacific salmon. </w:t>
      </w:r>
      <w:r>
        <w:rPr>
          <w:i/>
          <w:iCs/>
        </w:rPr>
        <w:t xml:space="preserve">Ecology and Evolution </w:t>
      </w:r>
      <w:r>
        <w:t>5(10): 2115-2125.</w:t>
      </w:r>
    </w:p>
    <w:p w14:paraId="1F63EFB7" w14:textId="0637CE21" w:rsidR="000F7853" w:rsidRPr="005810E6" w:rsidRDefault="000F7853" w:rsidP="000F7853">
      <w:pPr>
        <w:spacing w:line="240" w:lineRule="auto"/>
        <w:ind w:left="720" w:hanging="720"/>
      </w:pPr>
      <w:r>
        <w:t xml:space="preserve">Sergeant, C. J., J. R. Bellmore, C. McConnell, </w:t>
      </w:r>
      <w:r w:rsidR="00A928CA">
        <w:t xml:space="preserve">and </w:t>
      </w:r>
      <w:r>
        <w:t xml:space="preserve">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735D6E81" w:rsidR="000F7853" w:rsidRDefault="000F7853" w:rsidP="000F7853">
      <w:pPr>
        <w:spacing w:line="240" w:lineRule="auto"/>
        <w:ind w:left="720" w:hanging="720"/>
      </w:pPr>
      <w:r>
        <w:t xml:space="preserve">Sergeant, C. J., J. R. Bellmore, R. A. Bellmore, J. A. Falke, F. J. Mueter, </w:t>
      </w:r>
      <w:r w:rsidR="00A928CA">
        <w:t>and</w:t>
      </w:r>
      <w:r>
        <w:t xml:space="preserve"> P. A. H. Westley. 2023. Hypoxia vulnerability in the salmon watersheds of Southeast Alaska. </w:t>
      </w:r>
      <w:r>
        <w:rPr>
          <w:i/>
          <w:iCs/>
        </w:rPr>
        <w:t xml:space="preserve">Science of the Total Environment </w:t>
      </w:r>
      <w:r>
        <w:t>896:</w:t>
      </w:r>
      <w:r w:rsidRPr="00C5517B">
        <w:t xml:space="preserve"> </w:t>
      </w:r>
      <w:r>
        <w:t>12pp.</w:t>
      </w:r>
    </w:p>
    <w:p w14:paraId="2EE60909" w14:textId="77777777" w:rsidR="000F7853" w:rsidRPr="008776F4" w:rsidRDefault="000F7853" w:rsidP="000F7853">
      <w:pPr>
        <w:spacing w:line="240" w:lineRule="auto"/>
        <w:ind w:left="720" w:hanging="720"/>
        <w:rPr>
          <w:i/>
          <w:iCs/>
        </w:rPr>
      </w:pPr>
      <w:r>
        <w:lastRenderedPageBreak/>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2A4273C3" w:rsidR="000F7853" w:rsidRDefault="000F7853" w:rsidP="000F7853">
      <w:pPr>
        <w:spacing w:line="240" w:lineRule="auto"/>
        <w:ind w:left="720" w:hanging="720"/>
      </w:pPr>
      <w:r>
        <w:t>Tillotson, M. D.</w:t>
      </w:r>
      <w:r w:rsidR="00A928CA">
        <w:t xml:space="preserve"> and</w:t>
      </w:r>
      <w:r>
        <w:t xml:space="preserve">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405AAF62" w14:textId="5FF2D970" w:rsidR="004D0C78" w:rsidRPr="004D0C78" w:rsidRDefault="004D0C78" w:rsidP="000F7853">
      <w:pPr>
        <w:spacing w:line="240" w:lineRule="auto"/>
        <w:ind w:left="720" w:hanging="720"/>
      </w:pPr>
      <w:r>
        <w:t xml:space="preserve">Valéry, L., H. Fritz, and J. C. Lefeuvre. 2013. Another call for the end of invasion biology. </w:t>
      </w:r>
      <w:r>
        <w:rPr>
          <w:i/>
          <w:iCs/>
        </w:rPr>
        <w:t xml:space="preserve">Oikos </w:t>
      </w:r>
      <w:r>
        <w:t>122: 1143-1146.</w:t>
      </w:r>
    </w:p>
    <w:p w14:paraId="1D692089" w14:textId="77777777" w:rsidR="000F7853" w:rsidRDefault="000F7853" w:rsidP="000F785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04A20E53" w14:textId="5C64BEAE" w:rsidR="009C2CB3" w:rsidRDefault="009C2CB3" w:rsidP="00306AE3">
      <w:pPr>
        <w:spacing w:line="240" w:lineRule="auto"/>
        <w:ind w:left="720" w:hanging="720"/>
      </w:pPr>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3-09T09:03:00Z" w:initials="BM">
    <w:p w14:paraId="7CB9D6C5" w14:textId="77777777" w:rsidR="009845B1" w:rsidRDefault="009845B1" w:rsidP="009845B1">
      <w:pPr>
        <w:pStyle w:val="CommentText"/>
      </w:pPr>
      <w:r>
        <w:rPr>
          <w:rStyle w:val="CommentReference"/>
        </w:rPr>
        <w:annotationRef/>
      </w:r>
      <w:r>
        <w:t>Adjust this from AK Park Science</w:t>
      </w:r>
    </w:p>
  </w:comment>
  <w:comment w:id="31" w:author="Brian E McGreal" w:date="2026-04-06T15:02:00Z" w:initials="BM">
    <w:p w14:paraId="22FC5461" w14:textId="77777777" w:rsidR="005B3082" w:rsidRDefault="005B3082" w:rsidP="005B3082">
      <w:pPr>
        <w:pStyle w:val="CommentText"/>
      </w:pPr>
      <w:r>
        <w:rPr>
          <w:rStyle w:val="CommentReference"/>
        </w:rPr>
        <w:annotationRef/>
      </w:r>
      <w:r>
        <w:t>Do I need a latin name here?</w:t>
      </w:r>
    </w:p>
  </w:comment>
  <w:comment w:id="33" w:author="Brian McGreal" w:date="2026-03-24T16:49:00Z" w:initials="BM">
    <w:p w14:paraId="61FC6D56" w14:textId="2702966C" w:rsidR="009056D1" w:rsidRDefault="009056D1">
      <w:pPr>
        <w:pStyle w:val="CommentText"/>
      </w:pPr>
      <w:r>
        <w:rPr>
          <w:rStyle w:val="CommentReference"/>
        </w:rPr>
        <w:annotationRef/>
      </w:r>
      <w:r>
        <w:t>This sequence feels lame</w:t>
      </w:r>
    </w:p>
  </w:comment>
  <w:comment w:id="36" w:author="Mark Scheuerell" w:date="2026-03-06T06:22:00Z" w:initials="s">
    <w:p w14:paraId="57FEDFCD" w14:textId="5FA3002A" w:rsidR="00205B63" w:rsidRDefault="00205B63">
      <w:pPr>
        <w:pStyle w:val="CommentText"/>
      </w:pPr>
      <w:r>
        <w:rPr>
          <w:rStyle w:val="CommentReference"/>
        </w:rPr>
        <w:annotationRef/>
      </w:r>
      <w:r>
        <w:t>This seems repeated from the intro</w:t>
      </w:r>
    </w:p>
  </w:comment>
  <w:comment w:id="37" w:author="Brian McGreal" w:date="2026-03-30T12:26:00Z" w:initials="BM">
    <w:p w14:paraId="6BD11D19" w14:textId="399304D7" w:rsidR="00F275C7" w:rsidRDefault="00F275C7">
      <w:pPr>
        <w:pStyle w:val="CommentText"/>
      </w:pPr>
      <w:r>
        <w:rPr>
          <w:rStyle w:val="CommentReference"/>
        </w:rPr>
        <w:annotationRef/>
      </w:r>
      <w:r>
        <w:t>I don’t see where this is discussed. I can add it into the intro.</w:t>
      </w:r>
    </w:p>
  </w:comment>
  <w:comment w:id="34"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35" w:author="Brian McGreal" w:date="2026-03-30T12:26:00Z" w:initials="BM">
    <w:p w14:paraId="5D9E908C" w14:textId="2956738B" w:rsidR="00F275C7" w:rsidRDefault="00F275C7">
      <w:pPr>
        <w:pStyle w:val="CommentText"/>
      </w:pPr>
      <w:r>
        <w:rPr>
          <w:rStyle w:val="CommentReference"/>
        </w:rPr>
        <w:annotationRef/>
      </w:r>
      <w:r>
        <w:t>This seems important to me? We should discuss further..</w:t>
      </w:r>
    </w:p>
  </w:comment>
  <w:comment w:id="41" w:author="Brian McGreal" w:date="2026-03-30T14:58:00Z" w:initials="BM">
    <w:p w14:paraId="12ACF803" w14:textId="42ABB0A7" w:rsidR="00837571" w:rsidRDefault="00837571">
      <w:pPr>
        <w:pStyle w:val="CommentText"/>
      </w:pPr>
      <w:r>
        <w:rPr>
          <w:rStyle w:val="CommentReference"/>
        </w:rPr>
        <w:annotationRef/>
      </w:r>
      <w:r>
        <w:t>Does this language work? Or ‘regional expectation’?</w:t>
      </w:r>
    </w:p>
  </w:comment>
  <w:comment w:id="39"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40" w:author="Brian McGreal" w:date="2026-03-30T14:45:00Z" w:initials="BM">
    <w:p w14:paraId="23F275B2" w14:textId="5DA66F39" w:rsidR="00F9527E" w:rsidRDefault="00F9527E">
      <w:pPr>
        <w:pStyle w:val="CommentText"/>
      </w:pPr>
      <w:r>
        <w:rPr>
          <w:rStyle w:val="CommentReference"/>
        </w:rPr>
        <w:annotationRef/>
      </w:r>
      <w:r>
        <w:t>I can back transform the Indian River state estimates into raw values, but because the state estimate related to the region is derived from 35 index streams, I don’t have a single mean/sd to apply to those values..</w:t>
      </w:r>
    </w:p>
  </w:comment>
  <w:comment w:id="42" w:author="Brian McGreal" w:date="2026-03-30T15:05:00Z" w:initials="BM">
    <w:p w14:paraId="090708CA" w14:textId="463CCD79" w:rsidR="001B7645" w:rsidRDefault="001B7645">
      <w:pPr>
        <w:pStyle w:val="CommentText"/>
      </w:pPr>
      <w:r>
        <w:rPr>
          <w:rStyle w:val="CommentReference"/>
        </w:rPr>
        <w:annotationRef/>
      </w:r>
      <w:r>
        <w:t>Here again</w:t>
      </w:r>
    </w:p>
  </w:comment>
  <w:comment w:id="44" w:author="Brian E McGreal" w:date="2026-04-06T12:55:00Z" w:initials="BM">
    <w:p w14:paraId="2229C8D2" w14:textId="77777777" w:rsidR="00EC3B72" w:rsidRDefault="00EC3B72" w:rsidP="00EC3B72">
      <w:pPr>
        <w:pStyle w:val="CommentText"/>
      </w:pPr>
      <w:r>
        <w:rPr>
          <w:rStyle w:val="CommentReference"/>
        </w:rPr>
        <w:annotationRef/>
      </w:r>
      <w:r>
        <w:t>Can I say this?</w:t>
      </w:r>
    </w:p>
  </w:comment>
  <w:comment w:id="45" w:author="Brian McGreal" w:date="2026-04-01T12:38:00Z" w:initials="BM">
    <w:p w14:paraId="749D68C0" w14:textId="0B903244" w:rsidR="00B07643" w:rsidRDefault="00B07643">
      <w:pPr>
        <w:pStyle w:val="CommentText"/>
      </w:pPr>
      <w:r>
        <w:rPr>
          <w:rStyle w:val="CommentReference"/>
        </w:rPr>
        <w:annotationRef/>
      </w:r>
      <w:r>
        <w:t>Can I still say this stuff? Even though the one effect is not significant?</w:t>
      </w:r>
    </w:p>
  </w:comment>
  <w:comment w:id="46" w:author="Mark Scheuerell" w:date="2026-03-07T10:13:00Z" w:initials="s">
    <w:p w14:paraId="4953AF7F" w14:textId="77777777" w:rsidR="005306BE" w:rsidRDefault="005306BE">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 w:id="47" w:author="Brian E McGreal" w:date="2026-04-10T18:46:00Z" w:initials="BM">
    <w:p w14:paraId="4AAFFAA7" w14:textId="77777777" w:rsidR="00281853" w:rsidRDefault="00281853" w:rsidP="00281853">
      <w:pPr>
        <w:pStyle w:val="CommentText"/>
      </w:pPr>
      <w:r>
        <w:rPr>
          <w:rStyle w:val="CommentReference"/>
        </w:rPr>
        <w:annotationRef/>
      </w:r>
      <w:r>
        <w:t>These three paragraphs should be kind of synthezied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B9D6C5" w15:done="0"/>
  <w15:commentEx w15:paraId="22FC5461" w15:done="0"/>
  <w15:commentEx w15:paraId="61FC6D56" w15:done="0"/>
  <w15:commentEx w15:paraId="57FEDFCD" w15:done="0"/>
  <w15:commentEx w15:paraId="6BD11D19" w15:paraIdParent="57FEDFCD" w15:done="0"/>
  <w15:commentEx w15:paraId="1D25BEBF" w15:done="0"/>
  <w15:commentEx w15:paraId="5D9E908C" w15:paraIdParent="1D25BEBF" w15:done="0"/>
  <w15:commentEx w15:paraId="12ACF803" w15:done="0"/>
  <w15:commentEx w15:paraId="462547C8" w15:done="0"/>
  <w15:commentEx w15:paraId="23F275B2" w15:paraIdParent="462547C8" w15:done="0"/>
  <w15:commentEx w15:paraId="090708CA" w15:done="0"/>
  <w15:commentEx w15:paraId="2229C8D2" w15:done="0"/>
  <w15:commentEx w15:paraId="749D68C0" w15:done="0"/>
  <w15:commentEx w15:paraId="4953AF7F" w15:done="0"/>
  <w15:commentEx w15:paraId="4AAFFAA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140219" w16cex:dateUtc="2026-03-09T16:03:00Z"/>
  <w16cex:commentExtensible w16cex:durableId="1A4F400C" w16cex:dateUtc="2026-04-06T22:02:00Z"/>
  <w16cex:commentExtensible w16cex:durableId="502D5DF3" w16cex:dateUtc="2026-03-24T23:49:00Z"/>
  <w16cex:commentExtensible w16cex:durableId="588C617E" w16cex:dateUtc="2026-03-06T14:22:00Z"/>
  <w16cex:commentExtensible w16cex:durableId="0DBE9D12" w16cex:dateUtc="2026-03-30T19:26:00Z"/>
  <w16cex:commentExtensible w16cex:durableId="4F05BC0A" w16cex:dateUtc="2026-03-06T14:28:00Z"/>
  <w16cex:commentExtensible w16cex:durableId="27350D5D" w16cex:dateUtc="2026-03-30T19:26:00Z"/>
  <w16cex:commentExtensible w16cex:durableId="50C632B6" w16cex:dateUtc="2026-03-30T21:58:00Z"/>
  <w16cex:commentExtensible w16cex:durableId="206F53A5" w16cex:dateUtc="2026-03-07T17:07:00Z"/>
  <w16cex:commentExtensible w16cex:durableId="44C801D1" w16cex:dateUtc="2026-03-30T21:45:00Z"/>
  <w16cex:commentExtensible w16cex:durableId="32D3276B" w16cex:dateUtc="2026-03-30T22:05:00Z"/>
  <w16cex:commentExtensible w16cex:durableId="5920609F" w16cex:dateUtc="2026-04-06T19:55:00Z"/>
  <w16cex:commentExtensible w16cex:durableId="0F2004AB" w16cex:dateUtc="2026-04-01T19:38:00Z"/>
  <w16cex:commentExtensible w16cex:durableId="4E6740D1" w16cex:dateUtc="2026-03-07T18:13:00Z"/>
  <w16cex:commentExtensible w16cex:durableId="04868D78" w16cex:dateUtc="2026-04-11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B9D6C5" w16cid:durableId="68140219"/>
  <w16cid:commentId w16cid:paraId="22FC5461" w16cid:durableId="1A4F400C"/>
  <w16cid:commentId w16cid:paraId="61FC6D56" w16cid:durableId="502D5DF3"/>
  <w16cid:commentId w16cid:paraId="57FEDFCD" w16cid:durableId="588C617E"/>
  <w16cid:commentId w16cid:paraId="6BD11D19" w16cid:durableId="0DBE9D12"/>
  <w16cid:commentId w16cid:paraId="1D25BEBF" w16cid:durableId="4F05BC0A"/>
  <w16cid:commentId w16cid:paraId="5D9E908C" w16cid:durableId="27350D5D"/>
  <w16cid:commentId w16cid:paraId="12ACF803" w16cid:durableId="50C632B6"/>
  <w16cid:commentId w16cid:paraId="462547C8" w16cid:durableId="206F53A5"/>
  <w16cid:commentId w16cid:paraId="23F275B2" w16cid:durableId="44C801D1"/>
  <w16cid:commentId w16cid:paraId="090708CA" w16cid:durableId="32D3276B"/>
  <w16cid:commentId w16cid:paraId="2229C8D2" w16cid:durableId="5920609F"/>
  <w16cid:commentId w16cid:paraId="749D68C0" w16cid:durableId="0F2004AB"/>
  <w16cid:commentId w16cid:paraId="4953AF7F" w16cid:durableId="4E6740D1"/>
  <w16cid:commentId w16cid:paraId="4AAFFAA7" w16cid:durableId="04868D7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003B7"/>
    <w:rsid w:val="00025AAD"/>
    <w:rsid w:val="00044435"/>
    <w:rsid w:val="00060EB8"/>
    <w:rsid w:val="0006107E"/>
    <w:rsid w:val="00062BCE"/>
    <w:rsid w:val="000672D9"/>
    <w:rsid w:val="00070D06"/>
    <w:rsid w:val="00086DA1"/>
    <w:rsid w:val="00090DA1"/>
    <w:rsid w:val="00096995"/>
    <w:rsid w:val="00097C72"/>
    <w:rsid w:val="000A0753"/>
    <w:rsid w:val="000A36D5"/>
    <w:rsid w:val="000B2062"/>
    <w:rsid w:val="000C6459"/>
    <w:rsid w:val="000D21FB"/>
    <w:rsid w:val="000E5A64"/>
    <w:rsid w:val="000F7853"/>
    <w:rsid w:val="00105DEF"/>
    <w:rsid w:val="00106EE6"/>
    <w:rsid w:val="001111B6"/>
    <w:rsid w:val="00112BBF"/>
    <w:rsid w:val="00114A77"/>
    <w:rsid w:val="00121CF4"/>
    <w:rsid w:val="001262D0"/>
    <w:rsid w:val="001370D1"/>
    <w:rsid w:val="00143CB9"/>
    <w:rsid w:val="001509D8"/>
    <w:rsid w:val="00186361"/>
    <w:rsid w:val="00197700"/>
    <w:rsid w:val="001A405D"/>
    <w:rsid w:val="001A6AA2"/>
    <w:rsid w:val="001B7645"/>
    <w:rsid w:val="001D457C"/>
    <w:rsid w:val="001D51EA"/>
    <w:rsid w:val="001D5683"/>
    <w:rsid w:val="001D716E"/>
    <w:rsid w:val="001E1CBF"/>
    <w:rsid w:val="001E29F4"/>
    <w:rsid w:val="001F775B"/>
    <w:rsid w:val="001F7F26"/>
    <w:rsid w:val="00205B63"/>
    <w:rsid w:val="00207CF5"/>
    <w:rsid w:val="00216517"/>
    <w:rsid w:val="00223722"/>
    <w:rsid w:val="00226B01"/>
    <w:rsid w:val="002321EC"/>
    <w:rsid w:val="00232D52"/>
    <w:rsid w:val="00246989"/>
    <w:rsid w:val="00252296"/>
    <w:rsid w:val="002657D1"/>
    <w:rsid w:val="00267F5F"/>
    <w:rsid w:val="00270CF9"/>
    <w:rsid w:val="00281853"/>
    <w:rsid w:val="0029325E"/>
    <w:rsid w:val="002A355E"/>
    <w:rsid w:val="002A4213"/>
    <w:rsid w:val="002B1614"/>
    <w:rsid w:val="002D28DF"/>
    <w:rsid w:val="002D76A3"/>
    <w:rsid w:val="002E34E7"/>
    <w:rsid w:val="00303024"/>
    <w:rsid w:val="003042E8"/>
    <w:rsid w:val="00306AE3"/>
    <w:rsid w:val="00310948"/>
    <w:rsid w:val="00321B88"/>
    <w:rsid w:val="0033098E"/>
    <w:rsid w:val="003323B4"/>
    <w:rsid w:val="00336763"/>
    <w:rsid w:val="00344905"/>
    <w:rsid w:val="00351AE4"/>
    <w:rsid w:val="003542B1"/>
    <w:rsid w:val="003633DB"/>
    <w:rsid w:val="00376A4E"/>
    <w:rsid w:val="003772FF"/>
    <w:rsid w:val="00391B74"/>
    <w:rsid w:val="003A279D"/>
    <w:rsid w:val="003B4882"/>
    <w:rsid w:val="003B6985"/>
    <w:rsid w:val="003B7704"/>
    <w:rsid w:val="003C5745"/>
    <w:rsid w:val="003C6E79"/>
    <w:rsid w:val="003C77AC"/>
    <w:rsid w:val="003D1E65"/>
    <w:rsid w:val="003D5D39"/>
    <w:rsid w:val="00402DA4"/>
    <w:rsid w:val="004040BD"/>
    <w:rsid w:val="00412816"/>
    <w:rsid w:val="00414541"/>
    <w:rsid w:val="004217D3"/>
    <w:rsid w:val="00421CE7"/>
    <w:rsid w:val="00427DB5"/>
    <w:rsid w:val="004327DF"/>
    <w:rsid w:val="00460B8F"/>
    <w:rsid w:val="00494B76"/>
    <w:rsid w:val="004A1DBD"/>
    <w:rsid w:val="004B019B"/>
    <w:rsid w:val="004B21F9"/>
    <w:rsid w:val="004C58F2"/>
    <w:rsid w:val="004D0C78"/>
    <w:rsid w:val="004F779B"/>
    <w:rsid w:val="005078EE"/>
    <w:rsid w:val="00510E38"/>
    <w:rsid w:val="005227E4"/>
    <w:rsid w:val="005306BE"/>
    <w:rsid w:val="005363D0"/>
    <w:rsid w:val="005565C2"/>
    <w:rsid w:val="00572D2B"/>
    <w:rsid w:val="00574432"/>
    <w:rsid w:val="00576D64"/>
    <w:rsid w:val="00591B05"/>
    <w:rsid w:val="00597FAB"/>
    <w:rsid w:val="005B1667"/>
    <w:rsid w:val="005B1CFB"/>
    <w:rsid w:val="005B3082"/>
    <w:rsid w:val="005B3ACD"/>
    <w:rsid w:val="005B7404"/>
    <w:rsid w:val="005C24C4"/>
    <w:rsid w:val="005C4DB8"/>
    <w:rsid w:val="005D4C4C"/>
    <w:rsid w:val="005D5E6A"/>
    <w:rsid w:val="005E3E9B"/>
    <w:rsid w:val="005F56EA"/>
    <w:rsid w:val="005F6F08"/>
    <w:rsid w:val="006002FE"/>
    <w:rsid w:val="00606257"/>
    <w:rsid w:val="00606949"/>
    <w:rsid w:val="00612D9D"/>
    <w:rsid w:val="00614E66"/>
    <w:rsid w:val="006178EC"/>
    <w:rsid w:val="00625D54"/>
    <w:rsid w:val="00626338"/>
    <w:rsid w:val="00633AFA"/>
    <w:rsid w:val="00647DF2"/>
    <w:rsid w:val="00654605"/>
    <w:rsid w:val="00666290"/>
    <w:rsid w:val="00670218"/>
    <w:rsid w:val="00672EBC"/>
    <w:rsid w:val="006745B4"/>
    <w:rsid w:val="00675815"/>
    <w:rsid w:val="006A0FFE"/>
    <w:rsid w:val="006B062A"/>
    <w:rsid w:val="006B1A2E"/>
    <w:rsid w:val="006B5A94"/>
    <w:rsid w:val="006C6D25"/>
    <w:rsid w:val="006D7969"/>
    <w:rsid w:val="006E0493"/>
    <w:rsid w:val="006E6B42"/>
    <w:rsid w:val="006F23FA"/>
    <w:rsid w:val="006F4BBF"/>
    <w:rsid w:val="00716B1F"/>
    <w:rsid w:val="00723599"/>
    <w:rsid w:val="00731AF8"/>
    <w:rsid w:val="00734A33"/>
    <w:rsid w:val="00737D2B"/>
    <w:rsid w:val="00740E18"/>
    <w:rsid w:val="00741B88"/>
    <w:rsid w:val="007635F3"/>
    <w:rsid w:val="00771AD2"/>
    <w:rsid w:val="00773DA7"/>
    <w:rsid w:val="00795151"/>
    <w:rsid w:val="007B0F67"/>
    <w:rsid w:val="007B55B0"/>
    <w:rsid w:val="007C003B"/>
    <w:rsid w:val="007C158F"/>
    <w:rsid w:val="007C46E2"/>
    <w:rsid w:val="007C5247"/>
    <w:rsid w:val="007F1518"/>
    <w:rsid w:val="007F5330"/>
    <w:rsid w:val="00802542"/>
    <w:rsid w:val="0080336B"/>
    <w:rsid w:val="00837571"/>
    <w:rsid w:val="00855FD8"/>
    <w:rsid w:val="0086192A"/>
    <w:rsid w:val="0087213E"/>
    <w:rsid w:val="0087408B"/>
    <w:rsid w:val="00874BB8"/>
    <w:rsid w:val="00875B91"/>
    <w:rsid w:val="008C0B8C"/>
    <w:rsid w:val="008C0E5E"/>
    <w:rsid w:val="008C144E"/>
    <w:rsid w:val="008C3130"/>
    <w:rsid w:val="008D0E15"/>
    <w:rsid w:val="008D1BFB"/>
    <w:rsid w:val="008D3168"/>
    <w:rsid w:val="008E583F"/>
    <w:rsid w:val="008E7DF4"/>
    <w:rsid w:val="008F33A8"/>
    <w:rsid w:val="009056D1"/>
    <w:rsid w:val="0091309E"/>
    <w:rsid w:val="0092693F"/>
    <w:rsid w:val="00931642"/>
    <w:rsid w:val="0093424C"/>
    <w:rsid w:val="0093781E"/>
    <w:rsid w:val="00942F0B"/>
    <w:rsid w:val="0096153E"/>
    <w:rsid w:val="009721BE"/>
    <w:rsid w:val="009754D5"/>
    <w:rsid w:val="00976473"/>
    <w:rsid w:val="0097710D"/>
    <w:rsid w:val="009845B1"/>
    <w:rsid w:val="009978CD"/>
    <w:rsid w:val="009A51C2"/>
    <w:rsid w:val="009A59EE"/>
    <w:rsid w:val="009B40CF"/>
    <w:rsid w:val="009B5B49"/>
    <w:rsid w:val="009B7CF2"/>
    <w:rsid w:val="009C0B82"/>
    <w:rsid w:val="009C0C6B"/>
    <w:rsid w:val="009C2CB3"/>
    <w:rsid w:val="009D4DE7"/>
    <w:rsid w:val="009D55B2"/>
    <w:rsid w:val="009E0479"/>
    <w:rsid w:val="009E2FA4"/>
    <w:rsid w:val="009F0991"/>
    <w:rsid w:val="009F6B38"/>
    <w:rsid w:val="00A017CB"/>
    <w:rsid w:val="00A21D8D"/>
    <w:rsid w:val="00A227BE"/>
    <w:rsid w:val="00A2387C"/>
    <w:rsid w:val="00A26CD8"/>
    <w:rsid w:val="00A368FA"/>
    <w:rsid w:val="00A407B8"/>
    <w:rsid w:val="00A43887"/>
    <w:rsid w:val="00A527C1"/>
    <w:rsid w:val="00A60972"/>
    <w:rsid w:val="00A6298E"/>
    <w:rsid w:val="00A91C0C"/>
    <w:rsid w:val="00A928CA"/>
    <w:rsid w:val="00A93D33"/>
    <w:rsid w:val="00AB15D6"/>
    <w:rsid w:val="00AB32D2"/>
    <w:rsid w:val="00AC48BB"/>
    <w:rsid w:val="00AD445E"/>
    <w:rsid w:val="00AE03EE"/>
    <w:rsid w:val="00AE4507"/>
    <w:rsid w:val="00AE6A99"/>
    <w:rsid w:val="00AF5677"/>
    <w:rsid w:val="00B00D9B"/>
    <w:rsid w:val="00B07643"/>
    <w:rsid w:val="00B23CD2"/>
    <w:rsid w:val="00B40C10"/>
    <w:rsid w:val="00B424B2"/>
    <w:rsid w:val="00B50797"/>
    <w:rsid w:val="00B60336"/>
    <w:rsid w:val="00B66763"/>
    <w:rsid w:val="00B67742"/>
    <w:rsid w:val="00B94D98"/>
    <w:rsid w:val="00B96F76"/>
    <w:rsid w:val="00BA6468"/>
    <w:rsid w:val="00BB24CA"/>
    <w:rsid w:val="00BB43D3"/>
    <w:rsid w:val="00BB4FE2"/>
    <w:rsid w:val="00BD3740"/>
    <w:rsid w:val="00BD7B83"/>
    <w:rsid w:val="00BF04BF"/>
    <w:rsid w:val="00C02ADB"/>
    <w:rsid w:val="00C13D3C"/>
    <w:rsid w:val="00C16190"/>
    <w:rsid w:val="00C3066D"/>
    <w:rsid w:val="00C60F0A"/>
    <w:rsid w:val="00C61B5A"/>
    <w:rsid w:val="00C64BF8"/>
    <w:rsid w:val="00C66ED1"/>
    <w:rsid w:val="00C80629"/>
    <w:rsid w:val="00C874A9"/>
    <w:rsid w:val="00C92B7C"/>
    <w:rsid w:val="00C9797F"/>
    <w:rsid w:val="00CA65D7"/>
    <w:rsid w:val="00CC7AA4"/>
    <w:rsid w:val="00CD3E62"/>
    <w:rsid w:val="00CD58A3"/>
    <w:rsid w:val="00CE633A"/>
    <w:rsid w:val="00D011BB"/>
    <w:rsid w:val="00D15E91"/>
    <w:rsid w:val="00D362A0"/>
    <w:rsid w:val="00D368CD"/>
    <w:rsid w:val="00D431CD"/>
    <w:rsid w:val="00D45C26"/>
    <w:rsid w:val="00D51675"/>
    <w:rsid w:val="00D56989"/>
    <w:rsid w:val="00D57B76"/>
    <w:rsid w:val="00D801ED"/>
    <w:rsid w:val="00D9784A"/>
    <w:rsid w:val="00DA70F0"/>
    <w:rsid w:val="00DB0CE4"/>
    <w:rsid w:val="00DC2443"/>
    <w:rsid w:val="00DC67C0"/>
    <w:rsid w:val="00DF0566"/>
    <w:rsid w:val="00DF38BD"/>
    <w:rsid w:val="00E06BFE"/>
    <w:rsid w:val="00E26A22"/>
    <w:rsid w:val="00E47684"/>
    <w:rsid w:val="00E64ABF"/>
    <w:rsid w:val="00E65279"/>
    <w:rsid w:val="00E65F33"/>
    <w:rsid w:val="00E72B3A"/>
    <w:rsid w:val="00E73316"/>
    <w:rsid w:val="00E82478"/>
    <w:rsid w:val="00E840C6"/>
    <w:rsid w:val="00EB0251"/>
    <w:rsid w:val="00EB1DB7"/>
    <w:rsid w:val="00EC3B72"/>
    <w:rsid w:val="00ED5857"/>
    <w:rsid w:val="00ED5A07"/>
    <w:rsid w:val="00ED6470"/>
    <w:rsid w:val="00ED689D"/>
    <w:rsid w:val="00EF0488"/>
    <w:rsid w:val="00EF2ADE"/>
    <w:rsid w:val="00EF3D97"/>
    <w:rsid w:val="00EF4CE3"/>
    <w:rsid w:val="00F01ACB"/>
    <w:rsid w:val="00F12190"/>
    <w:rsid w:val="00F26C13"/>
    <w:rsid w:val="00F275C7"/>
    <w:rsid w:val="00F302DE"/>
    <w:rsid w:val="00F4350E"/>
    <w:rsid w:val="00F45152"/>
    <w:rsid w:val="00F4609B"/>
    <w:rsid w:val="00F5558B"/>
    <w:rsid w:val="00F6199D"/>
    <w:rsid w:val="00F66F22"/>
    <w:rsid w:val="00F67FB5"/>
    <w:rsid w:val="00F8028C"/>
    <w:rsid w:val="00F8072F"/>
    <w:rsid w:val="00F90233"/>
    <w:rsid w:val="00F9527E"/>
    <w:rsid w:val="00FA6A18"/>
    <w:rsid w:val="00FA7FF3"/>
    <w:rsid w:val="00FB4201"/>
    <w:rsid w:val="00FC2324"/>
    <w:rsid w:val="00FC76B3"/>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 w:type="character" w:styleId="UnresolvedMention">
    <w:name w:val="Unresolved Mention"/>
    <w:basedOn w:val="DefaultParagraphFont"/>
    <w:uiPriority w:val="99"/>
    <w:semiHidden/>
    <w:unhideWhenUsed/>
    <w:rsid w:val="005B30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nps.gov/articles/bison-history-yellowstone.htm" TargetMode="External"/><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nps.gov/cato/learn/news/reducing-deer-numbers-and-removing-invasive-plants-are-key-to-long-term-forest-health.htm" TargetMode="Externa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mtalab.adfg.alaska.gov/OTO/marking.aspx" TargetMode="External"/><Relationship Id="rId5" Type="http://schemas.openxmlformats.org/officeDocument/2006/relationships/comments" Target="comments.xml"/><Relationship Id="rId15" Type="http://schemas.openxmlformats.org/officeDocument/2006/relationships/hyperlink" Target="https://www.nps.gov/sitk/index.htm%20" TargetMode="External"/><Relationship Id="rId10"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nps.gov/grba/learn/management/organic-act-of-1916.htm%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1770</TotalTime>
  <Pages>33</Pages>
  <Words>9891</Words>
  <Characters>52423</Characters>
  <Application>Microsoft Office Word</Application>
  <DocSecurity>0</DocSecurity>
  <Lines>759</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100</cp:revision>
  <dcterms:created xsi:type="dcterms:W3CDTF">2026-03-06T13:33:00Z</dcterms:created>
  <dcterms:modified xsi:type="dcterms:W3CDTF">2026-04-11T01:47:00Z</dcterms:modified>
</cp:coreProperties>
</file>