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966C" w14:textId="312D5B2F" w:rsidR="005012A6" w:rsidRDefault="005012A6">
      <w:r>
        <w:t xml:space="preserve">Figures 2 &amp; 3 describe peak escapement of salmon runs recorded between 1960 and 2023 at Indian River and 35 pink salmon streams, all located in what ADFG designates as the ‘Northern Southeast (Outside)’ region. A cursory inspection of these figures suggests that abundances of returning pink salmon have generally been on the rise throughout the region over the last few decades, and that Indian River pink salmon are returning in densities consistent with those observed in nearby index streams. While this is somewhat compelling, visual inspection of a few dozen time series is not sufficient to conclude whether and to what extent Sheldon Jackson Hatchery has influenced pink salmon abundance at Indian River.  </w:t>
      </w:r>
    </w:p>
    <w:p w14:paraId="13C36C95" w14:textId="77777777" w:rsidR="005012A6" w:rsidRDefault="005012A6"/>
    <w:p w14:paraId="0B2CEACD" w14:textId="3D137330" w:rsidR="005012A6" w:rsidRDefault="005012A6" w:rsidP="004A17BC">
      <w:pPr>
        <w:spacing w:after="0" w:line="480" w:lineRule="auto"/>
      </w:pPr>
      <w:r>
        <w:t>Between 1960 and 2023, pink salmon escapement has increased throughout what ADFG designates as the ‘Northern Southeast (Outside)’ region</w:t>
      </w:r>
      <w:r w:rsidR="00C4640D">
        <w:t xml:space="preserve"> (in which the Indian River is located)</w:t>
      </w:r>
      <w:r>
        <w:t xml:space="preserve">. The agency has recorded peak </w:t>
      </w:r>
      <w:r w:rsidR="00C4640D">
        <w:t xml:space="preserve">pink salmon </w:t>
      </w:r>
      <w:r>
        <w:t xml:space="preserve">escapement annually at 35 index streams </w:t>
      </w:r>
      <w:r w:rsidR="00C4640D">
        <w:t xml:space="preserve">in this region, as well as at Indian River, albeit with gaps in the time series. </w:t>
      </w:r>
      <w:r w:rsidR="004A17BC">
        <w:t>Along with other streams in the region, Indian River has seen an increase in peak escapement over the period of observation</w:t>
      </w:r>
      <w:r w:rsidR="00C4640D">
        <w:t xml:space="preserve"> (Figure 2)</w:t>
      </w:r>
      <w:r w:rsidR="004A17BC">
        <w:t xml:space="preserve">. However, this data alone does not provide sufficient evidence to conclude whether and to what extent Sheldon Jackson Hatchery has influenced pink salmon abundance at Indian River.  </w:t>
      </w:r>
    </w:p>
    <w:p w14:paraId="7575901B" w14:textId="4126D6A0" w:rsidR="004A17BC" w:rsidRDefault="004A17BC">
      <w:r>
        <w:br w:type="page"/>
      </w:r>
    </w:p>
    <w:p w14:paraId="36C0F663" w14:textId="77777777" w:rsidR="004A17BC" w:rsidRDefault="004A17BC" w:rsidP="004A17BC">
      <w:pPr>
        <w:spacing w:after="0" w:line="480" w:lineRule="auto"/>
        <w:ind w:firstLine="360"/>
      </w:pPr>
      <w:commentRangeStart w:id="0"/>
      <w:r>
        <w:lastRenderedPageBreak/>
        <w:t>My research seeks to assess whether the abundances of pink salmon observed in recent decades at Indian River exist within a natural range of variation relative to pink salmon streams elsewhere in the region. Additionally, my research explores whether a causal relationship exists between the operations of Sheldon Jackson Hatchery and the increased pink salmon abundances observed at Indian River since 1980, and estimates the effect SJH operations have had on abundances of pink salmon at Indian River over time.</w:t>
      </w:r>
      <w:commentRangeEnd w:id="0"/>
      <w:r>
        <w:rPr>
          <w:rStyle w:val="CommentReference"/>
          <w:sz w:val="24"/>
          <w:szCs w:val="24"/>
        </w:rPr>
        <w:commentReference w:id="0"/>
      </w:r>
      <w:r>
        <w:t xml:space="preserve">  </w:t>
      </w:r>
    </w:p>
    <w:p w14:paraId="6A576B6C" w14:textId="77777777" w:rsidR="004A17BC" w:rsidRDefault="004A17BC" w:rsidP="004A17BC">
      <w:pPr>
        <w:spacing w:after="0" w:line="480" w:lineRule="auto"/>
      </w:pPr>
    </w:p>
    <w:p w14:paraId="4B33476C" w14:textId="0A45BEF8" w:rsidR="00EF660E" w:rsidRDefault="008823CF" w:rsidP="004A17BC">
      <w:pPr>
        <w:spacing w:after="0" w:line="480" w:lineRule="auto"/>
      </w:pPr>
      <w:r>
        <w:tab/>
        <w:t xml:space="preserve">This research seeks to assess whether the abundances of pink salmon observed in recent decades at Indian River exist within a natural range of variation relative to pink salmon streams elsewhere in the region, and to evaluate if and to what extent Sheldon Jackson Hatchery operations have driven the increased abundances observed since 1980. </w:t>
      </w:r>
      <w:r w:rsidR="002A1D18">
        <w:t xml:space="preserve">If Indian River pink salmon abundances do not exist within a natural range of variation, then it follows that a model which specifies estimates Indian River abundance as separate from that of the wider region would fit the observed data significantly better than a model which estimates pink salmon abundance throughout the region and does not allow for the Indian River to be treated as separate. </w:t>
      </w:r>
      <w:r w:rsidR="00ED2389">
        <w:t>If the commencement (or 2010 expansion) of hatchery operations has</w:t>
      </w:r>
      <w:r w:rsidR="00396E9D">
        <w:t xml:space="preserve"> significantly increased pink salmon population densities at Indian River, then this effect could be observed by specifying a</w:t>
      </w:r>
      <w:r w:rsidR="00ED2389">
        <w:t xml:space="preserve"> model of hatchery operations which controls for both the effect of time period (pre- and post-commencement of operations) and the effect of treatment (considering Indian River the treated group)</w:t>
      </w:r>
      <w:r w:rsidR="00396E9D">
        <w:t>.</w:t>
      </w:r>
      <w:r w:rsidR="002F1F1F">
        <w:t xml:space="preserve"> Finally</w:t>
      </w:r>
      <w:r w:rsidR="00E81D20">
        <w:t xml:space="preserve">, the impact of hatchery releases on Indian River abundances may be evaluated by specifying a model which allows for both peak escapement and hatchery releases in the previous brood year to influence the number of pink salmon returning to Indian River to </w:t>
      </w:r>
      <w:r w:rsidR="00E81D20">
        <w:lastRenderedPageBreak/>
        <w:t>spawn in the current brood year, with the size and significance of the effect of prior-year hatchery releases providing insight as to if and what influence the volume of hatchery releases has on wild abundance. Each of these approaches is discussed in greater detail in the following section.</w:t>
      </w:r>
    </w:p>
    <w:p w14:paraId="30BBDF73" w14:textId="77777777" w:rsidR="00EF660E" w:rsidRDefault="00EF660E">
      <w:r>
        <w:br w:type="page"/>
      </w:r>
    </w:p>
    <w:p w14:paraId="3B38BA09" w14:textId="327810D3" w:rsidR="004A17BC" w:rsidRDefault="00EF660E" w:rsidP="004A17BC">
      <w:pPr>
        <w:spacing w:after="0" w:line="480" w:lineRule="auto"/>
      </w:pPr>
      <w:commentRangeStart w:id="1"/>
      <w:r>
        <w:lastRenderedPageBreak/>
        <w:t xml:space="preserve">The first stage of this research will attempt to assess whether abundances of pink salmon observed at Indian River are consistent with those abundances seen elsewhere in the region, with no attention paid to the existence of the hatchery. This is accomplished by comparing MARSS model estimates of the underlying population of Indian River pink salmon to populations estimated in ADFG’s 35 </w:t>
      </w:r>
      <w:r w:rsidRPr="003C6E79">
        <w:rPr>
          <w:i/>
          <w:iCs/>
        </w:rPr>
        <w:t>north southeast (outside)</w:t>
      </w:r>
      <w:r>
        <w:t xml:space="preserve"> index streams. </w:t>
      </w:r>
      <w:commentRangeEnd w:id="1"/>
      <w:r>
        <w:rPr>
          <w:rStyle w:val="CommentReference"/>
          <w:sz w:val="24"/>
          <w:szCs w:val="24"/>
        </w:rPr>
        <w:commentReference w:id="1"/>
      </w:r>
    </w:p>
    <w:p w14:paraId="0DA9AB8C" w14:textId="77777777" w:rsidR="004A17BC" w:rsidRDefault="004A17BC" w:rsidP="004A17BC">
      <w:pPr>
        <w:spacing w:after="0" w:line="480" w:lineRule="auto"/>
      </w:pPr>
    </w:p>
    <w:p w14:paraId="6AC222F8" w14:textId="5E5B1423" w:rsidR="00E77D5F" w:rsidRDefault="00EF660E" w:rsidP="004A17BC">
      <w:pPr>
        <w:spacing w:after="0" w:line="480" w:lineRule="auto"/>
      </w:pPr>
      <w:r>
        <w:t>The first stage of this research will attempt to assess whether abundances of pink salmon observed at Indian River are consistent with those abundances seen elsewhere in the region, with no attention paid to the existence of the hatchery. This is accomplished by specifying two separate MARSS models of pink salmon abundance at Indian River and the surrounding region</w:t>
      </w:r>
      <w:r w:rsidR="001D249A">
        <w:t>.</w:t>
      </w:r>
      <w:r>
        <w:t xml:space="preserve"> </w:t>
      </w:r>
      <w:r w:rsidR="001D249A">
        <w:t>T</w:t>
      </w:r>
      <w:r w:rsidR="00657247">
        <w:t>he first</w:t>
      </w:r>
      <w:r>
        <w:t xml:space="preserve"> </w:t>
      </w:r>
      <w:r w:rsidR="001D249A">
        <w:t>estimates</w:t>
      </w:r>
      <w:r>
        <w:t xml:space="preserve"> </w:t>
      </w:r>
      <w:r w:rsidR="001D249A">
        <w:t xml:space="preserve">two underlying state processes, treating </w:t>
      </w:r>
      <w:r>
        <w:t xml:space="preserve">the underlying state of Indian River </w:t>
      </w:r>
      <w:r w:rsidR="001D249A">
        <w:t>pink salmon abundance</w:t>
      </w:r>
      <w:r>
        <w:t xml:space="preserve"> separately from th</w:t>
      </w:r>
      <w:r w:rsidR="001D249A">
        <w:t>at</w:t>
      </w:r>
      <w:r>
        <w:t xml:space="preserve"> </w:t>
      </w:r>
      <w:r w:rsidR="00657247">
        <w:t>of the wider region</w:t>
      </w:r>
      <w:r w:rsidR="001D249A">
        <w:t>. T</w:t>
      </w:r>
      <w:r w:rsidR="00657247">
        <w:t xml:space="preserve">he second </w:t>
      </w:r>
      <w:r w:rsidR="001D249A">
        <w:t xml:space="preserve">uses all available data (abundance observations from Indian River and ADFG’s 35 </w:t>
      </w:r>
      <w:r w:rsidR="001D249A" w:rsidRPr="003C6E79">
        <w:rPr>
          <w:i/>
          <w:iCs/>
        </w:rPr>
        <w:t>north southeast (outside)</w:t>
      </w:r>
      <w:r w:rsidR="001D249A">
        <w:t xml:space="preserve"> index streams) to estimate</w:t>
      </w:r>
      <w:r w:rsidR="00657247">
        <w:t xml:space="preserve"> </w:t>
      </w:r>
      <w:r w:rsidR="001D249A">
        <w:t xml:space="preserve">one </w:t>
      </w:r>
      <w:r w:rsidR="00657247">
        <w:t xml:space="preserve">underlying state </w:t>
      </w:r>
      <w:r w:rsidR="001D249A">
        <w:t xml:space="preserve">process </w:t>
      </w:r>
      <w:r w:rsidR="00657247">
        <w:t>of pink salmon abundance throughout the region</w:t>
      </w:r>
      <w:r>
        <w:t xml:space="preserve">. </w:t>
      </w:r>
      <w:r w:rsidR="006C7056">
        <w:t xml:space="preserve">A comparison of </w:t>
      </w:r>
      <w:r w:rsidR="00E77D5F">
        <w:t xml:space="preserve">how well each </w:t>
      </w:r>
      <w:r w:rsidR="006C7056">
        <w:t>model fit</w:t>
      </w:r>
      <w:r w:rsidR="00E77D5F">
        <w:t>s the abundance data</w:t>
      </w:r>
      <w:r w:rsidR="006C7056">
        <w:t xml:space="preserve"> will</w:t>
      </w:r>
      <w:r w:rsidR="00E77D5F">
        <w:t xml:space="preserve"> either</w:t>
      </w:r>
      <w:r w:rsidR="006C7056">
        <w:t xml:space="preserve"> lend support</w:t>
      </w:r>
      <w:r w:rsidR="00E77D5F">
        <w:t xml:space="preserve"> to</w:t>
      </w:r>
      <w:r w:rsidR="006C7056">
        <w:t xml:space="preserve"> or undermine the notion that Indian River pink salmon abundances significantly differ from those observed elsewhere in the region throughout the study period. </w:t>
      </w:r>
    </w:p>
    <w:p w14:paraId="672072A8" w14:textId="77777777" w:rsidR="00E77D5F" w:rsidRDefault="00E77D5F">
      <w:r>
        <w:br w:type="page"/>
      </w:r>
    </w:p>
    <w:p w14:paraId="512D9FDF" w14:textId="27E31F32" w:rsidR="00897510" w:rsidRDefault="00E77D5F" w:rsidP="004A17BC">
      <w:pPr>
        <w:spacing w:after="0" w:line="480" w:lineRule="auto"/>
      </w:pPr>
      <w:commentRangeStart w:id="2"/>
      <w:r>
        <w:lastRenderedPageBreak/>
        <w:t xml:space="preserve">The most parsimonious model as defined by AICc includes a 36x2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matrix, which selects the Indian River as representative of one state and all other streams in the sub-region as representative of a second state (AICc is chosen here due to the relatively small number of Indian River observations). This is consistent with non-quantitative intuition if indeed the presence of SJH creates conditions that differ from a “natural” state. </w:t>
      </w:r>
      <w:commentRangeEnd w:id="2"/>
      <w:r>
        <w:rPr>
          <w:rStyle w:val="CommentReference"/>
          <w:sz w:val="24"/>
          <w:szCs w:val="24"/>
        </w:rPr>
        <w:commentReference w:id="2"/>
      </w:r>
    </w:p>
    <w:p w14:paraId="4F307A55" w14:textId="77777777" w:rsidR="00897510" w:rsidRDefault="00897510">
      <w:r>
        <w:br w:type="page"/>
      </w:r>
    </w:p>
    <w:p w14:paraId="11D1FF6D" w14:textId="77777777" w:rsidR="00897510" w:rsidRDefault="00897510" w:rsidP="00897510">
      <w:pPr>
        <w:spacing w:after="0" w:line="480" w:lineRule="auto"/>
        <w:ind w:firstLine="720"/>
      </w:pPr>
      <w:commentRangeStart w:id="3"/>
      <w:r>
        <w:lastRenderedPageBreak/>
        <w:t xml:space="preserve">While there is no single statistical test that evaluates whether two time series differ significantly, characteristics of time series that may be statistically compared include long-term trends, variance, mean value, as well as the number of lagged time steps displaying autocorrelation with any given observation. Comparing the variances and means of two time series in a meaningful way requires that both time series be stationary, meaning that the variance, mean, and autocorrelation are not changing over time (i.e. the data’s behavior is independent of time). </w:t>
      </w:r>
      <w:commentRangeStart w:id="4"/>
      <w:r>
        <w:t>This property is evaluated using an Augmented Dickey-Fuller (ADF) test, which determines if a time series is stationary by evaluating the null hypothesis of a unit root being present, or by using a Kwiatkowski-Phillips-Schmidt-Shin (KPSS) test, which determines if a time series is stationary around a linear trend. Any time series which includes some long-term trend or seasonality is likely not stationary, and so it is commonplace to difference time series data by taking the difference between successive observations to “detrend” the data (</w:t>
      </w:r>
      <w:r>
        <w:rPr>
          <w:rFonts w:cstheme="minorHAnsi"/>
        </w:rPr>
        <w:t>Δ</w:t>
      </w:r>
      <w:r w:rsidRPr="00344905">
        <w:rPr>
          <w:rFonts w:ascii="MathJax_Math-italic" w:eastAsia="Times New Roman" w:hAnsi="MathJax_Math-italic" w:cs="Times New Roman"/>
          <w:kern w:val="0"/>
          <w:sz w:val="26"/>
          <w:szCs w:val="26"/>
          <w:bdr w:val="none" w:sz="0" w:space="0" w:color="auto" w:frame="1"/>
          <w14:ligatures w14:val="none"/>
        </w:rPr>
        <w:t>y</w:t>
      </w:r>
      <w:r w:rsidRPr="00344905">
        <w:rPr>
          <w:rFonts w:ascii="MathJax_Math-italic" w:eastAsia="Times New Roman" w:hAnsi="MathJax_Math-italic" w:cs="Times New Roman"/>
          <w:kern w:val="0"/>
          <w:sz w:val="26"/>
          <w:szCs w:val="26"/>
          <w:bdr w:val="none" w:sz="0" w:space="0" w:color="auto" w:frame="1"/>
          <w:vertAlign w:val="subscript"/>
          <w14:ligatures w14:val="none"/>
        </w:rPr>
        <w:t>t</w:t>
      </w:r>
      <w:r>
        <w:rPr>
          <w:rFonts w:cstheme="minorHAnsi"/>
        </w:rPr>
        <w:t xml:space="preserve"> = </w:t>
      </w:r>
      <w:r w:rsidRPr="00344905">
        <w:rPr>
          <w:rFonts w:ascii="MathJax_Math-italic" w:eastAsia="Times New Roman" w:hAnsi="MathJax_Math-italic" w:cs="Times New Roman"/>
          <w:kern w:val="0"/>
          <w:sz w:val="26"/>
          <w:szCs w:val="26"/>
          <w:bdr w:val="none" w:sz="0" w:space="0" w:color="auto" w:frame="1"/>
          <w14:ligatures w14:val="none"/>
        </w:rPr>
        <w:t>y</w:t>
      </w:r>
      <w:r w:rsidRPr="00344905">
        <w:rPr>
          <w:rFonts w:ascii="MathJax_Math-italic" w:eastAsia="Times New Roman" w:hAnsi="MathJax_Math-italic" w:cs="Times New Roman"/>
          <w:kern w:val="0"/>
          <w:sz w:val="26"/>
          <w:szCs w:val="26"/>
          <w:bdr w:val="none" w:sz="0" w:space="0" w:color="auto" w:frame="1"/>
          <w:vertAlign w:val="subscript"/>
          <w14:ligatures w14:val="none"/>
        </w:rPr>
        <w:t>t</w:t>
      </w:r>
      <w:r>
        <w:rPr>
          <w:rFonts w:cstheme="minorHAnsi"/>
        </w:rPr>
        <w:t xml:space="preserve"> - </w:t>
      </w:r>
      <w:r w:rsidRPr="00344905">
        <w:rPr>
          <w:rFonts w:ascii="MathJax_Math-italic" w:eastAsia="Times New Roman" w:hAnsi="MathJax_Math-italic" w:cs="Times New Roman"/>
          <w:kern w:val="0"/>
          <w:sz w:val="26"/>
          <w:szCs w:val="26"/>
          <w:bdr w:val="none" w:sz="0" w:space="0" w:color="auto" w:frame="1"/>
          <w14:ligatures w14:val="none"/>
        </w:rPr>
        <w:t>y</w:t>
      </w:r>
      <w:r w:rsidRPr="00344905">
        <w:rPr>
          <w:rFonts w:ascii="MathJax_Math-italic" w:eastAsia="Times New Roman" w:hAnsi="MathJax_Math-italic" w:cs="Times New Roman"/>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-1</w:t>
      </w:r>
      <w:r>
        <w:t>). Once differenced, means and variances of these time series may then be compared using a t-test and F-test respectively. The trends can likewise be estimated using simple linear regression and compared using Welch’s t-test.</w:t>
      </w:r>
      <w:commentRangeEnd w:id="4"/>
      <w:r>
        <w:rPr>
          <w:rStyle w:val="CommentReference"/>
          <w:sz w:val="24"/>
          <w:szCs w:val="24"/>
        </w:rPr>
        <w:commentReference w:id="4"/>
      </w:r>
      <w:commentRangeEnd w:id="3"/>
      <w:r>
        <w:rPr>
          <w:rStyle w:val="CommentReference"/>
          <w:sz w:val="24"/>
          <w:szCs w:val="24"/>
        </w:rPr>
        <w:commentReference w:id="3"/>
      </w:r>
    </w:p>
    <w:p w14:paraId="4E582DD5" w14:textId="77777777" w:rsidR="00EF660E" w:rsidRDefault="00EF660E" w:rsidP="004A17BC">
      <w:pPr>
        <w:spacing w:after="0" w:line="480" w:lineRule="auto"/>
      </w:pPr>
    </w:p>
    <w:p w14:paraId="656EAEE3" w14:textId="4C7E2A1D" w:rsidR="00AD2CBF" w:rsidRDefault="00897510" w:rsidP="004A17BC">
      <w:pPr>
        <w:spacing w:after="0" w:line="480" w:lineRule="auto"/>
      </w:pPr>
      <w:r>
        <w:tab/>
        <w:t xml:space="preserve">The above description of an approach comparing a one-state model to a two-state model as a means of determining whether pink salmon abundances at Indian River substantially differ from those observed elsewhere in the reason is made additionally complicated by the life history of pink salmon leading to the existence of genetically distinct populations in the same stream in even- and odd-year runs. This means that, in order to evaluate whether abundances at Indian River are exhibiting behaviors atypical of an equivalent pink salmon stream in the </w:t>
      </w:r>
      <w:r>
        <w:lastRenderedPageBreak/>
        <w:t xml:space="preserve">region, there are four models that must be fit. </w:t>
      </w:r>
      <w:r w:rsidR="00494012">
        <w:t xml:space="preserve">The first is the equivalent of the abstract two-state model, where for each run (even and odd) the underlying state process of pink salmon at Indian River is estimated separately from the underlying state of the wider region, meaning the model estimates four state processes total. Next, the equivalent of the abstract one-state model is specified such that, for each run, all 35 index streams and Indian River are treated as representative of one underlying state, leading to the model estimating two state processes total. There exist two other important cases to consider. What if, due to some variation in the underlying genetics of each run, that odd-year runs at Indian River exhibit substantial variation in annual abundance from those of streams in the wider region, while even-runs at Indian River generally fall within the region’s natural range of variation, or vice versa? </w:t>
      </w:r>
      <w:r w:rsidR="00FD4448">
        <w:t>To evaluate these cases, two three-state models are specified, in which Indian River abundance is estimated separately for one run, while the other is included as part of the regional underlying state. Evaluation of model fit using AICc then determines which of these model structures most closely fits the observed data.</w:t>
      </w:r>
    </w:p>
    <w:p w14:paraId="1F226BD6" w14:textId="77777777" w:rsidR="00AD2CBF" w:rsidRDefault="00AD2CBF">
      <w:r>
        <w:br w:type="page"/>
      </w:r>
    </w:p>
    <w:p w14:paraId="068FA74B" w14:textId="77777777" w:rsidR="00AD2CBF" w:rsidRPr="00C64BF8" w:rsidRDefault="00AD2CBF" w:rsidP="00AD2CBF">
      <w:pPr>
        <w:spacing w:after="0" w:line="480" w:lineRule="auto"/>
        <w:rPr>
          <w:b/>
          <w:bCs/>
        </w:rPr>
      </w:pPr>
      <w:r w:rsidRPr="00C64BF8">
        <w:rPr>
          <w:b/>
          <w:bCs/>
        </w:rPr>
        <w:lastRenderedPageBreak/>
        <w:t>Effect of Hatchery Operations</w:t>
      </w:r>
    </w:p>
    <w:p w14:paraId="5011A4B6" w14:textId="77777777" w:rsidR="00AD2CBF" w:rsidRDefault="00AD2CBF" w:rsidP="00AD2CBF">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periods of SJH production: pre-1975 with no hatchery operations, 1975-2009 with low level operations, and post-2010 with high level operations (Stopha 2015). </w:t>
      </w:r>
    </w:p>
    <w:p w14:paraId="4FE8CA5C" w14:textId="77777777" w:rsidR="00AD2CBF" w:rsidRDefault="00AD2CBF" w:rsidP="00AD2CBF">
      <w:pPr>
        <w:spacing w:after="0" w:line="480" w:lineRule="auto"/>
        <w:ind w:firstLine="720"/>
      </w:pPr>
      <w:r>
        <w:t>This research seeks to take advantage of these distinct time periods by utilizing a difference-in-difference (DD) framework. This quasi-experimental approach is designed to assess the impact of an intervention (in this case the operations of SJH) on an outcome of interest (pink salmon abundance at Indian River). DD modeling compares a treatment group to a control group across two time periods, pre- and post- intervention. The general structure of a difference-in-difference model is as follows:</w:t>
      </w:r>
    </w:p>
    <w:p w14:paraId="30A80902" w14:textId="77777777" w:rsidR="00AD2CBF" w:rsidRDefault="00AD2CBF" w:rsidP="00AD2CBF">
      <w:pPr>
        <w:spacing w:after="0" w:line="480" w:lineRule="auto"/>
        <w:jc w:val="cente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treatment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396E668C" w14:textId="7AD6F0D6" w:rsidR="00AD2CBF" w:rsidRDefault="00AD2CBF" w:rsidP="00AD2CBF">
      <w:pPr>
        <w:spacing w:after="0" w:line="480" w:lineRule="auto"/>
      </w:pPr>
      <w:r>
        <w:t xml:space="preserve">In the above, </w:t>
      </w:r>
      <w:r w:rsidRPr="00C64BF8">
        <w:rPr>
          <w:rFonts w:ascii="MathJax_Math-italic" w:eastAsia="Times New Roman" w:hAnsi="MathJax_Math-italic" w:cs="Times New Roman"/>
          <w:kern w:val="0"/>
          <w:sz w:val="26"/>
          <w:szCs w:val="26"/>
          <w:bdr w:val="none" w:sz="0" w:space="0" w:color="auto" w:frame="1"/>
          <w14:ligatures w14:val="none"/>
        </w:rPr>
        <w:t>i</w:t>
      </w:r>
      <w:r>
        <w:t xml:space="preserve"> indexes whether an observation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part of the treatment group and equal to 0 otherwise. Similarly,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after treatment is applied, and equal to 0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before. These indicator variables allow for the estimation of a </w:t>
      </w:r>
      <w:r>
        <w:lastRenderedPageBreak/>
        <w:t>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w:t>
      </w:r>
      <w:r w:rsidR="00A5673D">
        <w:t xml:space="preserve"> </w:t>
      </w:r>
      <w:r>
        <w:t>Crucially, input data must cover both a control and treatment group, as well as time periods before and after the intervention of interest. It is important to note that in this case, and indeed in almost every application of DD modeling, true controls in the sense of those resulting from a randomized experimental design are unavailable. Instead, researchers must make do with treating what might be referred to as reference states as control groups. The assumption that these reference states are suitable proxies for randomized control groups, known as the parallel trends assumption, is bolstered through the application of event studies which evaluate whether trends in control and treatment groups are mathematically similar in the pre-treatment period (Cunningham 2021).</w:t>
      </w:r>
    </w:p>
    <w:p w14:paraId="4F138C5B" w14:textId="77777777" w:rsidR="00BF3F86" w:rsidRDefault="00AD2CBF" w:rsidP="00564645">
      <w:pPr>
        <w:spacing w:after="0" w:line="480" w:lineRule="auto"/>
        <w:ind w:firstLine="360"/>
      </w:pPr>
      <w:r>
        <w:t xml:space="preserve">This research applies a </w:t>
      </w:r>
      <w:commentRangeStart w:id="5"/>
      <w:r>
        <w:t xml:space="preserve">DD framework using a MARSS model approach </w:t>
      </w:r>
      <w:r w:rsidR="00564645">
        <w:t xml:space="preserve">in order </w:t>
      </w:r>
      <w:r>
        <w:t xml:space="preserve">to once again </w:t>
      </w:r>
      <w:r w:rsidR="00564645">
        <w:t>control</w:t>
      </w:r>
      <w:r>
        <w:t xml:space="preserve"> for </w:t>
      </w:r>
      <w:r w:rsidR="00564645">
        <w:t>observation error and to capture the autoregressive behavior of the underlying state processes. The indicator variables described above are included as covariate data in the process equation (</w:t>
      </w:r>
      <w:r w:rsidR="00564645" w:rsidRPr="00C64BF8">
        <w:rPr>
          <w:rFonts w:ascii="MathJax_Math-italic" w:eastAsia="Times New Roman" w:hAnsi="MathJax_Math-italic" w:cs="Times New Roman"/>
          <w:b/>
          <w:bCs/>
          <w:kern w:val="0"/>
          <w:sz w:val="26"/>
          <w:szCs w:val="26"/>
          <w:bdr w:val="none" w:sz="0" w:space="0" w:color="auto" w:frame="1"/>
          <w14:ligatures w14:val="none"/>
        </w:rPr>
        <w:t>c</w:t>
      </w:r>
      <w:r w:rsidR="00564645"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564645">
        <w:t xml:space="preserve">), with </w:t>
      </w:r>
      <w:r w:rsidR="00564645" w:rsidRPr="00344E76">
        <w:rPr>
          <w:rFonts w:ascii="MathJax_Math-italic" w:eastAsia="Times New Roman" w:hAnsi="MathJax_Math-italic" w:cs="Times New Roman"/>
          <w:b/>
          <w:bCs/>
          <w:kern w:val="0"/>
          <w:sz w:val="26"/>
          <w:szCs w:val="26"/>
          <w:bdr w:val="none" w:sz="0" w:space="0" w:color="auto" w:frame="1"/>
          <w14:ligatures w14:val="none"/>
        </w:rPr>
        <w:t>C</w:t>
      </w:r>
      <w:r w:rsidR="00564645">
        <w:t xml:space="preserve"> specified to capture the effects of interest (</w:t>
      </w:r>
      <w:r w:rsidR="00564645" w:rsidRPr="00C64BF8">
        <w:rPr>
          <w:rFonts w:ascii="MathJax_Math-italic" w:eastAsia="Times New Roman" w:hAnsi="MathJax_Math-italic" w:cs="Times New Roman"/>
          <w:kern w:val="0"/>
          <w:sz w:val="26"/>
          <w:szCs w:val="26"/>
          <w:bdr w:val="none" w:sz="0" w:space="0" w:color="auto" w:frame="1"/>
          <w14:ligatures w14:val="none"/>
        </w:rPr>
        <w:t>β</w:t>
      </w:r>
      <w:r w:rsidR="00564645" w:rsidRPr="00C64BF8">
        <w:rPr>
          <w:rFonts w:ascii="MathJax_Math-italic" w:eastAsia="Times New Roman" w:hAnsi="MathJax_Math-italic" w:cs="Times New Roman"/>
          <w:kern w:val="0"/>
          <w:sz w:val="26"/>
          <w:szCs w:val="26"/>
          <w:bdr w:val="none" w:sz="0" w:space="0" w:color="auto" w:frame="1"/>
          <w:vertAlign w:val="subscript"/>
          <w14:ligatures w14:val="none"/>
        </w:rPr>
        <w:t>1</w:t>
      </w:r>
      <w:r w:rsidR="00564645">
        <w:t xml:space="preserve">, </w:t>
      </w:r>
      <w:r w:rsidR="00564645" w:rsidRPr="00C64BF8">
        <w:rPr>
          <w:rFonts w:ascii="MathJax_Math-italic" w:eastAsia="Times New Roman" w:hAnsi="MathJax_Math-italic" w:cs="Times New Roman"/>
          <w:kern w:val="0"/>
          <w:sz w:val="26"/>
          <w:szCs w:val="26"/>
          <w:bdr w:val="none" w:sz="0" w:space="0" w:color="auto" w:frame="1"/>
          <w14:ligatures w14:val="none"/>
        </w:rPr>
        <w:t>β</w:t>
      </w:r>
      <w:r w:rsidR="00564645">
        <w:rPr>
          <w:rFonts w:ascii="MathJax_Math-italic" w:eastAsia="Times New Roman" w:hAnsi="MathJax_Math-italic" w:cs="Times New Roman"/>
          <w:kern w:val="0"/>
          <w:sz w:val="26"/>
          <w:szCs w:val="26"/>
          <w:bdr w:val="none" w:sz="0" w:space="0" w:color="auto" w:frame="1"/>
          <w:vertAlign w:val="subscript"/>
          <w14:ligatures w14:val="none"/>
        </w:rPr>
        <w:t>2</w:t>
      </w:r>
      <w:r w:rsidR="00564645">
        <w:t xml:space="preserve">, and </w:t>
      </w:r>
      <w:r w:rsidR="00564645" w:rsidRPr="00C64BF8">
        <w:rPr>
          <w:rFonts w:ascii="MathJax_Math-italic" w:eastAsia="Times New Roman" w:hAnsi="MathJax_Math-italic" w:cs="Times New Roman"/>
          <w:kern w:val="0"/>
          <w:sz w:val="26"/>
          <w:szCs w:val="26"/>
          <w:bdr w:val="none" w:sz="0" w:space="0" w:color="auto" w:frame="1"/>
          <w14:ligatures w14:val="none"/>
        </w:rPr>
        <w:t>β</w:t>
      </w:r>
      <w:r w:rsidR="00564645">
        <w:rPr>
          <w:rFonts w:ascii="MathJax_Math-italic" w:eastAsia="Times New Roman" w:hAnsi="MathJax_Math-italic" w:cs="Times New Roman"/>
          <w:kern w:val="0"/>
          <w:sz w:val="26"/>
          <w:szCs w:val="26"/>
          <w:bdr w:val="none" w:sz="0" w:space="0" w:color="auto" w:frame="1"/>
          <w:vertAlign w:val="subscript"/>
          <w14:ligatures w14:val="none"/>
        </w:rPr>
        <w:t>3</w:t>
      </w:r>
      <w:r w:rsidR="00564645">
        <w:t>). O</w:t>
      </w:r>
      <w:r>
        <w:t xml:space="preserve">bservations of pink salmon abundances at Indian River are assigned to the treatment group while observations at ADFG’s other </w:t>
      </w:r>
      <w:r w:rsidRPr="003C6E79">
        <w:rPr>
          <w:i/>
          <w:iCs/>
        </w:rPr>
        <w:t>north southeast (outside)</w:t>
      </w:r>
      <w:r>
        <w:t xml:space="preserve"> index streams form the control group. </w:t>
      </w:r>
      <w:r w:rsidR="00A5673D">
        <w:t>The treatment period is defined as post-1980, which allows hatchery operations for</w:t>
      </w:r>
      <w:r>
        <w:t xml:space="preserve"> a couple of </w:t>
      </w:r>
      <w:r w:rsidR="00A5673D">
        <w:t xml:space="preserve">brood </w:t>
      </w:r>
      <w:r>
        <w:t xml:space="preserve">years to </w:t>
      </w:r>
      <w:r w:rsidR="00A5673D">
        <w:t xml:space="preserve">ramp </w:t>
      </w:r>
      <w:r>
        <w:t xml:space="preserve">up. </w:t>
      </w:r>
      <w:commentRangeEnd w:id="5"/>
      <w:r>
        <w:rPr>
          <w:rStyle w:val="CommentReference"/>
          <w:sz w:val="24"/>
          <w:szCs w:val="24"/>
        </w:rPr>
        <w:commentReference w:id="5"/>
      </w:r>
      <w:r w:rsidR="00AC31F5">
        <w:t xml:space="preserve">A separate specification of the DD model includes an indicator variable related to periods pre- and post-2010, to assess the impact of heightened pink salmon production. </w:t>
      </w:r>
    </w:p>
    <w:p w14:paraId="20210BAD" w14:textId="4790BEB3" w:rsidR="00A5673D" w:rsidRDefault="00BF3F86" w:rsidP="00564645">
      <w:pPr>
        <w:spacing w:after="0" w:line="480" w:lineRule="auto"/>
        <w:ind w:firstLine="360"/>
      </w:pPr>
      <w:r>
        <w:t>Models are specified including additional covariates to further isolate the effect of interest,</w:t>
      </w:r>
      <w:r w:rsidR="00A5673D">
        <w:t xml:space="preserve"> controlling for observer</w:t>
      </w:r>
      <w:r>
        <w:t>, for</w:t>
      </w:r>
      <w:r w:rsidR="00A5673D">
        <w:t xml:space="preserve"> PDO</w:t>
      </w:r>
      <w:r>
        <w:t xml:space="preserve">, for both, and for neither. These competing specifications are </w:t>
      </w:r>
      <w:r>
        <w:lastRenderedPageBreak/>
        <w:t xml:space="preserve">evaluated for best fit using AICc. To </w:t>
      </w:r>
      <w:commentRangeStart w:id="6"/>
      <w:r>
        <w:t xml:space="preserve">ensure that </w:t>
      </w:r>
      <w:r w:rsidR="000473CA">
        <w:t xml:space="preserve">the parallel trends assumption holds between </w:t>
      </w:r>
      <w:r>
        <w:t xml:space="preserve">treatment and control groups during the pre-treatment period, </w:t>
      </w:r>
      <w:r w:rsidR="000473CA">
        <w:t xml:space="preserve">event studies are undertaken on the </w:t>
      </w:r>
      <w:r>
        <w:t xml:space="preserve">best fit models (if these groups significantly differ, a synthetic control group </w:t>
      </w:r>
      <w:r w:rsidR="000473CA">
        <w:t>is</w:t>
      </w:r>
      <w:r>
        <w:t xml:space="preserve"> constructed using a weighted average of untreated streams to match the Indian River’s pre-treatment trend).</w:t>
      </w:r>
      <w:commentRangeEnd w:id="6"/>
      <w:r>
        <w:rPr>
          <w:rStyle w:val="CommentReference"/>
          <w:sz w:val="24"/>
          <w:szCs w:val="24"/>
        </w:rPr>
        <w:commentReference w:id="6"/>
      </w:r>
      <w:r>
        <w:t xml:space="preserve"> </w:t>
      </w:r>
      <w:r w:rsidR="00A5673D">
        <w:t xml:space="preserve">Parametric bootstrapping is employed </w:t>
      </w:r>
      <w:r>
        <w:t xml:space="preserve">on the best fit models </w:t>
      </w:r>
      <w:r w:rsidR="00A5673D">
        <w:t>to construct confidence intervals around these parameter estimates.</w:t>
      </w:r>
    </w:p>
    <w:p w14:paraId="5B60D403" w14:textId="26094CDC" w:rsidR="00014224" w:rsidRDefault="00BF7A7A" w:rsidP="00564645">
      <w:pPr>
        <w:spacing w:after="0" w:line="480" w:lineRule="auto"/>
        <w:ind w:firstLine="360"/>
      </w:pPr>
      <w:r>
        <w:t>A s</w:t>
      </w:r>
      <w:r w:rsidR="00A5673D">
        <w:t xml:space="preserve">tatistically </w:t>
      </w:r>
      <w:r>
        <w:t xml:space="preserve">significant </w:t>
      </w:r>
      <w:r w:rsidR="00A5673D">
        <w:t>e</w:t>
      </w:r>
      <w:r w:rsidR="00AD2CBF">
        <w:t xml:space="preserve">stimate of </w:t>
      </w:r>
      <w:r w:rsidR="00AD2CBF" w:rsidRPr="00C64BF8">
        <w:rPr>
          <w:rFonts w:ascii="MathJax_Math-italic" w:eastAsia="Times New Roman" w:hAnsi="MathJax_Math-italic" w:cs="Times New Roman"/>
          <w:kern w:val="0"/>
          <w:sz w:val="26"/>
          <w:szCs w:val="26"/>
          <w:bdr w:val="none" w:sz="0" w:space="0" w:color="auto" w:frame="1"/>
          <w14:ligatures w14:val="none"/>
        </w:rPr>
        <w:t>β</w:t>
      </w:r>
      <w:r w:rsidR="00AD2CBF" w:rsidRPr="00C64BF8">
        <w:rPr>
          <w:rFonts w:ascii="MathJax_Math-italic" w:eastAsia="Times New Roman" w:hAnsi="MathJax_Math-italic" w:cs="Times New Roman"/>
          <w:kern w:val="0"/>
          <w:sz w:val="26"/>
          <w:szCs w:val="26"/>
          <w:bdr w:val="none" w:sz="0" w:space="0" w:color="auto" w:frame="1"/>
          <w:vertAlign w:val="subscript"/>
          <w14:ligatures w14:val="none"/>
        </w:rPr>
        <w:t>3</w:t>
      </w:r>
      <w:r w:rsidR="00AD2CBF">
        <w:t xml:space="preserve"> greater than 0 would indicate that SJH operations are exerting upward pressure on Indian River pink salmon abundance. However, even if an estimate is found to be statistically significant, the size of the effect must also be considered, as even a significant effect may not be responsible for a large impact on salmon abundance. </w:t>
      </w:r>
    </w:p>
    <w:p w14:paraId="4DD65842" w14:textId="77777777" w:rsidR="00014224" w:rsidRDefault="00014224">
      <w:r>
        <w:br w:type="page"/>
      </w:r>
    </w:p>
    <w:p w14:paraId="3304A8A1" w14:textId="77777777" w:rsidR="00014224" w:rsidRPr="00C64BF8" w:rsidRDefault="00014224" w:rsidP="00014224">
      <w:pPr>
        <w:spacing w:after="0" w:line="480" w:lineRule="auto"/>
        <w:rPr>
          <w:b/>
          <w:bCs/>
        </w:rPr>
      </w:pPr>
      <w:r w:rsidRPr="00C64BF8">
        <w:rPr>
          <w:b/>
          <w:bCs/>
        </w:rPr>
        <w:lastRenderedPageBreak/>
        <w:t>Effect of Hatchery Releases</w:t>
      </w:r>
    </w:p>
    <w:p w14:paraId="54C5FB5C" w14:textId="63234D22" w:rsidR="00014224" w:rsidRDefault="00014224" w:rsidP="00014224">
      <w:pPr>
        <w:spacing w:after="0" w:line="480" w:lineRule="auto"/>
      </w:pPr>
      <w:r>
        <w:t xml:space="preserve">Finally, this research focuses on the effect of the number of fish released by the hatchery each year. While scarcity of available stray rate data makes a direct analysis of the impacts of straying impossible, the impacts of hatchery releases on pink salmon abundance at Indian River (as well as the inverse) are estimated via the same MARSS models described above. </w:t>
      </w:r>
      <w:commentRangeStart w:id="7"/>
      <w:commentRangeStart w:id="8"/>
      <w:commentRangeStart w:id="9"/>
      <w:r>
        <w:t xml:space="preserve">It is important to consider the effect of straying both to and from Indian River, as both would influence the abundances observed in stream. </w:t>
      </w:r>
      <w:commentRangeEnd w:id="8"/>
      <w:r>
        <w:rPr>
          <w:rStyle w:val="CommentReference"/>
          <w:sz w:val="24"/>
          <w:szCs w:val="24"/>
        </w:rPr>
        <w:commentReference w:id="8"/>
      </w:r>
      <w:commentRangeEnd w:id="9"/>
      <w:r>
        <w:rPr>
          <w:rStyle w:val="CommentReference"/>
          <w:sz w:val="24"/>
          <w:szCs w:val="24"/>
        </w:rPr>
        <w:commentReference w:id="9"/>
      </w:r>
      <w:r>
        <w:t xml:space="preserve">Specifying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as a 2x2 matrix with four unique elements, allows the estimation of the effect of the number of fish returning to each system in time step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number of fish returning to each system in time step </w:t>
      </w:r>
      <w:r w:rsidRPr="00C64BF8">
        <w:rPr>
          <w:rFonts w:ascii="MathJax_Math-italic" w:eastAsia="Times New Roman" w:hAnsi="MathJax_Math-italic" w:cs="Times New Roman"/>
          <w:kern w:val="0"/>
          <w:sz w:val="26"/>
          <w:szCs w:val="26"/>
          <w:bdr w:val="none" w:sz="0" w:space="0" w:color="auto" w:frame="1"/>
          <w14:ligatures w14:val="none"/>
        </w:rPr>
        <w:t>t</w:t>
      </w:r>
      <w:r>
        <w:t xml:space="preserve">. It is important to note that, because escapement data are log-transformed, the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elements estimated will be associated with percent increases from one time step to the next.</w:t>
      </w:r>
      <w:commentRangeEnd w:id="7"/>
      <w:r>
        <w:rPr>
          <w:rStyle w:val="CommentReference"/>
          <w:sz w:val="24"/>
          <w:szCs w:val="24"/>
        </w:rPr>
        <w:commentReference w:id="7"/>
      </w:r>
      <w:r>
        <w:t xml:space="preserve"> </w:t>
      </w:r>
    </w:p>
    <w:p w14:paraId="4A48CE37" w14:textId="77777777" w:rsidR="00014224" w:rsidRDefault="00014224" w:rsidP="00014224">
      <w:pPr>
        <w:spacing w:after="0" w:line="480" w:lineRule="auto"/>
        <w:ind w:firstLine="360"/>
      </w:pPr>
      <w:r>
        <w:t xml:space="preserve">The state of the hatchery must also be considered, as regardless of the previous brood year’s returns, the hatchery will release a number of smolts which is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Instead, the model includes covariate data relating to smolts reared by the hatchery from eggs taken from the previous brood year’s broodstock and released the prior year. This allows the state of hatchery returners in the current year (</w:t>
      </w:r>
      <w:r>
        <w:rPr>
          <w:rFonts w:ascii="MathJax_Math-italic" w:eastAsia="Times New Roman" w:hAnsi="MathJax_Math-italic" w:cs="Times New Roman"/>
          <w:kern w:val="0"/>
          <w:sz w:val="26"/>
          <w:szCs w:val="26"/>
          <w:bdr w:val="none" w:sz="0" w:space="0" w:color="auto" w:frame="1"/>
          <w14:ligatures w14:val="none"/>
        </w:rPr>
        <w:t>x</w:t>
      </w:r>
      <w:r>
        <w:rPr>
          <w:rFonts w:ascii="MathJax_Math-italic" w:eastAsia="Times New Roman" w:hAnsi="MathJax_Math-italic" w:cs="Times New Roman"/>
          <w:kern w:val="0"/>
          <w:sz w:val="26"/>
          <w:szCs w:val="26"/>
          <w:bdr w:val="none" w:sz="0" w:space="0" w:color="auto" w:frame="1"/>
          <w:vertAlign w:val="subscript"/>
          <w14:ligatures w14:val="none"/>
        </w:rPr>
        <w:t>H</w:t>
      </w:r>
      <w:r w:rsidRPr="00C64BF8">
        <w:rPr>
          <w:rFonts w:ascii="MathJax_Math-italic" w:eastAsia="Times New Roman" w:hAnsi="MathJax_Math-italic" w:cs="Times New Roman"/>
          <w:kern w:val="0"/>
          <w:sz w:val="26"/>
          <w:szCs w:val="26"/>
          <w:bdr w:val="none" w:sz="0" w:space="0" w:color="auto" w:frame="1"/>
          <w:vertAlign w:val="subscript"/>
          <w14:ligatures w14:val="none"/>
        </w:rPr>
        <w:t>,t</w:t>
      </w:r>
      <w:r>
        <w:t>) to be composed of smolts reared from the previous brood (and released in the prior year), as well as wild born fish from Indian River straying to the hatchery. An example of such a model’s process equation written out in matrix form follows:</w:t>
      </w:r>
    </w:p>
    <w:p w14:paraId="661BECFE" w14:textId="77777777" w:rsidR="00014224" w:rsidRDefault="00014224" w:rsidP="00014224">
      <w:pPr>
        <w:spacing w:after="0" w:line="480" w:lineRule="auto"/>
      </w:pPr>
    </w:p>
    <w:p w14:paraId="585FC462" w14:textId="77777777" w:rsidR="00014224" w:rsidRDefault="00014224" w:rsidP="00014224">
      <w:pPr>
        <w:pStyle w:val="ListParagraph"/>
        <w:spacing w:after="0" w:line="480" w:lineRule="auto"/>
        <w:ind w:left="360"/>
        <w:jc w:val="center"/>
      </w:pPr>
      <w:r w:rsidRPr="00741B88">
        <w:rPr>
          <w:noProof/>
        </w:rPr>
        <w:lastRenderedPageBreak/>
        <w:drawing>
          <wp:inline distT="0" distB="0" distL="0" distR="0" wp14:anchorId="4427B429" wp14:editId="42375852">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8"/>
                    <a:stretch>
                      <a:fillRect/>
                    </a:stretch>
                  </pic:blipFill>
                  <pic:spPr>
                    <a:xfrm>
                      <a:off x="0" y="0"/>
                      <a:ext cx="3791145" cy="419122"/>
                    </a:xfrm>
                    <a:prstGeom prst="rect">
                      <a:avLst/>
                    </a:prstGeom>
                  </pic:spPr>
                </pic:pic>
              </a:graphicData>
            </a:graphic>
          </wp:inline>
        </w:drawing>
      </w:r>
    </w:p>
    <w:p w14:paraId="6CFDC3F5" w14:textId="77777777" w:rsidR="00014224" w:rsidRDefault="00014224" w:rsidP="00014224">
      <w:pPr>
        <w:pStyle w:val="ListParagraph"/>
        <w:spacing w:after="0" w:line="480" w:lineRule="auto"/>
        <w:ind w:left="360"/>
      </w:pPr>
    </w:p>
    <w:p w14:paraId="5E537E78" w14:textId="5B8BF201" w:rsidR="00655324" w:rsidRDefault="00014224" w:rsidP="00014224">
      <w:pPr>
        <w:spacing w:after="0" w:line="480" w:lineRule="auto"/>
      </w:pPr>
      <w:r>
        <w:t xml:space="preserve">Of particular interest is the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xml:space="preserve">, which describes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 Observation error is site specific, while process error is shared by both states (river and hatchery returners) due to fish encountering the same conditions throughout their lifespan at sea as well as the same commercial fishing effort upon their return.</w:t>
      </w:r>
    </w:p>
    <w:p w14:paraId="22CFE94E" w14:textId="77777777" w:rsidR="00655324" w:rsidRDefault="00655324">
      <w:r>
        <w:br w:type="page"/>
      </w:r>
    </w:p>
    <w:p w14:paraId="7C22BBCF" w14:textId="1D36201E" w:rsidR="00014224" w:rsidRDefault="00655324" w:rsidP="00014224">
      <w:pPr>
        <w:spacing w:after="0" w:line="480" w:lineRule="auto"/>
      </w:pPr>
      <w:r>
        <w:lastRenderedPageBreak/>
        <w:t>A separate specification of the DD model includes an indicator variable related to periods pre- and post-2010, to assess the impact of heightened pink salmon production. Models are specified including additional covariates to further isolate the effect of interest, controlling for observer, for PDO, for both, and for neither. These competing specifications are evaluated for best fit using AICc</w:t>
      </w:r>
    </w:p>
    <w:p w14:paraId="58762578" w14:textId="77777777" w:rsidR="00655324" w:rsidRDefault="00655324" w:rsidP="00014224">
      <w:pPr>
        <w:spacing w:after="0" w:line="480" w:lineRule="auto"/>
      </w:pPr>
    </w:p>
    <w:p w14:paraId="5422298D" w14:textId="504A6FA3" w:rsidR="00655324" w:rsidRDefault="00655324" w:rsidP="00014224">
      <w:pPr>
        <w:spacing w:after="0" w:line="480" w:lineRule="auto"/>
      </w:pPr>
      <w:r>
        <w:t>AICc comparisons find that the best fit difference-in-difference models include covariates controlling for observer, but that including PDO data has no significant impact on model fit. Therefore evaluation of the parallel trends assumption includes controls for observer. For both odd- and even-year runs, pink salmon abundances at Indian River do not differ significantly from those observed in either pre-treatment period elsewhere in the region (Figure 4), meaning that the parallel trends assumption holds in all cases and there is no need to construct synthetic control groups.</w:t>
      </w:r>
    </w:p>
    <w:p w14:paraId="3620DE9F" w14:textId="77777777" w:rsidR="00AD2CBF" w:rsidRDefault="00AD2CBF" w:rsidP="00564645">
      <w:pPr>
        <w:spacing w:after="0" w:line="480" w:lineRule="auto"/>
        <w:ind w:firstLine="360"/>
      </w:pPr>
    </w:p>
    <w:p w14:paraId="33728C53" w14:textId="35533ADF" w:rsidR="00CD7149" w:rsidRDefault="00CD7149">
      <w:r>
        <w:br w:type="page"/>
      </w:r>
    </w:p>
    <w:p w14:paraId="55065E58" w14:textId="705E2DEF" w:rsidR="00897510" w:rsidRDefault="00CD7149" w:rsidP="004A17BC">
      <w:pPr>
        <w:spacing w:after="0" w:line="480" w:lineRule="auto"/>
      </w:pPr>
      <w:r>
        <w:lastRenderedPageBreak/>
        <w:t xml:space="preserve">The effect of SJH operations commencing in 1980 drove a significant increase in odd-year pink salmon abundances at Indian River, while no significant impact was found affecting even-year runs (Table 3). The expansion of permitted pink salmon releases from 1 million to 3 million in 2010 significantly increased in both even- and odd-year abundances. The difference in time periods (pre- and post-1980, and pre- and post-2010) was a significant driver of pink salmon abundances both at Indian River and throughout the </w:t>
      </w:r>
      <w:r w:rsidRPr="003C6E79">
        <w:rPr>
          <w:i/>
          <w:iCs/>
        </w:rPr>
        <w:t>north southeast (outside)</w:t>
      </w:r>
      <w:r>
        <w:t xml:space="preserve"> region. This result is consistent with trends seen in ADFG’s survey data (Figures 2 &amp; 3), as well as the estimated states of pink salmon abundance depicted in Figures 4 &amp; 5.</w:t>
      </w:r>
    </w:p>
    <w:p w14:paraId="79560A1D" w14:textId="77777777" w:rsidR="00447811" w:rsidRDefault="00447811" w:rsidP="004A17BC">
      <w:pPr>
        <w:spacing w:after="0" w:line="480" w:lineRule="auto"/>
      </w:pPr>
    </w:p>
    <w:p w14:paraId="3F9922E5" w14:textId="37D11FF8" w:rsidR="002D7DC2" w:rsidRDefault="00447811" w:rsidP="00447811">
      <w:pPr>
        <w:spacing w:after="0" w:line="480" w:lineRule="auto"/>
        <w:ind w:firstLine="720"/>
      </w:pPr>
      <w:r>
        <w:t xml:space="preserve">Best fit difference-in-difference models find no significant effect related to the commencement or the expansion of hatchery operations at Indian River for either run.   </w:t>
      </w:r>
    </w:p>
    <w:p w14:paraId="6CC432F6" w14:textId="77777777" w:rsidR="002D7DC2" w:rsidRDefault="002D7DC2">
      <w:r>
        <w:br w:type="page"/>
      </w:r>
    </w:p>
    <w:p w14:paraId="059B5213" w14:textId="4BD150AD" w:rsidR="002D7DC2" w:rsidRDefault="002D7DC2" w:rsidP="002D7DC2">
      <w:pPr>
        <w:spacing w:after="0" w:line="480" w:lineRule="auto"/>
      </w:pPr>
      <w:r>
        <w:lastRenderedPageBreak/>
        <w:t xml:space="preserve">Parametric bootstrapping of DD effects of interest reveal interesting patterns of behavior. Critically, no significant effect of treatment group, treatment period, or the interaction of the two is observed in either model (Figure 5). In both models, bootstrap parameter estimates of the effect of treatment group (i.e. Indian River) tend to be positive, although not frequently enough to say with high confidence that the relative effect of Indian River on pink salmon abundances is different than zero.  The effect of the post-treatment period is centered close to zero in all runs across both models. Parameter estimates of the effect of hatchery operations on abundances at Indian River tend to be negative. This surprising result would imply that fish are being drawn from Indian River towards the hatchery and that abundances in the stream have decreased as a result of hatchery operations, although once again it cannot be said with confidence that the true effect is different from zero. </w:t>
      </w:r>
    </w:p>
    <w:p w14:paraId="166EE843" w14:textId="77777777" w:rsidR="00095DCA" w:rsidRDefault="00095DCA" w:rsidP="002D7DC2">
      <w:pPr>
        <w:spacing w:after="0" w:line="480" w:lineRule="auto"/>
      </w:pPr>
    </w:p>
    <w:p w14:paraId="64274950" w14:textId="77777777" w:rsidR="00095DCA" w:rsidRDefault="00095DCA">
      <w:r>
        <w:br w:type="page"/>
      </w:r>
    </w:p>
    <w:p w14:paraId="56CD81E9" w14:textId="77777777" w:rsidR="00637DA7" w:rsidRPr="008C144E" w:rsidRDefault="00637DA7" w:rsidP="00637DA7">
      <w:pPr>
        <w:spacing w:after="0" w:line="480" w:lineRule="auto"/>
        <w:rPr>
          <w:b/>
          <w:bCs/>
          <w:u w:val="single"/>
        </w:rPr>
      </w:pPr>
      <w:commentRangeStart w:id="10"/>
      <w:r w:rsidRPr="008C144E">
        <w:rPr>
          <w:b/>
          <w:bCs/>
          <w:u w:val="single"/>
        </w:rPr>
        <w:lastRenderedPageBreak/>
        <w:t>Discussion</w:t>
      </w:r>
      <w:commentRangeEnd w:id="10"/>
      <w:r w:rsidRPr="008C144E">
        <w:rPr>
          <w:rStyle w:val="CommentReference"/>
          <w:b/>
          <w:bCs/>
          <w:sz w:val="24"/>
          <w:szCs w:val="24"/>
          <w:u w:val="single"/>
        </w:rPr>
        <w:commentReference w:id="10"/>
      </w:r>
    </w:p>
    <w:p w14:paraId="24FDAA1A" w14:textId="77777777" w:rsidR="00637DA7" w:rsidRDefault="00637DA7" w:rsidP="00637DA7">
      <w:pPr>
        <w:spacing w:after="0" w:line="480" w:lineRule="auto"/>
        <w:ind w:firstLine="720"/>
      </w:pPr>
      <w:commentRangeStart w:id="11"/>
      <w:r>
        <w:t xml:space="preserve">While pink salmon densities observed at Indian River in recent decades are high compared to those that were recorded decades ago, more contemporary returns of adults to the Indian River in even years are largely in line with index streams in the </w:t>
      </w:r>
      <w:r w:rsidRPr="003C6E79">
        <w:rPr>
          <w:i/>
          <w:iCs/>
        </w:rPr>
        <w:t xml:space="preserve">north southeast </w:t>
      </w:r>
      <w:r w:rsidRPr="00095DCA">
        <w:t>(</w:t>
      </w:r>
      <w:r w:rsidRPr="003C6E79">
        <w:rPr>
          <w:i/>
          <w:iCs/>
        </w:rPr>
        <w:t>outside</w:t>
      </w:r>
      <w:r w:rsidRPr="00095DCA">
        <w:t>), where</w:t>
      </w:r>
      <w:r>
        <w:t>as odd-year runs are not in line with broader regional patterns, although this may be due to the large gaps observed early in the time series. No significant impact of hatchery operations at Indian River was observed in either run. The effect of hatchery releases on subsequent brood year Indian River abundances was not found to be statistically significant for either run, in both cases a convincing majority of bootstrapped parameter estimates were positive (94.2% in even-year runs, and 92% in odd-year runs). This falls short of the 95% confidence threshold, it is worth considering the implications of a small but positive true effect of hatchery releases on Indian River pink salmon abundance in the following brood year. For both runs, the effect of prior brood year Indian River abundances on current brood year hatchery returns is stronger than its inverse (Figure 6), but it is crucial to note that hatchery returns are greater than Indian River abundance much more often than not. This means that, if there exists a small but positive true effect of hatchery releases on subsequent brood year Indian River abundances, the overall numbers of fish straying to a non-origin site could be roughly equal or even skewed towards hatchery-born fish returning to Indian River. In those brood years where Indian River abundances exceed hatchery returns, these effect sizes imply that the following brood year will see more fish from Indian River returning to the hatchery than vice versa.</w:t>
      </w:r>
    </w:p>
    <w:p w14:paraId="327374D9" w14:textId="77777777" w:rsidR="00637DA7" w:rsidRDefault="00637DA7" w:rsidP="00637DA7">
      <w:pPr>
        <w:spacing w:after="0" w:line="480" w:lineRule="auto"/>
        <w:ind w:firstLine="720"/>
      </w:pPr>
      <w:r>
        <w:lastRenderedPageBreak/>
        <w:t>In even years, Indian River salmon are not out of the ordinary relative to the wider region. No effect of the commencement of hatchery operations or the expansion of hatchery releases was associated with an increase in the numbers of spawning pink salmon at Indian River relative to the wider region (Figure 5). However, in even years, Indian River abundances were estimated to have a strong impact on pink salmon returning to the hatchery in the subsequent brood year, while an accompanying effect of hatchery releases on subsequent brood year Indian River abundances was not found to be statistically significant (Figure 6). Even if there exists small but positive true effect of hatchery releases on subsequent brood year Indian River abundances in even-year runs, the difference between this effect and the relatively larger effect of Indian River abundances on pink salmon returning to the hatchery in the subsequent brood year is fairly large. This would imply that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River, and indeed seem to be significantly contributing to hatchery returns.</w:t>
      </w:r>
    </w:p>
    <w:p w14:paraId="125674AA" w14:textId="77777777" w:rsidR="00637DA7" w:rsidRDefault="00637DA7" w:rsidP="00637DA7">
      <w:pPr>
        <w:spacing w:after="0" w:line="480" w:lineRule="auto"/>
        <w:ind w:firstLine="720"/>
      </w:pPr>
      <w:r>
        <w:t xml:space="preserve">In odd years, MARSS models evaluated for best fit suggested that abundances at Indian River significantly differ in character from what would be expected of a similar stream in the region. However, similar to even-year runs, there was no effect of significance which associated Indian River pink salmon abundances with the commencement of hatchery operations or the expansion of hatchery releases. Also similar to even-year runs, odd-year Indian River abundances were estimated to have a significant effect on pink salmon returning to SJH in the </w:t>
      </w:r>
      <w:r>
        <w:lastRenderedPageBreak/>
        <w:t xml:space="preserve">subsequent brood year, although this effect was not as strong as its even-year counterpart (Figure 6). While indications exist that odd-year pink salmon abundance at Indian River do not fall within the natural range of variation expected throughout the wider region, there is no conclusive evidence that indicates this difference is being driven by SJH pink salmon releases. It may be that the gap between Indian River abundances and the regional expectation is due to the large differences observed in the first three decades of the time series (Figure 3). </w:t>
      </w:r>
      <w:commentRangeEnd w:id="11"/>
      <w:r>
        <w:rPr>
          <w:rStyle w:val="CommentReference"/>
          <w:sz w:val="24"/>
          <w:szCs w:val="24"/>
        </w:rPr>
        <w:commentReference w:id="11"/>
      </w:r>
    </w:p>
    <w:p w14:paraId="19C64A58" w14:textId="77777777" w:rsidR="00637DA7" w:rsidRDefault="00637DA7" w:rsidP="00637DA7">
      <w:pPr>
        <w:spacing w:after="0" w:line="480" w:lineRule="auto"/>
      </w:pPr>
      <w:r>
        <w:tab/>
        <w:t xml:space="preserve">Being that the results of this work are intended first and foremost to provide management at SITK with a comprehensive description of both the impacts of SJH operations and of the population dynamics of pink salmon throughout the broader region, the implications of these findings and how they might inform the duties of park officials with respect to conservation must be considered. In even years, pink salmon abundances are in line with those observed at ‘pristine’ index streams nearby and thus increases in their spawning densities are likely still within the natural range of variation. This is not to say that concerns about hypoxia events are not still pressing, but the possibility exists that interceding on behalf of Indian River’s other resident species may run contrary to the natural state of even-year pink salmon. Available evidence suggests that there is likely no need for intervention to address even-year abundances. In odd years there exists more compelling evidence that hatchery releases of pink salmon could be exerting some influence over abundances at Indian River. It is not likely that the hatchery is the main driver of high pink salmon densities in odd years (spawning abundances of these fish have been on the rise throughout the region for decades), but there exists a greater possibility that hatchery fish may having some influence on abundances seen at Indian River than for even-year runs. Recall that in odd years, the effect of Indian River pink salmon abundance on </w:t>
      </w:r>
      <w:r>
        <w:lastRenderedPageBreak/>
        <w:t>hatchery returns in the subsequent brood year is lower than the effect observed in even years. If there exists some small but positive true effect of hatchery releases on subsequent brood year Indian River abundances, the difference between the magnitude of these effects in odd years would be far less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otolith sampling of odd-year Indian River spawners in order to further understand the impact of SJH releases.</w:t>
      </w:r>
    </w:p>
    <w:p w14:paraId="1E060046" w14:textId="671EC85D" w:rsidR="00447811" w:rsidRDefault="00637DA7" w:rsidP="00637DA7">
      <w:pPr>
        <w:spacing w:after="0" w:line="480" w:lineRule="auto"/>
        <w:ind w:firstLine="720"/>
      </w:pPr>
      <w:r>
        <w:tab/>
        <w:t>It is clear from this research that determining the point at which a native species becomes overabundant is not a simple task. In the case of pink salmon at Indian River, this task is made additionally complicated by the fact there two populations inhabiting the same environment (odd- and even-year runs) with potentially different life histories and characteristics. When assessing whether or not the overabundance of a native species in an ecosystem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w:t>
      </w:r>
    </w:p>
    <w:sectPr w:rsidR="004478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Scheuerell" w:date="2026-03-06T05:46:00Z" w:initials="s">
    <w:p w14:paraId="23B8F9E0" w14:textId="77777777" w:rsidR="004A17BC" w:rsidRDefault="004A17BC">
      <w:pPr>
        <w:pStyle w:val="CommentText"/>
      </w:pPr>
      <w:r>
        <w:rPr>
          <w:rStyle w:val="CommentReference"/>
        </w:rPr>
        <w:annotationRef/>
      </w:r>
      <w:r>
        <w:t>This also reads like a proposal. I’d like to see a statement of the specific question(s), 1+ hypotheses as to why you think that, and then some predictions that could be tested via model fitting and comparisons.</w:t>
      </w:r>
    </w:p>
  </w:comment>
  <w:comment w:id="1" w:author="Mark Scheuerell" w:date="2026-03-06T06:06:00Z" w:initials="s">
    <w:p w14:paraId="432A4485" w14:textId="77777777" w:rsidR="00EF660E" w:rsidRDefault="00EF660E">
      <w:pPr>
        <w:pStyle w:val="CommentText"/>
      </w:pPr>
      <w:r>
        <w:rPr>
          <w:rStyle w:val="CommentReference"/>
        </w:rPr>
        <w:annotationRef/>
      </w:r>
      <w:r>
        <w:t>Set this up to reflect the different hypotheses and predictions you set up in the intro.</w:t>
      </w:r>
    </w:p>
  </w:comment>
  <w:comment w:id="2" w:author="Mark Scheuerell" w:date="2026-03-06T06:07:00Z" w:initials="s">
    <w:p w14:paraId="19A8141D" w14:textId="77777777" w:rsidR="00E77D5F" w:rsidRDefault="00E77D5F">
      <w:pPr>
        <w:pStyle w:val="CommentText"/>
      </w:pPr>
      <w:r>
        <w:rPr>
          <w:rStyle w:val="CommentReference"/>
        </w:rPr>
        <w:annotationRef/>
      </w:r>
      <w:r>
        <w:t>These are statements about results and discussion and not methods.</w:t>
      </w:r>
    </w:p>
  </w:comment>
  <w:comment w:id="4" w:author="Mark Scheuerell" w:date="2026-03-06T06:14:00Z" w:initials="s">
    <w:p w14:paraId="4040A555" w14:textId="77777777" w:rsidR="00897510" w:rsidRDefault="00897510" w:rsidP="00897510">
      <w:pPr>
        <w:pStyle w:val="CommentText"/>
      </w:pPr>
      <w:r>
        <w:rPr>
          <w:rStyle w:val="CommentReference"/>
        </w:rPr>
        <w:annotationRef/>
      </w:r>
      <w:r>
        <w:t>I don’t think it’s necessary to explain how these tests work. Rather, you can just assert that you used them and cite a good ref.</w:t>
      </w:r>
    </w:p>
    <w:p w14:paraId="0B137238" w14:textId="77777777" w:rsidR="00897510" w:rsidRDefault="00897510" w:rsidP="00897510">
      <w:pPr>
        <w:pStyle w:val="CommentText"/>
      </w:pPr>
    </w:p>
    <w:p w14:paraId="041174A3" w14:textId="77777777" w:rsidR="00897510" w:rsidRDefault="00897510" w:rsidP="00897510">
      <w:pPr>
        <w:pStyle w:val="CommentText"/>
      </w:pPr>
      <w:r>
        <w:t>Also, note that you don’t have to first-difference a ts to remove a trend. You could instead include an explicit trend term in the model.</w:t>
      </w:r>
    </w:p>
  </w:comment>
  <w:comment w:id="3" w:author="Brian E McGreal" w:date="2026-03-26T16:39:00Z" w:initials="BM">
    <w:p w14:paraId="2CB43DB9" w14:textId="77777777" w:rsidR="00897510" w:rsidRDefault="00897510" w:rsidP="00E82478">
      <w:pPr>
        <w:pStyle w:val="CommentText"/>
      </w:pPr>
      <w:r>
        <w:rPr>
          <w:rStyle w:val="CommentReference"/>
        </w:rPr>
        <w:annotationRef/>
      </w:r>
      <w:r>
        <w:t>This whole paragraph  must be rewritten to reflect new approach</w:t>
      </w:r>
    </w:p>
  </w:comment>
  <w:comment w:id="5" w:author="Mark Scheuerell" w:date="2026-03-06T06:19:00Z" w:initials="s">
    <w:p w14:paraId="0749195C" w14:textId="77777777" w:rsidR="00AD2CBF" w:rsidRDefault="00AD2CBF">
      <w:pPr>
        <w:pStyle w:val="CommentText"/>
      </w:pPr>
      <w:r>
        <w:rPr>
          <w:rStyle w:val="CommentReference"/>
        </w:rPr>
        <w:annotationRef/>
      </w:r>
      <w:r>
        <w:t>Try revising this to be in the first person (eg, “I assigned…”)</w:t>
      </w:r>
    </w:p>
  </w:comment>
  <w:comment w:id="6" w:author="Mark Scheuerell" w:date="2026-03-06T06:21:00Z" w:initials="s">
    <w:p w14:paraId="5C2D32BE" w14:textId="77777777" w:rsidR="00BF3F86" w:rsidRDefault="00BF3F86">
      <w:pPr>
        <w:pStyle w:val="CommentText"/>
      </w:pPr>
      <w:r>
        <w:rPr>
          <w:rStyle w:val="CommentReference"/>
        </w:rPr>
        <w:annotationRef/>
      </w:r>
      <w:r>
        <w:t>It’s conventional to write the methods for a paper in the past tense because you’ve already done the work (as compared to a proposal)</w:t>
      </w:r>
    </w:p>
  </w:comment>
  <w:comment w:id="8" w:author="Mark Scheuerell" w:date="2026-03-06T06:22:00Z" w:initials="s">
    <w:p w14:paraId="604409F2" w14:textId="77777777" w:rsidR="00014224" w:rsidRDefault="00014224">
      <w:pPr>
        <w:pStyle w:val="CommentText"/>
      </w:pPr>
      <w:r>
        <w:rPr>
          <w:rStyle w:val="CommentReference"/>
        </w:rPr>
        <w:annotationRef/>
      </w:r>
      <w:r>
        <w:t>This seems repeated from the intro</w:t>
      </w:r>
    </w:p>
  </w:comment>
  <w:comment w:id="9" w:author="Brian E McGreal" w:date="2026-03-27T17:23:00Z" w:initials="BM">
    <w:p w14:paraId="3DC35925" w14:textId="77777777" w:rsidR="00014224" w:rsidRDefault="00014224" w:rsidP="00014224">
      <w:pPr>
        <w:pStyle w:val="CommentText"/>
      </w:pPr>
      <w:r>
        <w:rPr>
          <w:rStyle w:val="CommentReference"/>
        </w:rPr>
        <w:annotationRef/>
      </w:r>
      <w:r>
        <w:t>I don’t see where this is discussed. I can add it into the intro.</w:t>
      </w:r>
    </w:p>
  </w:comment>
  <w:comment w:id="7" w:author="Mark Scheuerell" w:date="2026-03-06T06:28:00Z" w:initials="s">
    <w:p w14:paraId="5F66190E" w14:textId="77777777" w:rsidR="00014224" w:rsidRDefault="00014224">
      <w:pPr>
        <w:pStyle w:val="CommentText"/>
      </w:pPr>
      <w:r>
        <w:rPr>
          <w:rStyle w:val="CommentReference"/>
        </w:rPr>
        <w:annotationRef/>
      </w:r>
      <w:r>
        <w:t>Now that I read the following paragraph, I think these could be deleted.</w:t>
      </w:r>
    </w:p>
  </w:comment>
  <w:comment w:id="10" w:author="Mark Scheuerell" w:date="2026-03-07T10:13:00Z" w:initials="s">
    <w:p w14:paraId="22F9930B" w14:textId="77777777" w:rsidR="00637DA7" w:rsidRDefault="00637DA7">
      <w:pPr>
        <w:pStyle w:val="CommentText"/>
      </w:pPr>
      <w:r>
        <w:rPr>
          <w:rStyle w:val="CommentReference"/>
        </w:rPr>
        <w:annotationRef/>
      </w:r>
      <w:r>
        <w:t>Recall that the discussion section is where you also frame your results within the broader literature, and I don’t see any citations to other work here. What sort of effects do hatcheries in other areas have? Are their differences among other species? Conservation hatcheries intentionally outplant juveniles to other areas they’d like them to return. Are there any lessons or comparisons to draw from those? You should also return to the non-salmon examples you bring up in the intro. Can we gain any insights from them or extend inference from this study to them?</w:t>
      </w:r>
    </w:p>
  </w:comment>
  <w:comment w:id="11" w:author="Brian E McGreal" w:date="2026-04-10T18:46:00Z" w:initials="BM">
    <w:p w14:paraId="5B8ADF1E" w14:textId="77777777" w:rsidR="00637DA7" w:rsidRDefault="00637DA7" w:rsidP="00281853">
      <w:pPr>
        <w:pStyle w:val="CommentText"/>
      </w:pPr>
      <w:r>
        <w:rPr>
          <w:rStyle w:val="CommentReference"/>
        </w:rPr>
        <w:annotationRef/>
      </w:r>
      <w:r>
        <w:t>These three paragraphs should be kind of synthezied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B8F9E0" w15:done="0"/>
  <w15:commentEx w15:paraId="432A4485" w15:done="0"/>
  <w15:commentEx w15:paraId="19A8141D" w15:done="0"/>
  <w15:commentEx w15:paraId="041174A3" w15:done="0"/>
  <w15:commentEx w15:paraId="2CB43DB9" w15:done="0"/>
  <w15:commentEx w15:paraId="0749195C" w15:done="0"/>
  <w15:commentEx w15:paraId="5C2D32BE" w15:done="0"/>
  <w15:commentEx w15:paraId="604409F2" w15:done="0"/>
  <w15:commentEx w15:paraId="3DC35925" w15:paraIdParent="604409F2" w15:done="0"/>
  <w15:commentEx w15:paraId="5F66190E" w15:done="0"/>
  <w15:commentEx w15:paraId="22F9930B" w15:done="0"/>
  <w15:commentEx w15:paraId="5B8ADF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B74590" w16cex:dateUtc="2026-03-06T13:46:00Z"/>
  <w16cex:commentExtensible w16cex:durableId="19E36753" w16cex:dateUtc="2026-03-06T14:06:00Z"/>
  <w16cex:commentExtensible w16cex:durableId="1619274C" w16cex:dateUtc="2026-03-06T14:07:00Z"/>
  <w16cex:commentExtensible w16cex:durableId="6C28095E" w16cex:dateUtc="2026-03-06T14:14:00Z"/>
  <w16cex:commentExtensible w16cex:durableId="11B5581F" w16cex:dateUtc="2026-03-26T23:39:00Z"/>
  <w16cex:commentExtensible w16cex:durableId="0860A86C" w16cex:dateUtc="2026-03-06T14:19:00Z"/>
  <w16cex:commentExtensible w16cex:durableId="738ABEEB" w16cex:dateUtc="2026-03-06T14:21:00Z"/>
  <w16cex:commentExtensible w16cex:durableId="588C617E" w16cex:dateUtc="2026-03-06T14:22:00Z"/>
  <w16cex:commentExtensible w16cex:durableId="3D0540C0" w16cex:dateUtc="2026-03-28T00:23:00Z"/>
  <w16cex:commentExtensible w16cex:durableId="4F05BC0A" w16cex:dateUtc="2026-03-06T14:28:00Z"/>
  <w16cex:commentExtensible w16cex:durableId="4E6740D1" w16cex:dateUtc="2026-03-07T18:13:00Z"/>
  <w16cex:commentExtensible w16cex:durableId="04868D78" w16cex:dateUtc="2026-04-11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B8F9E0" w16cid:durableId="40B74590"/>
  <w16cid:commentId w16cid:paraId="432A4485" w16cid:durableId="19E36753"/>
  <w16cid:commentId w16cid:paraId="19A8141D" w16cid:durableId="1619274C"/>
  <w16cid:commentId w16cid:paraId="041174A3" w16cid:durableId="6C28095E"/>
  <w16cid:commentId w16cid:paraId="2CB43DB9" w16cid:durableId="11B5581F"/>
  <w16cid:commentId w16cid:paraId="0749195C" w16cid:durableId="0860A86C"/>
  <w16cid:commentId w16cid:paraId="5C2D32BE" w16cid:durableId="738ABEEB"/>
  <w16cid:commentId w16cid:paraId="604409F2" w16cid:durableId="588C617E"/>
  <w16cid:commentId w16cid:paraId="3DC35925" w16cid:durableId="3D0540C0"/>
  <w16cid:commentId w16cid:paraId="5F66190E" w16cid:durableId="4F05BC0A"/>
  <w16cid:commentId w16cid:paraId="22F9930B" w16cid:durableId="4E6740D1"/>
  <w16cid:commentId w16cid:paraId="5B8ADF1E" w16cid:durableId="04868D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euerell">
    <w15:presenceInfo w15:providerId="AD" w15:userId="S::scheuerl@uw.edu::e5f041e9-888e-425f-b2ff-0ef18f5f5e6d"/>
  </w15:person>
  <w15:person w15:author="Brian E McGreal">
    <w15:presenceInfo w15:providerId="AD" w15:userId="S::bmcgreal@uw.edu::500ccbb3-e957-4a38-850c-c0c2fd4a68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A6"/>
    <w:rsid w:val="00014224"/>
    <w:rsid w:val="000473CA"/>
    <w:rsid w:val="00095DCA"/>
    <w:rsid w:val="00096995"/>
    <w:rsid w:val="000E2AFD"/>
    <w:rsid w:val="001509D8"/>
    <w:rsid w:val="001D249A"/>
    <w:rsid w:val="002A1D18"/>
    <w:rsid w:val="002C6682"/>
    <w:rsid w:val="002D7DC2"/>
    <w:rsid w:val="002F1F1F"/>
    <w:rsid w:val="00340513"/>
    <w:rsid w:val="00396E9D"/>
    <w:rsid w:val="003B22DF"/>
    <w:rsid w:val="003F5E95"/>
    <w:rsid w:val="004125DE"/>
    <w:rsid w:val="00447811"/>
    <w:rsid w:val="00494012"/>
    <w:rsid w:val="004A17BC"/>
    <w:rsid w:val="004F151D"/>
    <w:rsid w:val="005012A6"/>
    <w:rsid w:val="00564645"/>
    <w:rsid w:val="00637DA7"/>
    <w:rsid w:val="006477B2"/>
    <w:rsid w:val="00655324"/>
    <w:rsid w:val="00657247"/>
    <w:rsid w:val="006846FC"/>
    <w:rsid w:val="006B1EA6"/>
    <w:rsid w:val="006C7056"/>
    <w:rsid w:val="006E0493"/>
    <w:rsid w:val="006F0F86"/>
    <w:rsid w:val="007E3727"/>
    <w:rsid w:val="008823CF"/>
    <w:rsid w:val="00897510"/>
    <w:rsid w:val="008C6345"/>
    <w:rsid w:val="0093424C"/>
    <w:rsid w:val="009C4221"/>
    <w:rsid w:val="00A16F52"/>
    <w:rsid w:val="00A5673D"/>
    <w:rsid w:val="00AC31F5"/>
    <w:rsid w:val="00AD2CBF"/>
    <w:rsid w:val="00B9450F"/>
    <w:rsid w:val="00BE691F"/>
    <w:rsid w:val="00BF3F86"/>
    <w:rsid w:val="00BF7A7A"/>
    <w:rsid w:val="00C4640D"/>
    <w:rsid w:val="00C66ED1"/>
    <w:rsid w:val="00CD7149"/>
    <w:rsid w:val="00CE633A"/>
    <w:rsid w:val="00D67248"/>
    <w:rsid w:val="00E175A6"/>
    <w:rsid w:val="00E66E72"/>
    <w:rsid w:val="00E71E5E"/>
    <w:rsid w:val="00E77D5F"/>
    <w:rsid w:val="00E81D20"/>
    <w:rsid w:val="00EA450C"/>
    <w:rsid w:val="00EA5F78"/>
    <w:rsid w:val="00EC7A1A"/>
    <w:rsid w:val="00ED2389"/>
    <w:rsid w:val="00EF660E"/>
    <w:rsid w:val="00FC6282"/>
    <w:rsid w:val="00FC76B3"/>
    <w:rsid w:val="00FD4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0658"/>
  <w15:chartTrackingRefBased/>
  <w15:docId w15:val="{EB010AC9-C822-43C9-8FD3-DDDED9BD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2A6"/>
    <w:rPr>
      <w:rFonts w:eastAsiaTheme="majorEastAsia" w:cstheme="majorBidi"/>
      <w:color w:val="272727" w:themeColor="text1" w:themeTint="D8"/>
    </w:rPr>
  </w:style>
  <w:style w:type="paragraph" w:styleId="Title">
    <w:name w:val="Title"/>
    <w:basedOn w:val="Normal"/>
    <w:next w:val="Normal"/>
    <w:link w:val="TitleChar"/>
    <w:uiPriority w:val="10"/>
    <w:qFormat/>
    <w:rsid w:val="0050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2A6"/>
    <w:pPr>
      <w:spacing w:before="160"/>
      <w:jc w:val="center"/>
    </w:pPr>
    <w:rPr>
      <w:i/>
      <w:iCs/>
      <w:color w:val="404040" w:themeColor="text1" w:themeTint="BF"/>
    </w:rPr>
  </w:style>
  <w:style w:type="character" w:customStyle="1" w:styleId="QuoteChar">
    <w:name w:val="Quote Char"/>
    <w:basedOn w:val="DefaultParagraphFont"/>
    <w:link w:val="Quote"/>
    <w:uiPriority w:val="29"/>
    <w:rsid w:val="005012A6"/>
    <w:rPr>
      <w:i/>
      <w:iCs/>
      <w:color w:val="404040" w:themeColor="text1" w:themeTint="BF"/>
    </w:rPr>
  </w:style>
  <w:style w:type="paragraph" w:styleId="ListParagraph">
    <w:name w:val="List Paragraph"/>
    <w:basedOn w:val="Normal"/>
    <w:uiPriority w:val="34"/>
    <w:qFormat/>
    <w:rsid w:val="005012A6"/>
    <w:pPr>
      <w:ind w:left="720"/>
      <w:contextualSpacing/>
    </w:pPr>
  </w:style>
  <w:style w:type="character" w:styleId="IntenseEmphasis">
    <w:name w:val="Intense Emphasis"/>
    <w:basedOn w:val="DefaultParagraphFont"/>
    <w:uiPriority w:val="21"/>
    <w:qFormat/>
    <w:rsid w:val="005012A6"/>
    <w:rPr>
      <w:i/>
      <w:iCs/>
      <w:color w:val="2F5496" w:themeColor="accent1" w:themeShade="BF"/>
    </w:rPr>
  </w:style>
  <w:style w:type="paragraph" w:styleId="IntenseQuote">
    <w:name w:val="Intense Quote"/>
    <w:basedOn w:val="Normal"/>
    <w:next w:val="Normal"/>
    <w:link w:val="IntenseQuoteChar"/>
    <w:uiPriority w:val="30"/>
    <w:qFormat/>
    <w:rsid w:val="00501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2A6"/>
    <w:rPr>
      <w:i/>
      <w:iCs/>
      <w:color w:val="2F5496" w:themeColor="accent1" w:themeShade="BF"/>
    </w:rPr>
  </w:style>
  <w:style w:type="character" w:styleId="IntenseReference">
    <w:name w:val="Intense Reference"/>
    <w:basedOn w:val="DefaultParagraphFont"/>
    <w:uiPriority w:val="32"/>
    <w:qFormat/>
    <w:rsid w:val="005012A6"/>
    <w:rPr>
      <w:b/>
      <w:bCs/>
      <w:smallCaps/>
      <w:color w:val="2F5496" w:themeColor="accent1" w:themeShade="BF"/>
      <w:spacing w:val="5"/>
    </w:rPr>
  </w:style>
  <w:style w:type="character" w:styleId="CommentReference">
    <w:name w:val="annotation reference"/>
    <w:basedOn w:val="DefaultParagraphFont"/>
    <w:uiPriority w:val="99"/>
    <w:semiHidden/>
    <w:unhideWhenUsed/>
    <w:rsid w:val="005012A6"/>
    <w:rPr>
      <w:sz w:val="16"/>
      <w:szCs w:val="16"/>
    </w:rPr>
  </w:style>
  <w:style w:type="paragraph" w:styleId="CommentText">
    <w:name w:val="annotation text"/>
    <w:basedOn w:val="Normal"/>
    <w:link w:val="CommentTextChar"/>
    <w:uiPriority w:val="99"/>
    <w:unhideWhenUsed/>
    <w:rsid w:val="005012A6"/>
    <w:pPr>
      <w:spacing w:line="240" w:lineRule="auto"/>
    </w:pPr>
    <w:rPr>
      <w:sz w:val="20"/>
      <w:szCs w:val="20"/>
    </w:rPr>
  </w:style>
  <w:style w:type="character" w:customStyle="1" w:styleId="CommentTextChar">
    <w:name w:val="Comment Text Char"/>
    <w:basedOn w:val="DefaultParagraphFont"/>
    <w:link w:val="CommentText"/>
    <w:uiPriority w:val="99"/>
    <w:rsid w:val="005012A6"/>
    <w:rPr>
      <w:sz w:val="20"/>
      <w:szCs w:val="20"/>
    </w:rPr>
  </w:style>
  <w:style w:type="paragraph" w:styleId="CommentSubject">
    <w:name w:val="annotation subject"/>
    <w:basedOn w:val="CommentText"/>
    <w:next w:val="CommentText"/>
    <w:link w:val="CommentSubjectChar"/>
    <w:uiPriority w:val="99"/>
    <w:semiHidden/>
    <w:unhideWhenUsed/>
    <w:rsid w:val="00014224"/>
    <w:rPr>
      <w:b/>
      <w:bCs/>
    </w:rPr>
  </w:style>
  <w:style w:type="character" w:customStyle="1" w:styleId="CommentSubjectChar">
    <w:name w:val="Comment Subject Char"/>
    <w:basedOn w:val="CommentTextChar"/>
    <w:link w:val="CommentSubject"/>
    <w:uiPriority w:val="99"/>
    <w:semiHidden/>
    <w:rsid w:val="000142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736</TotalTime>
  <Pages>19</Pages>
  <Words>4120</Words>
  <Characters>21759</Characters>
  <Application>Microsoft Office Word</Application>
  <DocSecurity>0</DocSecurity>
  <Lines>315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21</cp:revision>
  <dcterms:created xsi:type="dcterms:W3CDTF">2026-03-25T18:50:00Z</dcterms:created>
  <dcterms:modified xsi:type="dcterms:W3CDTF">2026-04-11T01:48:00Z</dcterms:modified>
</cp:coreProperties>
</file>