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 xml:space="preserve">Mark </w:t>
      </w:r>
      <w:commentRangeStart w:id="1"/>
      <w:r>
        <w:t xml:space="preserve">D. </w:t>
      </w:r>
      <w:commentRangeEnd w:id="1"/>
      <w:r>
        <w:rPr>
          <w:rStyle w:val="CommentReference"/>
          <w:sz w:val="24"/>
          <w:szCs w:val="24"/>
        </w:rPr>
        <w:commentReference w:id="1"/>
      </w:r>
      <w:r>
        <w:t>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443E563" w14:textId="29064477" w:rsidR="009845B1" w:rsidRDefault="009845B1" w:rsidP="009845B1">
      <w:pPr>
        <w:suppressLineNumbers/>
        <w:spacing w:after="0" w:line="240" w:lineRule="auto"/>
        <w:rPr>
          <w:b/>
          <w:bCs/>
          <w:u w:val="single"/>
        </w:rPr>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a difficult management challenge. Whether due to direct human influence on their environments, </w:t>
      </w:r>
      <w:r>
        <w:t xml:space="preserve">or from </w:t>
      </w:r>
      <w:r w:rsidRPr="00250E10">
        <w:t xml:space="preserve">indirect human influence </w:t>
      </w:r>
      <w:r>
        <w:t xml:space="preserve">due to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gorbuscha</w:t>
      </w:r>
      <w:r w:rsidR="000575C0">
        <w:t>)</w:t>
      </w:r>
      <w:r w:rsidRPr="00250E10">
        <w:t xml:space="preserve"> in Sitka National Historical Park’s Indian River</w:t>
      </w:r>
      <w:r w:rsidR="00E458B3">
        <w:t>, the life history of which leads to two genetically distinctly runs inhabiting the same stream in even and odd years</w:t>
      </w:r>
      <w:r w:rsidRPr="00250E10">
        <w:t>. Though native to the river,</w:t>
      </w:r>
      <w:r w:rsidR="000575C0">
        <w:t xml:space="preserve"> both runs</w:t>
      </w:r>
      <w:r w:rsidRPr="00250E10">
        <w:t xml:space="preserve"> </w:t>
      </w:r>
      <w:r w:rsidR="000575C0">
        <w:t xml:space="preserve">of </w:t>
      </w:r>
      <w:r>
        <w:t>pink salmon</w:t>
      </w:r>
      <w:r w:rsidRPr="00250E10">
        <w:t xml:space="preserve"> </w:t>
      </w:r>
      <w:r w:rsidR="000575C0">
        <w:t xml:space="preserve">have seen number of fish </w:t>
      </w:r>
      <w:r w:rsidRPr="00250E10">
        <w:t xml:space="preserve">returning </w:t>
      </w:r>
      <w:r>
        <w:t xml:space="preserve">to spawn </w:t>
      </w:r>
      <w:r w:rsidRPr="00250E10">
        <w:t xml:space="preserve">in </w:t>
      </w:r>
      <w:r>
        <w:t>late summer</w:t>
      </w:r>
      <w:r w:rsidRPr="00250E10">
        <w:t xml:space="preserve"> grow exponentially in recent decades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0575C0">
        <w:t>s</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a natural range of variation)</w:t>
      </w:r>
      <w:r>
        <w:t>, or whether hatchery operations may be driving the hyperabundant runs in recent years</w:t>
      </w:r>
      <w:r w:rsidRPr="00250E10">
        <w:t>.</w:t>
      </w:r>
      <w:r w:rsidR="000575C0">
        <w:t xml:space="preserve"> Analysis using state space models finds that odd-year runs of pink salmon at Indian River diverge significantly from regional expectations, although conclusive evidence that this divergence is driven by hatchery releases is not clear. </w:t>
      </w:r>
      <w:r w:rsidR="00E458B3">
        <w:t xml:space="preserve">Even-year runs do not display the </w:t>
      </w:r>
      <w:r w:rsidR="00E458B3">
        <w:lastRenderedPageBreak/>
        <w:t xml:space="preserve">same divergence in behavior and seem to be in line with pink salmon abundances elsewhere in the region.   </w:t>
      </w:r>
      <w:r>
        <w:br w:type="page"/>
      </w:r>
    </w:p>
    <w:p w14:paraId="6D0A6A07" w14:textId="1C71C94A" w:rsidR="00670218" w:rsidRPr="00B66BBC" w:rsidRDefault="00670218" w:rsidP="00B66BBC">
      <w:pPr>
        <w:spacing w:after="0" w:line="480" w:lineRule="auto"/>
        <w:rPr>
          <w:b/>
          <w:bCs/>
          <w:u w:val="single"/>
        </w:rPr>
      </w:pPr>
      <w:r w:rsidRPr="00B66BBC">
        <w:rPr>
          <w:b/>
          <w:bCs/>
          <w:u w:val="single"/>
        </w:rPr>
        <w:lastRenderedPageBreak/>
        <w:t xml:space="preserve">Introduction </w:t>
      </w:r>
    </w:p>
    <w:p w14:paraId="226B7545" w14:textId="20C33F8F" w:rsidR="008E583F" w:rsidRDefault="00226B01" w:rsidP="00A017CB">
      <w:pPr>
        <w:spacing w:after="0" w:line="480" w:lineRule="auto"/>
        <w:ind w:firstLine="720"/>
      </w:pPr>
      <w:r>
        <w:t>Conservation issues related to individual species are often the result of either the scarcity of a native plant or animal species, or of an abundance of non-native (exotic, invasive) species, with either scenario capable of imperiling the ecosystems in which they occur</w:t>
      </w:r>
      <w:r w:rsidR="005D5E6A">
        <w:t xml:space="preserve"> (</w:t>
      </w:r>
      <w:r w:rsidR="00E06BFE">
        <w:t xml:space="preserve">Ellison et al. 2005, Gallardo et al. 2015, </w:t>
      </w:r>
      <w:r w:rsidR="005D5E6A">
        <w:t>Jeschke et al. 2014)</w:t>
      </w:r>
      <w:r>
        <w:t>.</w:t>
      </w:r>
      <w:r w:rsidR="008E583F">
        <w:t xml:space="preserve">  However, harm to ecosystems can also be driven by the hyperabundance of a native species, due either to shifting regional trends in habitat suitability, to direct (and often anthropogenic) intervention, or to a combination of these factors (Sambaraju and Goodsman 2021, Beckett et al. 2022, Moore et al. 2023).</w:t>
      </w:r>
      <w:r w:rsidR="00025AAD">
        <w:t xml:space="preserve"> </w:t>
      </w:r>
      <w:r w:rsidR="00EF4CE3">
        <w:t>Purple s</w:t>
      </w:r>
      <w:r w:rsidR="00025AAD">
        <w:t xml:space="preserve">ea urchin </w:t>
      </w:r>
      <w:r w:rsidR="00EF4CE3">
        <w:t>(</w:t>
      </w:r>
      <w:r w:rsidR="00EF4CE3" w:rsidRPr="00EF4CE3">
        <w:rPr>
          <w:i/>
          <w:iCs/>
        </w:rPr>
        <w:t>Strongylocentrotus purpuratus</w:t>
      </w:r>
      <w:r w:rsidR="00EF4CE3">
        <w:t xml:space="preserve">) </w:t>
      </w:r>
      <w:r w:rsidR="00025AAD">
        <w:t xml:space="preserve">hyperabundance in the northern Pacific </w:t>
      </w:r>
      <w:r w:rsidR="00BD0856">
        <w:t>can lead</w:t>
      </w:r>
      <w:r w:rsidR="00025AAD">
        <w:t xml:space="preserve"> to the devastation of kelp </w:t>
      </w:r>
      <w:r w:rsidR="00970BA1">
        <w:t>(</w:t>
      </w:r>
      <w:r w:rsidR="00970BA1" w:rsidRPr="00970BA1">
        <w:rPr>
          <w:i/>
          <w:iCs/>
        </w:rPr>
        <w:t>Macrocystis pyrifera</w:t>
      </w:r>
      <w:r w:rsidR="00970BA1">
        <w:t xml:space="preserve">) </w:t>
      </w:r>
      <w:r w:rsidR="00025AAD">
        <w:t xml:space="preserve">forests, critical ecosystems upon which countless marine species depend. This hyperabundance </w:t>
      </w:r>
      <w:r w:rsidR="00B424B2">
        <w:t xml:space="preserve">has been driven </w:t>
      </w:r>
      <w:r w:rsidR="00BD0856">
        <w:t xml:space="preserve">in the past </w:t>
      </w:r>
      <w:r w:rsidR="00B424B2">
        <w:t>by a direct anthropogenic intervention</w:t>
      </w:r>
      <w:r w:rsidR="00BD0856">
        <w:t xml:space="preserve">: </w:t>
      </w:r>
      <w:r w:rsidR="00025AAD">
        <w:t>the</w:t>
      </w:r>
      <w:r w:rsidR="00B424B2">
        <w:t xml:space="preserve"> decimation </w:t>
      </w:r>
      <w:r w:rsidR="00025AAD">
        <w:t xml:space="preserve">of </w:t>
      </w:r>
      <w:r w:rsidR="005B3082">
        <w:t xml:space="preserve">Pacific </w:t>
      </w:r>
      <w:r w:rsidR="00025AAD">
        <w:t>sea otter</w:t>
      </w:r>
      <w:r w:rsidR="005B3082">
        <w:t xml:space="preserve"> (</w:t>
      </w:r>
      <w:r w:rsidR="005B3082" w:rsidRPr="005B3082">
        <w:rPr>
          <w:i/>
          <w:iCs/>
        </w:rPr>
        <w:t>Enhydra lutris</w:t>
      </w:r>
      <w:r w:rsidR="005B3082">
        <w:t>)</w:t>
      </w:r>
      <w:r w:rsidR="00B424B2">
        <w:t xml:space="preserve"> populations</w:t>
      </w:r>
      <w:r w:rsidR="00025AAD">
        <w:t xml:space="preserve"> during the 1</w:t>
      </w:r>
      <w:r w:rsidR="00B424B2">
        <w:t>8</w:t>
      </w:r>
      <w:r w:rsidR="00025AAD" w:rsidRPr="00025AAD">
        <w:rPr>
          <w:vertAlign w:val="superscript"/>
        </w:rPr>
        <w:t>th</w:t>
      </w:r>
      <w:r w:rsidR="00025AAD">
        <w:t xml:space="preserve"> and </w:t>
      </w:r>
      <w:r w:rsidR="00B424B2">
        <w:t>19</w:t>
      </w:r>
      <w:r w:rsidR="00B424B2" w:rsidRPr="00B424B2">
        <w:rPr>
          <w:vertAlign w:val="superscript"/>
        </w:rPr>
        <w:t>th</w:t>
      </w:r>
      <w:r w:rsidR="00B424B2">
        <w:t xml:space="preserve"> centuries</w:t>
      </w:r>
      <w:r w:rsidR="00025AAD">
        <w:t xml:space="preserve"> due to the high value placed on otter pelts </w:t>
      </w:r>
      <w:r w:rsidR="005B3082">
        <w:t>by</w:t>
      </w:r>
      <w:r w:rsidR="00B424B2">
        <w:t xml:space="preserve"> the maritime fur trade. Otter populations have never recovered</w:t>
      </w:r>
      <w:r w:rsidR="00970BA1">
        <w:t xml:space="preserve"> along much of the North American Pacific coast</w:t>
      </w:r>
      <w:r w:rsidR="00B424B2">
        <w:t xml:space="preserve">, and as a result ‘urchin barrens’ are a common feature in shallow coastal regions off the west coast of North America </w:t>
      </w:r>
      <w:r w:rsidR="00025AAD">
        <w:t>(</w:t>
      </w:r>
      <w:r w:rsidR="00B424B2">
        <w:t>Estes 2015</w:t>
      </w:r>
      <w:r w:rsidR="00025AAD">
        <w:t>)</w:t>
      </w:r>
      <w:r w:rsidR="00B424B2">
        <w:t>.</w:t>
      </w:r>
      <w:r w:rsidR="003323B4">
        <w:t xml:space="preserve"> More recently, a</w:t>
      </w:r>
      <w:r w:rsidR="00EF4CE3">
        <w:t>nother hyperabundant</w:t>
      </w:r>
      <w:r w:rsidR="003323B4">
        <w:t xml:space="preserve"> </w:t>
      </w:r>
      <w:r w:rsidR="00EF4CE3">
        <w:t>species</w:t>
      </w:r>
      <w:r w:rsidR="003323B4">
        <w:t>, t</w:t>
      </w:r>
      <w:r w:rsidR="00EF4CE3">
        <w:t>he mountain pine beetle (</w:t>
      </w:r>
      <w:r w:rsidR="00EF4CE3">
        <w:rPr>
          <w:i/>
          <w:iCs/>
        </w:rPr>
        <w:t>Dendroctonus ponderosae</w:t>
      </w:r>
      <w:r w:rsidR="00EF4CE3">
        <w:t xml:space="preserve">), </w:t>
      </w:r>
      <w:r w:rsidR="003323B4">
        <w:t>has caused catastrophic destruction of</w:t>
      </w:r>
      <w:r w:rsidR="00EF4CE3">
        <w:t xml:space="preserve"> coniferous forests </w:t>
      </w:r>
      <w:r w:rsidR="003323B4">
        <w:t xml:space="preserve">throughout its native range, the Rocky Mountains. While the mountain pine beetle’s life history has always involved causing damage to the inner bark of conifers, cold winter temperatures have previously limited the insects’ numbers and, by extension, their impacts on Rocky Mountain forests. However, as shifting climate patterns have led to warmer winters and longer summers, the mountain pine beetle has flourished and in doing so has </w:t>
      </w:r>
      <w:r w:rsidR="003323B4">
        <w:lastRenderedPageBreak/>
        <w:t xml:space="preserve">devasted large swathes </w:t>
      </w:r>
      <w:r w:rsidR="00B40C10">
        <w:t>of forest habitat in Canada and the US</w:t>
      </w:r>
      <w:r w:rsidR="003323B4">
        <w:t xml:space="preserve"> </w:t>
      </w:r>
      <w:r w:rsidR="00EF4CE3">
        <w:t>(Gibson et al. 2008).</w:t>
      </w:r>
      <w:r w:rsidR="00B40C10">
        <w:t xml:space="preserve"> </w:t>
      </w:r>
      <w:r w:rsidR="00197700">
        <w:t xml:space="preserve">Unlike the direct human intervention responsible for hyperabundant purple urchins, the mountain pine beetle has proliferated due to a shifting trend in habitat suitability (albeit one that is due indirectly to human activities). </w:t>
      </w:r>
    </w:p>
    <w:p w14:paraId="5676B047" w14:textId="4605A732" w:rsidR="00DB0CE4" w:rsidRDefault="000003B7" w:rsidP="00A017CB">
      <w:pPr>
        <w:spacing w:after="0" w:line="480" w:lineRule="auto"/>
        <w:ind w:firstLine="720"/>
      </w:pPr>
      <w:r>
        <w:t xml:space="preserve">If a hyperabundance of a native species occurs within a </w:t>
      </w:r>
      <w:r w:rsidR="002321EC">
        <w:t xml:space="preserve">conservation area, it may trigger the need for management action designed to protect other species within the same ecosystem. </w:t>
      </w:r>
      <w:r w:rsidR="00BD0856">
        <w:t>For example</w:t>
      </w:r>
      <w:r w:rsidR="00670218">
        <w:t xml:space="preserve">,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rsidR="00670218">
        <w:t>been to maintain abundances within a ‘natural range of variation’</w:t>
      </w:r>
      <w:r w:rsidR="004040BD">
        <w:t xml:space="preserve"> </w:t>
      </w:r>
      <w:r w:rsidR="004040BD">
        <w:rPr>
          <w:rFonts w:cstheme="minorHAnsi"/>
          <w:color w:val="202122"/>
          <w:shd w:val="clear" w:color="auto" w:fill="FFFFFF"/>
        </w:rPr>
        <w:t>(National Park Service 2025</w:t>
      </w:r>
      <w:r w:rsidR="00CF558E">
        <w:rPr>
          <w:rFonts w:cstheme="minorHAnsi"/>
          <w:color w:val="202122"/>
          <w:shd w:val="clear" w:color="auto" w:fill="FFFFFF"/>
        </w:rPr>
        <w:t>a</w:t>
      </w:r>
      <w:r w:rsidR="004040BD">
        <w:rPr>
          <w:rFonts w:cstheme="minorHAnsi"/>
          <w:color w:val="202122"/>
          <w:shd w:val="clear" w:color="auto" w:fill="FFFFFF"/>
        </w:rPr>
        <w:t>)</w:t>
      </w:r>
      <w:r w:rsidR="004040BD">
        <w:t>. Notable occurrences in which native species fall outside this natural range of variation include the above-mentioned mountain pine beetle in Yellowstone</w:t>
      </w:r>
      <w:r w:rsidR="00774006">
        <w:t>, Grand Teton,</w:t>
      </w:r>
      <w:r w:rsidR="004040BD">
        <w:t xml:space="preserve"> and Rocky Mountain National Parks, and white-tailed deer (</w:t>
      </w:r>
      <w:r w:rsidR="004040BD">
        <w:rPr>
          <w:i/>
          <w:iCs/>
        </w:rPr>
        <w:t>Odocoileus virginianus</w:t>
      </w:r>
      <w:r w:rsidR="004040BD">
        <w:t xml:space="preserve">) in many midwestern and eastern national parks, capable of intense foraging on vegetation and the depletion of resources on which other species depend </w:t>
      </w:r>
      <w:r w:rsidR="005078EE" w:rsidRPr="004040BD">
        <w:t>(Gibson et al. 2008</w:t>
      </w:r>
      <w:r w:rsidR="004040BD">
        <w:t xml:space="preserve">, </w:t>
      </w:r>
      <w:r w:rsidR="005078EE">
        <w:t>Miller et al. 2023</w:t>
      </w:r>
      <w:r w:rsidR="000F0E42">
        <w:t>, National Park Service 2023</w:t>
      </w:r>
      <w:r w:rsidR="005078EE">
        <w:t xml:space="preserve">). </w:t>
      </w:r>
    </w:p>
    <w:p w14:paraId="439291BE" w14:textId="284B4A7A" w:rsidR="00670218" w:rsidRDefault="00670218" w:rsidP="00A017CB">
      <w:pPr>
        <w:spacing w:after="0" w:line="480" w:lineRule="auto"/>
        <w:ind w:firstLine="720"/>
      </w:pPr>
      <w:r>
        <w:t xml:space="preserve">While there is little debate that these </w:t>
      </w:r>
      <w:r w:rsidR="004040BD">
        <w:t>hyperabundances</w:t>
      </w:r>
      <w:r>
        <w:t xml:space="preserve"> </w:t>
      </w:r>
      <w:r w:rsidR="004040BD">
        <w:t>create</w:t>
      </w:r>
      <w:r>
        <w:t xml:space="preserve"> </w:t>
      </w:r>
      <w:r w:rsidR="004040BD">
        <w:t>the</w:t>
      </w:r>
      <w:r>
        <w:t xml:space="preserve">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finding themselves confronted with such issues must make careful and informed decisions based on the best scientific information available</w:t>
      </w:r>
      <w:r>
        <w:t xml:space="preserve"> as they seek to interpret and implement the mandate to preserve resources in a natural condition. </w:t>
      </w:r>
      <w:r w:rsidR="004D0C78">
        <w:t xml:space="preserve">Hyperabundant </w:t>
      </w:r>
      <w:r w:rsidR="004D0C78">
        <w:lastRenderedPageBreak/>
        <w:t>native species are not given anywhere near the same attention as invasive species</w:t>
      </w:r>
      <w:r w:rsidR="00B94D98">
        <w:t xml:space="preserve"> </w:t>
      </w:r>
      <w:r w:rsidR="004D0C78">
        <w:t xml:space="preserve">in </w:t>
      </w:r>
      <w:r w:rsidR="00E64ABF">
        <w:t>scientific</w:t>
      </w:r>
      <w:r w:rsidR="004D0C78">
        <w:t xml:space="preserve"> literature</w:t>
      </w:r>
      <w:r w:rsidR="00B60336">
        <w:t xml:space="preserve">, and identifying these instances as they occur is challenging </w:t>
      </w:r>
      <w:r w:rsidR="00B94D98">
        <w:t>(</w:t>
      </w:r>
      <w:r w:rsidR="004D0C78">
        <w:t>Valéry et al. 2013</w:t>
      </w:r>
      <w:r w:rsidR="00B94D98">
        <w:t>)</w:t>
      </w:r>
      <w:r w:rsidR="00B60336">
        <w:t>.</w:t>
      </w:r>
      <w:r w:rsidR="00942F0B">
        <w:t xml:space="preserve"> While historical presence, abundance, or </w:t>
      </w:r>
      <w:r w:rsidR="00E64ABF">
        <w:t>range</w:t>
      </w:r>
      <w:r w:rsidR="00942F0B">
        <w:t xml:space="preserve"> of a species is useful when available, these data are often non-existent or sorely lacking (Carey et al. 2012).</w:t>
      </w:r>
    </w:p>
    <w:p w14:paraId="6E37A897" w14:textId="66084E2D" w:rsidR="00670218" w:rsidRDefault="00670218" w:rsidP="002B7623">
      <w:pPr>
        <w:spacing w:after="0" w:line="480" w:lineRule="auto"/>
        <w:ind w:firstLine="720"/>
      </w:pPr>
      <w:r>
        <w:t xml:space="preserve">With these ideas in mind, </w:t>
      </w:r>
      <w:r w:rsidR="001C7DF8">
        <w:t>my</w:t>
      </w:r>
      <w:r w:rsidR="00303024">
        <w:t xml:space="preserve"> research is focused on a population of pink salmon </w:t>
      </w:r>
      <w:r w:rsidR="00303024" w:rsidRPr="00A017CB">
        <w:rPr>
          <w:rFonts w:cstheme="minorHAnsi"/>
          <w:color w:val="202122"/>
          <w:shd w:val="clear" w:color="auto" w:fill="FFFFFF"/>
        </w:rPr>
        <w:t>(</w:t>
      </w:r>
      <w:r w:rsidR="00303024" w:rsidRPr="00A017CB">
        <w:rPr>
          <w:i/>
          <w:iCs/>
        </w:rPr>
        <w:t>Oncorhynchus</w:t>
      </w:r>
      <w:r w:rsidR="00303024" w:rsidRPr="00A017CB">
        <w:rPr>
          <w:rFonts w:cstheme="minorHAnsi"/>
          <w:i/>
          <w:iCs/>
          <w:color w:val="202122"/>
          <w:shd w:val="clear" w:color="auto" w:fill="FFFFFF"/>
        </w:rPr>
        <w:t xml:space="preserve"> gorbuscha</w:t>
      </w:r>
      <w:r w:rsidR="00303024" w:rsidRPr="00A017CB">
        <w:rPr>
          <w:rFonts w:cstheme="minorHAnsi"/>
          <w:color w:val="202122"/>
          <w:shd w:val="clear" w:color="auto" w:fill="FFFFFF"/>
        </w:rPr>
        <w:t>, Cháas’)</w:t>
      </w:r>
      <w:r w:rsidR="00303024">
        <w:rPr>
          <w:rFonts w:cstheme="minorHAnsi"/>
          <w:color w:val="202122"/>
          <w:shd w:val="clear" w:color="auto" w:fill="FFFFFF"/>
        </w:rPr>
        <w:t xml:space="preserve"> that has seen dramatic increases in population density in recent decades, and whose </w:t>
      </w:r>
      <w:r w:rsidR="00740E18">
        <w:rPr>
          <w:rFonts w:cstheme="minorHAnsi"/>
          <w:color w:val="202122"/>
          <w:shd w:val="clear" w:color="auto" w:fill="FFFFFF"/>
        </w:rPr>
        <w:t xml:space="preserve">spawning grounds </w:t>
      </w:r>
      <w:r w:rsidR="00303024">
        <w:rPr>
          <w:rFonts w:cstheme="minorHAnsi"/>
          <w:color w:val="202122"/>
          <w:shd w:val="clear" w:color="auto" w:fill="FFFFFF"/>
        </w:rPr>
        <w:t>fall</w:t>
      </w:r>
      <w:r w:rsidR="00740E18">
        <w:rPr>
          <w:rFonts w:cstheme="minorHAnsi"/>
          <w:color w:val="202122"/>
          <w:shd w:val="clear" w:color="auto" w:fill="FFFFFF"/>
        </w:rPr>
        <w:t xml:space="preserve"> largely</w:t>
      </w:r>
      <w:r w:rsidR="00303024">
        <w:rPr>
          <w:rFonts w:cstheme="minorHAnsi"/>
          <w:color w:val="202122"/>
          <w:shd w:val="clear" w:color="auto" w:fill="FFFFFF"/>
        </w:rPr>
        <w:t xml:space="preserve"> within the boundaries of a small national park in </w:t>
      </w:r>
      <w:r w:rsidR="00740E18">
        <w:rPr>
          <w:rFonts w:cstheme="minorHAnsi"/>
          <w:color w:val="202122"/>
          <w:shd w:val="clear" w:color="auto" w:fill="FFFFFF"/>
        </w:rPr>
        <w:t xml:space="preserve">Alaska’s </w:t>
      </w:r>
      <w:r w:rsidR="00740E18">
        <w:t>southeastern panhandle.</w:t>
      </w:r>
      <w:r w:rsidR="00303024">
        <w:rPr>
          <w:rFonts w:cstheme="minorHAnsi"/>
          <w:color w:val="202122"/>
          <w:shd w:val="clear" w:color="auto" w:fill="FFFFFF"/>
        </w:rPr>
        <w:t xml:space="preserve"> </w:t>
      </w:r>
      <w:r w:rsidR="00303024">
        <w:t xml:space="preserve"> </w:t>
      </w:r>
      <w:r>
        <w:t xml:space="preserve">Sitka National Historical Park (SITK) </w:t>
      </w:r>
      <w:r w:rsidR="00740E18">
        <w:t xml:space="preserve">is </w:t>
      </w:r>
      <w:r>
        <w:t xml:space="preserve">a small 112-acre coastal park located </w:t>
      </w:r>
      <w:r w:rsidR="00740E18">
        <w:t>(as the name suggests) in Sitka, Alaska</w:t>
      </w:r>
      <w:r>
        <w:t xml:space="preserve">. </w:t>
      </w:r>
      <w:r w:rsidR="00740E18">
        <w:t>Originally</w:t>
      </w:r>
      <w:r>
        <w:t xml:space="preserve"> designated a National Monument in 1910</w:t>
      </w:r>
      <w:r w:rsidR="00740E18">
        <w:t xml:space="preserve"> for the purpose of</w:t>
      </w:r>
      <w:r>
        <w:t xml:space="preserve"> conserv</w:t>
      </w:r>
      <w:r w:rsidR="00740E18">
        <w:t>ing</w:t>
      </w:r>
      <w:r>
        <w:t xml:space="preserve"> the site of an 1804 battle </w:t>
      </w:r>
      <w:r w:rsidRPr="00A017CB">
        <w:rPr>
          <w:rFonts w:cstheme="minorHAnsi"/>
          <w:color w:val="202122"/>
          <w:shd w:val="clear" w:color="auto" w:fill="FFFFFF"/>
        </w:rPr>
        <w:t>between the native Tlingit Kiks.ádi clan and Russian colonizers</w:t>
      </w:r>
      <w:r w:rsidR="00740E18">
        <w:rPr>
          <w:rFonts w:cstheme="minorHAnsi"/>
          <w:color w:val="202122"/>
          <w:shd w:val="clear" w:color="auto" w:fill="FFFFFF"/>
        </w:rPr>
        <w:t xml:space="preserve">, </w:t>
      </w:r>
      <w:r w:rsidR="00740E18">
        <w:t>today the park is managed to</w:t>
      </w:r>
      <w:r w:rsidR="00740E18" w:rsidRPr="00A017CB">
        <w:rPr>
          <w:rFonts w:cstheme="minorHAnsi"/>
          <w:color w:val="202122"/>
          <w:shd w:val="clear" w:color="auto" w:fill="FFFFFF"/>
        </w:rPr>
        <w:t xml:space="preserve"> preserve </w:t>
      </w:r>
      <w:r w:rsidR="00740E18">
        <w:rPr>
          <w:rFonts w:cstheme="minorHAnsi"/>
          <w:color w:val="202122"/>
          <w:shd w:val="clear" w:color="auto" w:fill="FFFFFF"/>
        </w:rPr>
        <w:t xml:space="preserve">not only the historical battleground, but </w:t>
      </w:r>
      <w:r w:rsidR="00740E18" w:rsidRPr="00A017CB">
        <w:rPr>
          <w:rFonts w:cstheme="minorHAnsi"/>
          <w:color w:val="202122"/>
          <w:shd w:val="clear" w:color="auto" w:fill="FFFFFF"/>
        </w:rPr>
        <w:t xml:space="preserve">the </w:t>
      </w:r>
      <w:r w:rsidR="00740E18">
        <w:t>ecosystems</w:t>
      </w:r>
      <w:r w:rsidR="00740E18" w:rsidRPr="00A017CB">
        <w:rPr>
          <w:rFonts w:cstheme="minorHAnsi"/>
          <w:color w:val="202122"/>
          <w:shd w:val="clear" w:color="auto" w:fill="FFFFFF"/>
        </w:rPr>
        <w:t xml:space="preserve"> </w:t>
      </w:r>
      <w:r w:rsidR="00740E18">
        <w:rPr>
          <w:rFonts w:cstheme="minorHAnsi"/>
          <w:color w:val="202122"/>
          <w:shd w:val="clear" w:color="auto" w:fill="FFFFFF"/>
        </w:rPr>
        <w:t xml:space="preserve">and </w:t>
      </w:r>
      <w:r w:rsidR="00740E18" w:rsidRPr="00A017CB">
        <w:rPr>
          <w:rFonts w:cstheme="minorHAnsi"/>
          <w:color w:val="202122"/>
          <w:shd w:val="clear" w:color="auto" w:fill="FFFFFF"/>
        </w:rPr>
        <w:t>natural resources present in the surrounding area</w:t>
      </w:r>
      <w:r w:rsidR="00740E18">
        <w:rPr>
          <w:rFonts w:cstheme="minorHAnsi"/>
          <w:color w:val="202122"/>
          <w:shd w:val="clear" w:color="auto" w:fill="FFFFFF"/>
        </w:rPr>
        <w:t>. These</w:t>
      </w:r>
      <w:r w:rsidR="00740E18">
        <w:t xml:space="preserve"> include mature spruce-hemlock forests and </w:t>
      </w:r>
      <w:r w:rsidR="00CF558E">
        <w:t>the</w:t>
      </w:r>
      <w:r w:rsidR="009056D1">
        <w:rPr>
          <w:rFonts w:cstheme="minorHAnsi"/>
          <w:color w:val="202122"/>
          <w:shd w:val="clear" w:color="auto" w:fill="FFFFFF"/>
        </w:rPr>
        <w:t xml:space="preserve"> </w:t>
      </w:r>
      <w:r w:rsidR="00740E18">
        <w:t>Indian River</w:t>
      </w:r>
      <w:r w:rsidR="00CF558E">
        <w:t xml:space="preserve"> (</w:t>
      </w:r>
      <w:r w:rsidR="00CF558E" w:rsidRPr="00A017CB">
        <w:rPr>
          <w:rFonts w:cstheme="minorHAnsi"/>
          <w:color w:val="202122"/>
          <w:u w:val="single"/>
          <w:shd w:val="clear" w:color="auto" w:fill="FFFFFF"/>
        </w:rPr>
        <w:t>K</w:t>
      </w:r>
      <w:r w:rsidR="00CF558E" w:rsidRPr="00A017CB">
        <w:rPr>
          <w:rFonts w:cstheme="minorHAnsi"/>
          <w:color w:val="202122"/>
          <w:shd w:val="clear" w:color="auto" w:fill="FFFFFF"/>
        </w:rPr>
        <w:t>aasda Héen</w:t>
      </w:r>
      <w:r w:rsidR="00CF558E">
        <w:t>)</w:t>
      </w:r>
      <w:r w:rsidR="00740E18">
        <w:t>, the main reach and intertidal area of which fall within park boundaries</w:t>
      </w:r>
      <w:r w:rsidRPr="00A017CB">
        <w:rPr>
          <w:rFonts w:cstheme="minorHAnsi"/>
          <w:color w:val="202122"/>
          <w:shd w:val="clear" w:color="auto" w:fill="FFFFFF"/>
        </w:rPr>
        <w:t xml:space="preserve"> </w:t>
      </w:r>
      <w:r>
        <w:t>(National Park Service 2025</w:t>
      </w:r>
      <w:r w:rsidR="00CF558E">
        <w:t>b</w:t>
      </w:r>
      <w:r>
        <w:t>)</w:t>
      </w:r>
      <w:r w:rsidRPr="00A017CB">
        <w:rPr>
          <w:rFonts w:cstheme="minorHAnsi"/>
          <w:color w:val="202122"/>
          <w:shd w:val="clear" w:color="auto" w:fill="FFFFFF"/>
        </w:rPr>
        <w:t>.</w:t>
      </w:r>
      <w:r w:rsidR="009056D1">
        <w:rPr>
          <w:rFonts w:cstheme="minorHAnsi"/>
          <w:color w:val="202122"/>
          <w:shd w:val="clear" w:color="auto" w:fill="FFFFFF"/>
        </w:rPr>
        <w:t xml:space="preserve"> </w:t>
      </w:r>
      <w:r w:rsidRPr="00A017CB">
        <w:rPr>
          <w:rFonts w:cstheme="minorHAnsi"/>
          <w:color w:val="202122"/>
          <w:shd w:val="clear" w:color="auto" w:fill="FFFFFF"/>
        </w:rPr>
        <w:t>Since time immemorial</w:t>
      </w:r>
      <w:r w:rsidR="009056D1">
        <w:rPr>
          <w:rFonts w:cstheme="minorHAnsi"/>
          <w:color w:val="202122"/>
          <w:shd w:val="clear" w:color="auto" w:fill="FFFFFF"/>
        </w:rPr>
        <w:t xml:space="preserve">, </w:t>
      </w:r>
      <w:r w:rsidRPr="00A017CB">
        <w:rPr>
          <w:rFonts w:cstheme="minorHAnsi"/>
          <w:color w:val="202122"/>
          <w:shd w:val="clear" w:color="auto" w:fill="FFFFFF"/>
        </w:rPr>
        <w:t>the Indian River has been the location of a fishing camp and harvesting site for the Kiks.ádi clan, and particularly valued for its close proximity to the clan’s winter villages, as well as for hosting runs of a variety of Pacific salmon species, including chum (</w:t>
      </w:r>
      <w:r w:rsidR="00303024" w:rsidRPr="00A017CB">
        <w:rPr>
          <w:i/>
          <w:iCs/>
        </w:rPr>
        <w:t>O</w:t>
      </w:r>
      <w:r w:rsidR="00303024">
        <w:rPr>
          <w:i/>
          <w:iCs/>
        </w:rPr>
        <w:t>.</w:t>
      </w:r>
      <w:r w:rsidR="00303024" w:rsidRPr="00A017CB">
        <w:rPr>
          <w:i/>
          <w:iCs/>
        </w:rPr>
        <w:t xml:space="preserve"> </w:t>
      </w:r>
      <w:r w:rsidRPr="00A017CB">
        <w:rPr>
          <w:i/>
          <w:iCs/>
        </w:rPr>
        <w:t>keta, T</w:t>
      </w:r>
      <w:r w:rsidRPr="00EB397D">
        <w:t>éel</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L’ook), Chinook (</w:t>
      </w:r>
      <w:r w:rsidRPr="00A017CB">
        <w:rPr>
          <w:rFonts w:cstheme="minorHAnsi"/>
          <w:i/>
          <w:iCs/>
          <w:color w:val="202122"/>
          <w:shd w:val="clear" w:color="auto" w:fill="FFFFFF"/>
        </w:rPr>
        <w:t>O. tshawytscha</w:t>
      </w:r>
      <w:r w:rsidRPr="00A017CB">
        <w:rPr>
          <w:rFonts w:cstheme="minorHAnsi"/>
          <w:color w:val="202122"/>
          <w:shd w:val="clear" w:color="auto" w:fill="FFFFFF"/>
        </w:rPr>
        <w:t>, T’á), and pink salmon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w:t>
      </w:r>
      <w:r w:rsidR="009056D1">
        <w:rPr>
          <w:rFonts w:cstheme="minorHAnsi"/>
          <w:color w:val="202122"/>
          <w:shd w:val="clear" w:color="auto" w:fill="FFFFFF"/>
        </w:rPr>
        <w:t>After</w:t>
      </w:r>
      <w:r w:rsidR="009056D1" w:rsidRPr="00A017CB">
        <w:rPr>
          <w:rFonts w:cstheme="minorHAnsi"/>
          <w:color w:val="202122"/>
          <w:shd w:val="clear" w:color="auto" w:fill="FFFFFF"/>
        </w:rPr>
        <w:t xml:space="preserve"> </w:t>
      </w:r>
      <w:r w:rsidRPr="00A017CB">
        <w:rPr>
          <w:rFonts w:cstheme="minorHAnsi"/>
          <w:color w:val="202122"/>
          <w:shd w:val="clear" w:color="auto" w:fill="FFFFFF"/>
        </w:rPr>
        <w:t>hatch</w:t>
      </w:r>
      <w:r w:rsidR="009056D1">
        <w:rPr>
          <w:rFonts w:cstheme="minorHAnsi"/>
          <w:color w:val="202122"/>
          <w:shd w:val="clear" w:color="auto" w:fill="FFFFFF"/>
        </w:rPr>
        <w:t>ing</w:t>
      </w:r>
      <w:r w:rsidRPr="00A017CB">
        <w:rPr>
          <w:rFonts w:cstheme="minorHAnsi"/>
          <w:color w:val="202122"/>
          <w:shd w:val="clear" w:color="auto" w:fill="FFFFFF"/>
        </w:rPr>
        <w:t xml:space="preserve"> in the winter</w:t>
      </w:r>
      <w:r w:rsidR="009056D1">
        <w:rPr>
          <w:rFonts w:cstheme="minorHAnsi"/>
          <w:color w:val="202122"/>
          <w:shd w:val="clear" w:color="auto" w:fill="FFFFFF"/>
        </w:rPr>
        <w:t>,</w:t>
      </w:r>
      <w:r w:rsidRPr="00A017CB">
        <w:rPr>
          <w:rFonts w:cstheme="minorHAnsi"/>
          <w:color w:val="202122"/>
          <w:shd w:val="clear" w:color="auto" w:fill="FFFFFF"/>
        </w:rPr>
        <w:t xml:space="preserve"> </w:t>
      </w:r>
      <w:r>
        <w:t>juvenile</w:t>
      </w:r>
      <w:r w:rsidR="009056D1">
        <w:t xml:space="preserve"> pink salmon</w:t>
      </w:r>
      <w:r>
        <w:t xml:space="preserve"> immediately </w:t>
      </w:r>
      <w:r w:rsidRPr="00CD14B8">
        <w:t>enter the ocean</w:t>
      </w:r>
      <w:r w:rsidR="008D1BFB">
        <w:t xml:space="preserve"> in spring</w:t>
      </w:r>
      <w:r w:rsidRPr="00CD14B8">
        <w:t xml:space="preserve">, </w:t>
      </w:r>
      <w:r w:rsidR="008D1BFB">
        <w:t>making no use of freshwater as rearing habitat. A</w:t>
      </w:r>
      <w:r>
        <w:t xml:space="preserve">ll members of </w:t>
      </w:r>
      <w:r w:rsidR="008D1BFB">
        <w:t xml:space="preserve">the brood then </w:t>
      </w:r>
      <w:r w:rsidRPr="00CD14B8">
        <w:t>return to spawn</w:t>
      </w:r>
      <w:r>
        <w:t xml:space="preserve"> </w:t>
      </w:r>
      <w:r w:rsidR="004A1DBD">
        <w:t xml:space="preserve">in autumn of </w:t>
      </w:r>
      <w:r>
        <w:t xml:space="preserve">the following </w:t>
      </w:r>
      <w:r w:rsidR="004A1DBD">
        <w:t>year</w:t>
      </w:r>
      <w:r>
        <w:t xml:space="preserve"> at two years of age</w:t>
      </w:r>
      <w:r w:rsidRPr="00CD14B8">
        <w:t xml:space="preserve">. This leads to two </w:t>
      </w:r>
      <w:r w:rsidRPr="00CD14B8">
        <w:lastRenderedPageBreak/>
        <w:t xml:space="preserve">genetically distinct runs </w:t>
      </w:r>
      <w:r>
        <w:t xml:space="preserve">of salmon inhabiting the same stream </w:t>
      </w:r>
      <w:r w:rsidRPr="00CD14B8">
        <w:t>in even numbered and odd numbered years</w:t>
      </w:r>
      <w:r w:rsidR="008D1BFB">
        <w:t xml:space="preserve"> (Quinn 2018)</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p>
    <w:p w14:paraId="39D66C9E" w14:textId="1B89A0C0" w:rsidR="004B0CE8" w:rsidRDefault="00670218" w:rsidP="002B7623">
      <w:pPr>
        <w:spacing w:after="0" w:line="480" w:lineRule="auto"/>
        <w:ind w:firstLine="72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 xml:space="preserve">regularly exceeding 100,000 fish annually (Stopha 2015). High abundances of salmon are concerning to park managers because, particularly when occurring at the same time as low in-stream flows, </w:t>
      </w:r>
      <w:r w:rsidR="004B0CE8">
        <w:t>these</w:t>
      </w:r>
      <w:r>
        <w:t xml:space="preserve"> densities can impact the Indian River’s ability to sustain other resident fish species by crashing in-stream dissolved oxygen concentrations</w:t>
      </w:r>
      <w:r w:rsidR="004B0CE8">
        <w:t>, both through the direct consumption of oxygen while alive and through the respiration of decomposing microbes following their death</w:t>
      </w:r>
      <w:r>
        <w:t xml:space="preserve"> (Sergeant et al. 2023). </w:t>
      </w:r>
      <w:r w:rsidR="009461CF">
        <w:t xml:space="preserve">In stream systems free of hatchery influence, there are natural regulators (density dependence) that bring the population back into balance when the number of returning spawners exceeds a stream’s carrying capacity. For example, at very high densities, females arriving later in a spawning season dig up nests (redds) made by early arriving females, so the stream has a natural limit to production (McNeil 1964). Hypoxia events are also not limited to stream systems in which natural abundances are supplemented by hatchery strays. High salmon densities are a naturally occurring phenomenon across the Pacific Rim, and incidences of high densities leading to low egg to fry survival and reduced recruitment or contributing to depleted in stream oxygen levels have been recorded throughout southeast Alaska. In such an instance, females may die before </w:t>
      </w:r>
      <w:r w:rsidR="009461CF">
        <w:lastRenderedPageBreak/>
        <w:t>spawning due to lowered oxygen levels (Sergeant et al. 2017, Tillotson and Quinn 2017). In either of these scenarios, the numbers of spawners returning in subsequent years would be constrained. These constraints weaken with the introduction of straying fish from hatcheries, and the question becomes whether these natural processes and resulting swings in salmon abundance, are exaggerated by strays from nearby hatcheries to the point where the stream ecosystem is disturbed.</w:t>
      </w:r>
    </w:p>
    <w:p w14:paraId="012C3E04" w14:textId="4B4249E4" w:rsidR="00670218" w:rsidRDefault="00670218" w:rsidP="002B7623">
      <w:pPr>
        <w:spacing w:after="0" w:line="480" w:lineRule="auto"/>
        <w:ind w:firstLine="72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(Stopha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This water is 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lastRenderedPageBreak/>
        <w:t xml:space="preserve">pink salmon at </w:t>
      </w:r>
      <w:r>
        <w:t xml:space="preserve">the Indian River (even years) and </w:t>
      </w:r>
      <w:r w:rsidRPr="00CD14B8">
        <w:t>nearby Starrigavan Creek</w:t>
      </w:r>
      <w:r>
        <w:t xml:space="preserve"> (odd years) (Stopha 2</w:t>
      </w:r>
      <w:r w:rsidR="0087408B">
        <w:t>01</w:t>
      </w:r>
      <w:r>
        <w:t>5).</w:t>
      </w:r>
    </w:p>
    <w:p w14:paraId="7031FFF3" w14:textId="3E7ECE4D" w:rsidR="00B66BBC" w:rsidRDefault="00670218" w:rsidP="00AE794B">
      <w:pPr>
        <w:spacing w:after="0" w:line="480" w:lineRule="auto"/>
        <w:ind w:firstLine="72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(Figure </w:t>
      </w:r>
      <w:r w:rsidR="00A368FA">
        <w:t>1</w:t>
      </w:r>
      <w:r w:rsidR="00F8072F">
        <w:t>)</w:t>
      </w:r>
      <w:r>
        <w:t>.</w:t>
      </w:r>
      <w:r w:rsidR="00A60972">
        <w:t xml:space="preserve"> While</w:t>
      </w:r>
      <w:r w:rsidR="006F23FA">
        <w:t xml:space="preserve"> </w:t>
      </w:r>
      <w:r w:rsidR="00A60972">
        <w:t xml:space="preserve">it has been shown that </w:t>
      </w:r>
      <w:r w:rsidR="006F23FA">
        <w:t xml:space="preserve">both the </w:t>
      </w:r>
      <w:r w:rsidR="00A60972">
        <w:t>purposeful</w:t>
      </w:r>
      <w:r w:rsidR="006F23FA">
        <w:t xml:space="preserve"> and incidental</w:t>
      </w:r>
      <w:r w:rsidR="00A60972">
        <w:t xml:space="preserve"> introduction of hatchery salmon into streams with native populations can contribute to increased abundances (</w:t>
      </w:r>
      <w:r w:rsidR="00267F5F">
        <w:t xml:space="preserve">Anderson et al. 2014, </w:t>
      </w:r>
      <w:r w:rsidR="006F23FA">
        <w:t>McMillan et al. 2023</w:t>
      </w:r>
      <w:r w:rsidR="009F55A2">
        <w:t>, May et al. 2024</w:t>
      </w:r>
      <w:r w:rsidR="00A60972">
        <w:t>).</w:t>
      </w:r>
      <w:r>
        <w:t xml:space="preserve"> </w:t>
      </w:r>
    </w:p>
    <w:p w14:paraId="3F008B98" w14:textId="7996365C" w:rsidR="00670218" w:rsidRDefault="00670218" w:rsidP="002B7623">
      <w:pPr>
        <w:spacing w:after="0" w:line="480" w:lineRule="auto"/>
        <w:ind w:firstLine="720"/>
      </w:pPr>
      <w:r>
        <w:t xml:space="preserve">Hatchery-origin fish at Indian River can be distinguished from natural-origin fish because all pink salmon released by </w:t>
      </w:r>
      <w:r w:rsidR="00660262">
        <w:t>SJH</w:t>
      </w:r>
      <w:r>
        <w:t xml:space="preserve"> are subject to otolith marking (Stopha 2015, Alaska Department of Fish and Game 2024b).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5048462B" w14:textId="77777777" w:rsidR="00AE794B" w:rsidRDefault="00AE794B" w:rsidP="002B7623">
      <w:pPr>
        <w:spacing w:after="0" w:line="480" w:lineRule="auto"/>
        <w:ind w:firstLine="720"/>
      </w:pPr>
    </w:p>
    <w:p w14:paraId="0EBAD861" w14:textId="77777777" w:rsidR="00AE794B" w:rsidRDefault="00AE794B" w:rsidP="00AE794B">
      <w:pPr>
        <w:pStyle w:val="ListParagraph"/>
        <w:spacing w:after="0" w:line="240" w:lineRule="auto"/>
        <w:ind w:left="-720"/>
        <w:jc w:val="center"/>
        <w:rPr>
          <w:i/>
          <w:iCs/>
          <w:sz w:val="20"/>
          <w:szCs w:val="20"/>
        </w:rPr>
      </w:pPr>
      <w:r>
        <w:rPr>
          <w:noProof/>
        </w:rPr>
        <w:lastRenderedPageBreak/>
        <w:drawing>
          <wp:inline distT="0" distB="0" distL="0" distR="0" wp14:anchorId="463B0B88" wp14:editId="6236317A">
            <wp:extent cx="6629400" cy="4987632"/>
            <wp:effectExtent l="0" t="0" r="0" b="3810"/>
            <wp:docPr id="1904644809" name="Picture 1904644809"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73013" cy="5020444"/>
                    </a:xfrm>
                    <a:prstGeom prst="rect">
                      <a:avLst/>
                    </a:prstGeom>
                  </pic:spPr>
                </pic:pic>
              </a:graphicData>
            </a:graphic>
          </wp:inline>
        </w:drawing>
      </w:r>
    </w:p>
    <w:p w14:paraId="310BBCF5" w14:textId="77777777" w:rsidR="00AE794B" w:rsidRDefault="00AE794B" w:rsidP="00AE794B">
      <w:pPr>
        <w:spacing w:after="0" w:line="240" w:lineRule="auto"/>
        <w:rPr>
          <w:i/>
          <w:iCs/>
          <w:sz w:val="20"/>
          <w:szCs w:val="20"/>
        </w:rPr>
      </w:pPr>
    </w:p>
    <w:p w14:paraId="2A5CD3EE" w14:textId="77777777" w:rsidR="00AE794B" w:rsidRDefault="00AE794B" w:rsidP="00AE794B">
      <w:pPr>
        <w:spacing w:after="0" w:line="240" w:lineRule="auto"/>
        <w:rPr>
          <w:i/>
          <w:iCs/>
          <w:sz w:val="20"/>
          <w:szCs w:val="20"/>
        </w:rPr>
      </w:pPr>
      <w:r w:rsidRPr="00D368CD">
        <w:rPr>
          <w:i/>
          <w:iCs/>
          <w:sz w:val="20"/>
          <w:szCs w:val="20"/>
        </w:rPr>
        <w:t xml:space="preserve">Figure </w:t>
      </w:r>
      <w:r>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r>
        <w:rPr>
          <w:i/>
          <w:iCs/>
          <w:sz w:val="20"/>
          <w:szCs w:val="20"/>
        </w:rPr>
        <w:t xml:space="preserve"> Credit: National Park Service, modified to include river mouth and hatchery location.</w:t>
      </w:r>
    </w:p>
    <w:p w14:paraId="3DF8D6EC" w14:textId="77777777" w:rsidR="00AE794B" w:rsidRDefault="00AE794B" w:rsidP="00AE794B">
      <w:pPr>
        <w:spacing w:after="0" w:line="480" w:lineRule="auto"/>
      </w:pPr>
    </w:p>
    <w:p w14:paraId="7CF7FB77" w14:textId="519E38E0" w:rsidR="007F5330" w:rsidRDefault="00A368FA" w:rsidP="002B7623">
      <w:pPr>
        <w:spacing w:after="0" w:line="480" w:lineRule="auto"/>
        <w:ind w:firstLine="72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streams’ throughout southeast </w:t>
      </w:r>
      <w:r>
        <w:lastRenderedPageBreak/>
        <w:t xml:space="preserve">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w:t>
      </w:r>
      <w:r w:rsidR="007F5330">
        <w:t xml:space="preserve">Between 1960 and 2023, pink salmon escapement has increased throughout what ADFG designates as the ‘Northern Southeast (Outside)’ region (in which the Indian River is located). The agency has recorded peak pink salmon escapement annually at 35 index streams in this region, as well as at Indian River, albeit with gaps in the time series. Along with other streams in the region, Indian River has seen an increase in peak escapement over the period of observation (Figure 2). </w:t>
      </w:r>
    </w:p>
    <w:p w14:paraId="281715CF" w14:textId="13164FCD" w:rsidR="00BA3C27" w:rsidRDefault="00BD7B83" w:rsidP="002D76A3">
      <w:pPr>
        <w:spacing w:after="0" w:line="480" w:lineRule="auto"/>
      </w:pPr>
      <w:r>
        <w:tab/>
      </w:r>
      <w:r w:rsidR="00660262">
        <w:t>My research seeks to assess whether the abundances of pink salmon observed in recent decades at Indian River exist within a natural range of variation relative to pink salmon streams</w:t>
      </w:r>
    </w:p>
    <w:p w14:paraId="0DA0A523" w14:textId="77777777" w:rsidR="00BA3C27" w:rsidRDefault="00BA3C27" w:rsidP="00970BA1">
      <w:pPr>
        <w:pStyle w:val="ListParagraph"/>
        <w:spacing w:after="0" w:line="240" w:lineRule="auto"/>
        <w:ind w:left="0"/>
        <w:jc w:val="center"/>
        <w:rPr>
          <w:i/>
          <w:iCs/>
          <w:sz w:val="20"/>
          <w:szCs w:val="20"/>
        </w:rPr>
      </w:pPr>
      <w:r>
        <w:rPr>
          <w:i/>
          <w:iCs/>
          <w:noProof/>
          <w:sz w:val="20"/>
          <w:szCs w:val="20"/>
        </w:rPr>
        <w:drawing>
          <wp:inline distT="0" distB="0" distL="0" distR="0" wp14:anchorId="36301453" wp14:editId="77D4CA07">
            <wp:extent cx="5939555" cy="2729172"/>
            <wp:effectExtent l="0" t="0" r="4445" b="1905"/>
            <wp:docPr id="1568515327"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6764" cy="2792218"/>
                    </a:xfrm>
                    <a:prstGeom prst="rect">
                      <a:avLst/>
                    </a:prstGeom>
                    <a:noFill/>
                    <a:ln>
                      <a:noFill/>
                    </a:ln>
                  </pic:spPr>
                </pic:pic>
              </a:graphicData>
            </a:graphic>
          </wp:inline>
        </w:drawing>
      </w:r>
    </w:p>
    <w:p w14:paraId="66EBF03A" w14:textId="77777777" w:rsidR="00BA3C27" w:rsidRDefault="00BA3C27" w:rsidP="00BA3C27">
      <w:pPr>
        <w:spacing w:after="0" w:line="240" w:lineRule="auto"/>
        <w:rPr>
          <w:i/>
          <w:iCs/>
          <w:sz w:val="20"/>
          <w:szCs w:val="20"/>
        </w:rPr>
      </w:pPr>
    </w:p>
    <w:p w14:paraId="0353D486" w14:textId="046BC9F9" w:rsidR="00BA3C27" w:rsidRDefault="00BA3C27" w:rsidP="00BA3C27">
      <w:pPr>
        <w:spacing w:after="0" w:line="240" w:lineRule="auto"/>
      </w:pPr>
      <w:r w:rsidRPr="00BC3116">
        <w:rPr>
          <w:i/>
          <w:iCs/>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1B5D5A90" w14:textId="77777777" w:rsidR="00BA3C27" w:rsidRDefault="00BA3C27" w:rsidP="002D76A3">
      <w:pPr>
        <w:spacing w:after="0" w:line="480" w:lineRule="auto"/>
      </w:pPr>
    </w:p>
    <w:p w14:paraId="154C8AD9" w14:textId="32745507" w:rsidR="00B42955" w:rsidRPr="00B42955" w:rsidRDefault="00BD7B83" w:rsidP="00660262">
      <w:pPr>
        <w:spacing w:after="0" w:line="480" w:lineRule="auto"/>
      </w:pPr>
      <w:r>
        <w:lastRenderedPageBreak/>
        <w:t>elsewhere in the region, and to evaluate if and to what extent Sheldon Jackson Hatchery operations have driven the increased abundances observed since 1980. 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separate. If the commencement (or 2010 expansion) of hatchery operations has significantly increased pink salmon population densities at Indian River, then this effect could be observed by specifying a model of hatchery operations which controls for both the effect of time period (pre- and post-commencement of operations) and the effect of treatment (considering Indian River the treated group). Finally, the impact of hatchery releases on Indian River abundances may be evaluated by specifying a model which allows for both peak escapement and hatchery releases in the previous brood year to influence the number of pink salmon returning to Indian River to 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r w:rsidR="00B42955">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31C0E635" w14:textId="4E13CDFC" w:rsidR="00670218" w:rsidRDefault="00670218" w:rsidP="00A017CB">
      <w:pPr>
        <w:spacing w:after="0" w:line="480" w:lineRule="auto"/>
      </w:pPr>
      <w:r>
        <w:t xml:space="preserve">ADFG conducts annual aerial surveys of approximately 700 streams in southeast Alaska to monitor pink salmon escapement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r w:rsidR="007C46E2">
        <w:t>In addition to these aerial surveys, SJH files annual reports with ADFG</w:t>
      </w:r>
      <w:r w:rsidR="007C46E2" w:rsidRPr="007C46E2">
        <w:t xml:space="preserve"> </w:t>
      </w:r>
      <w:r w:rsidR="007C46E2">
        <w:t>which include</w:t>
      </w:r>
      <w:r w:rsidR="007C46E2" w:rsidRPr="007C46E2">
        <w:t xml:space="preserve">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7C003B">
        <w:t xml:space="preserve"> (L. Wilson, ADFG, personal communication, July 9, 2025)</w:t>
      </w:r>
      <w:r w:rsidR="007C46E2" w:rsidRPr="007C46E2">
        <w:t>.</w:t>
      </w:r>
    </w:p>
    <w:p w14:paraId="6730D5E4" w14:textId="618EA4A8" w:rsidR="004A1DBD" w:rsidRDefault="003542B1" w:rsidP="002B7623">
      <w:pPr>
        <w:spacing w:after="0" w:line="480" w:lineRule="auto"/>
        <w:ind w:firstLine="720"/>
      </w:pPr>
      <w:r>
        <w:t>Due to their life history</w:t>
      </w:r>
      <w:r w:rsidR="00B96F76">
        <w:t xml:space="preserve"> of immediately migrating into the ocean as juveniles</w:t>
      </w:r>
      <w:r>
        <w:t xml:space="preserve">, </w:t>
      </w:r>
      <w:r w:rsidR="008D1BFB">
        <w:t xml:space="preserve">the </w:t>
      </w:r>
      <w:r w:rsidR="00B96F76">
        <w:t>marine environment</w:t>
      </w:r>
      <w:r w:rsidR="008D1BFB">
        <w:t xml:space="preserve"> </w:t>
      </w:r>
      <w:r>
        <w:t xml:space="preserve">is </w:t>
      </w:r>
      <w:r w:rsidR="008D1BFB">
        <w:t xml:space="preserve">critical rearing habitat </w:t>
      </w:r>
      <w:r>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go a long </w:t>
      </w:r>
      <w:r w:rsidR="000A0753">
        <w:lastRenderedPageBreak/>
        <w:t>way towards explaining year-to-year variations in returning adults. The Pacific Decadal Oscillation, a recurring pattern of Northen Pacific sea surface temperature, has been shown to be robustly correlated with salmon production regimes off the coast of Alaska</w:t>
      </w:r>
      <w:r w:rsidR="00F26C13">
        <w:t xml:space="preserve"> (Mantua et al. 1997). As such, </w:t>
      </w:r>
      <w:r w:rsidR="001E64A8">
        <w:t>we</w:t>
      </w:r>
      <w:r w:rsidR="00F26C13">
        <w:t xml:space="preserve"> leverage data on ocean climate in the form of PDO as recorded by the US National Oceanic and Atmospheric Administration (NOAA).  </w:t>
      </w:r>
    </w:p>
    <w:p w14:paraId="4E0CE35B" w14:textId="1E19B084" w:rsidR="00F26C13" w:rsidRDefault="004327DF" w:rsidP="002B7623">
      <w:pPr>
        <w:spacing w:after="0" w:line="480" w:lineRule="auto"/>
        <w:ind w:firstLine="720"/>
      </w:pPr>
      <w:r>
        <w:t xml:space="preserve">Survey data used in this study covers the period from 1960 to 2023. </w:t>
      </w:r>
      <w:r w:rsidR="00670218">
        <w:t>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w:t>
      </w:r>
      <w:r w:rsidR="00097C72">
        <w:t>3</w:t>
      </w:r>
      <w:r w:rsidR="00670218">
        <w:t xml:space="preserve"> (n = </w:t>
      </w:r>
      <w:r w:rsidR="00097C72">
        <w:t>54</w:t>
      </w:r>
      <w:r w:rsidR="00670218">
        <w:t xml:space="preserve"> annual observations). </w:t>
      </w:r>
      <w:r w:rsidR="007C46E2">
        <w:t>Annual reports from Sheldon Jackson Hatchery</w:t>
      </w:r>
      <w:r w:rsidR="00223722">
        <w:t xml:space="preserve"> are available from 1975 onwards, commensurate with the </w:t>
      </w:r>
      <w:r w:rsidR="0087213E">
        <w:t xml:space="preserve">establishment of the </w:t>
      </w:r>
      <w:r w:rsidR="00223722">
        <w:t>hatchery.</w:t>
      </w:r>
      <w:r w:rsidR="00F26C13">
        <w:t xml:space="preserve"> </w:t>
      </w:r>
      <w:r w:rsidR="00321B88">
        <w:t>NOAA PDO data included in this research likewise covers the period from 1960 to 2023.</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w:t>
      </w:r>
      <w:r w:rsidR="005F6F08">
        <w:lastRenderedPageBreak/>
        <w:t xml:space="preserve">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420B09AA" w:rsidR="002657D1" w:rsidRDefault="005C4DB8" w:rsidP="00C64BF8">
      <w:pPr>
        <w:spacing w:after="0" w:line="480" w:lineRule="auto"/>
      </w:pPr>
      <w:r>
        <w:t>In the above, observed data in a given time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represents,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r w:rsidR="001E64A8">
        <w:t xml:space="preserve">The vector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lastRenderedPageBreak/>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3BBA6C52"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5941E5">
        <w:t>I</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w:t>
      </w:r>
      <w:r w:rsidR="00EF0488">
        <w:lastRenderedPageBreak/>
        <w:t xml:space="preserve">comparison of how well each model fits the abundance data will either lend support to or undermine the notion that Indian River pink salmon abundances significantly differ from those observed elsewhere in the region throughout the study period. </w:t>
      </w:r>
      <w:r w:rsidR="004D0A93">
        <w:t xml:space="preserve">Data are standardized at the stream level so that streams of varying available pink salmon habitat may be directly compared. </w:t>
      </w:r>
      <w:r w:rsidR="00670218">
        <w:t xml:space="preserve">No </w:t>
      </w:r>
      <w:r w:rsidR="00391B74">
        <w:t xml:space="preserve">offset 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7343EC17"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I</w:t>
      </w:r>
      <w:r w:rsidR="003C6E79">
        <w:t xml:space="preserve"> </w:t>
      </w:r>
      <w:r w:rsidR="009B64EB">
        <w:t xml:space="preserve">am able to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305813F6" w:rsidR="006E6B42" w:rsidRDefault="006E6B42" w:rsidP="006E6B42">
      <w:pPr>
        <w:spacing w:after="0" w:line="480" w:lineRule="auto"/>
      </w:pPr>
      <w:r>
        <w:tab/>
        <w:t xml:space="preserve">The above description of an approach comparing a one-state model to a two-state model as a means of determining whether pink salmon abundances at Indian River </w:t>
      </w:r>
      <w:r w:rsidR="002D3085">
        <w:t xml:space="preserve">differ </w:t>
      </w:r>
      <w:r>
        <w:t>substantially from those observed elsewhere in the reason is made additionally complicated by the life history of pink salmon leading to the existence of genetically distinct populations in the same stream in even- and odd-year runs. This means that</w:t>
      </w:r>
      <w:r w:rsidR="002D3085">
        <w:t xml:space="preserve"> four models must be fit</w:t>
      </w:r>
      <w:r>
        <w:t xml:space="preserve"> </w:t>
      </w:r>
      <w:r w:rsidR="00693FA0">
        <w:t>to</w:t>
      </w:r>
      <w:r>
        <w:t xml:space="preserve"> evaluate whether abundances at Indian River are exhibiting behaviors atypical of an equivalent pink salmon stream in the region. The first is the equivalent of the abstract two-state model, where for each run (even and odd) the underlying state process of pink salmon at Indian River is </w:t>
      </w:r>
      <w:r>
        <w:lastRenderedPageBreak/>
        <w:t xml:space="preserve">estimated separately from the underlying state of the wider region, meaning the model estimates four state processes total. Next, the equivalent of the abstract one-state model is specified such that, for each run, all 35 index streams and Indian River are treated as representative of one underlying state, leading to the model estimating two state processes total. There </w:t>
      </w:r>
      <w:r w:rsidR="006002FE">
        <w:t>are</w:t>
      </w:r>
      <w:r>
        <w:t xml:space="preserve"> two other important cases to consider</w:t>
      </w:r>
      <w:r w:rsidR="00115D83">
        <w:t xml:space="preserve">: It is possible that, </w:t>
      </w:r>
      <w:r>
        <w:t>due to some variation in the underlying genetics of each run, odd-year runs at Indian River exhibit substantial variation in annual abundance from those of streams in the wider region, while even-runs at Indian River generally fall within the region’s natural range of variation, or vice versa</w:t>
      </w:r>
      <w:r w:rsidR="00115D83">
        <w:t>.</w:t>
      </w:r>
      <w:r>
        <w:t xml:space="preserve"> To evaluate these cases, two three-state models are specified, in which Indian River abundance is estimated separately for one run, while the other is included as part of the regional underlying state. Evaluation of model fit using AICc then determines which of these model structures most closely fits the observed data.</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77777777" w:rsidR="00060EB8" w:rsidRDefault="00060EB8" w:rsidP="00060EB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w:t>
      </w:r>
      <w:r>
        <w:lastRenderedPageBreak/>
        <w:t xml:space="preserve">periods of SJH production: pre-1975 with no hatchery operations, 1975-2009 with low level operations, and post-2010 with high level operations (Stopha 2015). </w:t>
      </w:r>
    </w:p>
    <w:p w14:paraId="7F89A2B1" w14:textId="3ED4F459" w:rsidR="00060EB8" w:rsidRDefault="0063158E" w:rsidP="00BA6468">
      <w:pPr>
        <w:spacing w:after="0" w:line="480" w:lineRule="auto"/>
        <w:ind w:firstLine="720"/>
      </w:pPr>
      <w:r>
        <w:t>In order</w:t>
      </w:r>
      <w:r w:rsidR="00060EB8">
        <w:t xml:space="preserve"> to take advantage of these distinct time periods </w:t>
      </w:r>
      <w:r>
        <w:t>I</w:t>
      </w:r>
      <w:r w:rsidR="00060EB8">
        <w:t xml:space="preserve"> utiliz</w:t>
      </w:r>
      <w:r>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an anthropogenic interventions</w:t>
      </w:r>
      <w:r w:rsidR="0096153E">
        <w:t xml:space="preserve"> on wild salmonid populations</w:t>
      </w:r>
      <w:r w:rsidR="00AC48BB">
        <w:t xml:space="preserve"> (</w:t>
      </w:r>
      <w:r w:rsidR="00734A33">
        <w:t xml:space="preserve">Levin and Tolimieri 2001, </w:t>
      </w:r>
      <w:r w:rsidR="00AC48BB">
        <w:t>Berejikian et al. 2025</w:t>
      </w:r>
      <w:r w:rsidR="00C02ADB">
        <w:t>, Pearsons and Hillman 2025</w:t>
      </w:r>
      <w:r w:rsidR="00AC48BB">
        <w:t>)</w:t>
      </w:r>
      <w:r w:rsidR="00060EB8">
        <w:t>. DD modeling compares a treatment group to a control group across two time periods, pre- and post- intervention. The general structure of a difference-in-difference model is as follows:</w:t>
      </w:r>
    </w:p>
    <w:p w14:paraId="5E336599" w14:textId="77777777" w:rsidR="00060EB8" w:rsidRDefault="00060EB8" w:rsidP="00060EB8">
      <w:pPr>
        <w:spacing w:after="0" w:line="480" w:lineRule="auto"/>
        <w:jc w:val="cente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treatment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74CD7DD0" w14:textId="77777777" w:rsidR="00060EB8" w:rsidRDefault="00060EB8" w:rsidP="00060EB8">
      <w:pPr>
        <w:spacing w:after="0" w:line="480" w:lineRule="auto"/>
      </w:pPr>
      <w:r>
        <w:t xml:space="preserve">In the above, </w:t>
      </w:r>
      <w:r w:rsidRPr="00C64BF8">
        <w:rPr>
          <w:rFonts w:ascii="MathJax_Math-italic" w:eastAsia="Times New Roman" w:hAnsi="MathJax_Math-italic" w:cs="Times New Roman"/>
          <w:kern w:val="0"/>
          <w:sz w:val="26"/>
          <w:szCs w:val="26"/>
          <w:bdr w:val="none" w:sz="0" w:space="0" w:color="auto" w:frame="1"/>
          <w14:ligatures w14:val="none"/>
        </w:rPr>
        <w:t>i</w:t>
      </w:r>
      <w:r>
        <w:t xml:space="preserve"> indexes whether an observation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part of the treatment group and equal to 0 otherwise. Similarly,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after treatment is applied, and equal to 0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w:t>
      </w:r>
      <w:r>
        <w:lastRenderedPageBreak/>
        <w:t>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studies which evaluate whether trends in control and treatment groups are mathematically similar in the pre-treatment period (Cunningham 2021).</w:t>
      </w:r>
    </w:p>
    <w:p w14:paraId="33A15FE7" w14:textId="15F330AB" w:rsidR="00651658" w:rsidRDefault="00651658" w:rsidP="00970BA1">
      <w:pPr>
        <w:spacing w:after="0" w:line="480" w:lineRule="auto"/>
        <w:ind w:firstLine="360"/>
      </w:pPr>
      <w:r>
        <w:t xml:space="preserve">I applied a DD framework to this research by assigning observations of pink salmon abundances at Indian River as a treatment group and observations at ADFG’s other </w:t>
      </w:r>
      <w:r w:rsidRPr="003C6E79">
        <w:rPr>
          <w:i/>
          <w:iCs/>
        </w:rPr>
        <w:t>north southeast (outside)</w:t>
      </w:r>
      <w:r>
        <w:t xml:space="preserve"> index streams as a control group. Pre- and post-1980 </w:t>
      </w:r>
      <w:r w:rsidR="00726626">
        <w:t>were</w:t>
      </w:r>
      <w:r>
        <w:t xml:space="preserve"> evaluated to indicate the treatment period (allowing a couple of years for hatchery operations to ramp up). A statistically significant estimate of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A separate specification of the DD model will include an indicator variable related to periods pre- and post-2010, to assess the impact of heightened pink salmon production. As with the MARSS models of regional abundance, covariate data relating to observers and ocean climate are included in model specifications, with model fit evaluated using AIC. The best fit models are then evaluated to ensure that treatment and control groups are mathematically similar during the pre-treatment period (if these groups significantly differ, a synthetic control group may be constructed using a weighted average of untreated streams to match the Indian River’s pre-treatment trend).</w:t>
      </w:r>
    </w:p>
    <w:p w14:paraId="5A918DB5" w14:textId="6C2BBE32" w:rsidR="002A4213" w:rsidRDefault="00060EB8" w:rsidP="002B7623">
      <w:pPr>
        <w:spacing w:after="0" w:line="480" w:lineRule="auto"/>
        <w:ind w:firstLine="720"/>
      </w:pPr>
      <w:r>
        <w:lastRenderedPageBreak/>
        <w:t xml:space="preserve">To ensure that the parallel trends assumption holds between treatment and control groups during the pre-treatment period, </w:t>
      </w:r>
      <w:r w:rsidR="0063158E">
        <w:t xml:space="preserve">I conducted </w:t>
      </w:r>
      <w:r>
        <w:t xml:space="preserve">event studies </w:t>
      </w:r>
      <w:r w:rsidR="0063158E">
        <w:t>by structuring s</w:t>
      </w:r>
      <w:r w:rsidR="002A4213">
        <w:t>imple linear models to isolate the effect of Indian River on pink salmon abundances during pre-treatment periods, as illustrated below:</w:t>
      </w:r>
    </w:p>
    <w:p w14:paraId="3074EF8D" w14:textId="77777777" w:rsidR="002A4213" w:rsidRPr="008F33A8" w:rsidRDefault="002A4213" w:rsidP="002A4213">
      <w:pPr>
        <w:spacing w:after="0" w:line="480" w:lineRule="auto"/>
        <w:jc w:val="center"/>
        <w:rPr>
          <w:rFonts w:ascii="Times New Roman" w:eastAsia="Times New Roman" w:hAnsi="Times New Roman" w:cs="Times New Roman"/>
          <w:kern w:val="0"/>
          <w:sz w:val="26"/>
          <w:szCs w:val="26"/>
          <w14:ligatures w14:val="none"/>
        </w:rP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5F9A66FE" w14:textId="033F1492" w:rsidR="00651658" w:rsidRDefault="002A4213" w:rsidP="002A4213">
      <w:pPr>
        <w:spacing w:after="0" w:line="480" w:lineRule="auto"/>
      </w:pPr>
      <w:r>
        <w:t xml:space="preserve">Here, the variable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t xml:space="preserve">indicates </w:t>
      </w:r>
      <w:r w:rsidR="00672EBC">
        <w:t>whether</w:t>
      </w:r>
      <w:r>
        <w:t xml:space="preserve"> an observation was taken at Indian River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1) or elsewhere in the </w:t>
      </w:r>
      <w:r w:rsidRPr="003C6E79">
        <w:rPr>
          <w:i/>
          <w:iCs/>
        </w:rPr>
        <w:t>north southeast (outside)</w:t>
      </w:r>
      <w:r>
        <w:t xml:space="preserve"> region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0). If indeed treatment and control groups are similar during the pre-treatment period, then the effect of Indian River on pink salmon abundances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should not be statistically significant. I</w:t>
      </w:r>
      <w:r w:rsidR="00060EB8">
        <w:t xml:space="preserve">f these groups significantly differ, a synthetic control group is constructed using a weighted average of untreated streams to match the Indian River’s pre-treatment trend.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5FE17851" w:rsidR="00F4350E" w:rsidRDefault="0063158E" w:rsidP="00C64BF8">
      <w:pPr>
        <w:spacing w:after="0" w:line="480" w:lineRule="auto"/>
      </w:pPr>
      <w:r>
        <w:t>The last stage of my</w:t>
      </w:r>
      <w:r w:rsidR="00060EB8">
        <w:t xml:space="preserve"> research</w:t>
      </w:r>
      <w:r w:rsidR="00670218">
        <w:t xml:space="preserve"> focus</w:t>
      </w:r>
      <w:r w:rsidR="00060EB8">
        <w:t>e</w:t>
      </w:r>
      <w:r>
        <w:t>s</w:t>
      </w:r>
      <w:r w:rsidR="00670218">
        <w:t xml:space="preserve"> on the effect of the number of fish released by the hatchery each year. While scarcity of available stray rate data makes a direct analysis of the impacts of straying impossible,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t>
      </w:r>
      <w:r w:rsidR="00670218">
        <w:lastRenderedPageBreak/>
        <w:t xml:space="preserve">with percent increases from one time step to the next. </w:t>
      </w:r>
      <w:r w:rsidR="005B1CFB">
        <w:t>Parametric bootstrapping is employed to construct confidence intervals around these parameter estimates.</w:t>
      </w:r>
    </w:p>
    <w:p w14:paraId="2090CCA8" w14:textId="49FD9BC2" w:rsidR="00670218" w:rsidRDefault="00741B88" w:rsidP="002B7623">
      <w:pPr>
        <w:spacing w:after="0" w:line="480" w:lineRule="auto"/>
        <w:ind w:firstLine="72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11"/>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2"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Default="0067541D" w:rsidP="0067541D">
      <w:pPr>
        <w:spacing w:after="0" w:line="240" w:lineRule="auto"/>
        <w:rPr>
          <w:i/>
          <w:iCs/>
          <w:sz w:val="20"/>
          <w:szCs w:val="20"/>
        </w:rPr>
      </w:pPr>
      <w:r w:rsidRPr="00D368CD">
        <w:rPr>
          <w:i/>
          <w:iCs/>
          <w:sz w:val="20"/>
          <w:szCs w:val="20"/>
        </w:rPr>
        <w:t xml:space="preserve">Figure </w:t>
      </w:r>
      <w:r>
        <w:rPr>
          <w:i/>
          <w:iCs/>
          <w:sz w:val="20"/>
          <w:szCs w:val="20"/>
        </w:rPr>
        <w:t>3</w:t>
      </w:r>
      <w:r w:rsidRPr="00D368CD">
        <w:rPr>
          <w:i/>
          <w:iCs/>
          <w:sz w:val="20"/>
          <w:szCs w:val="20"/>
        </w:rPr>
        <w:t xml:space="preserve">: MARSS model results estimating the underlying states of </w:t>
      </w:r>
      <w:r>
        <w:rPr>
          <w:i/>
          <w:iCs/>
          <w:sz w:val="20"/>
          <w:szCs w:val="20"/>
        </w:rPr>
        <w:t>even- and 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w:t>
      </w:r>
      <w:r>
        <w:rPr>
          <w:i/>
          <w:iCs/>
          <w:sz w:val="20"/>
          <w:szCs w:val="20"/>
        </w:rPr>
        <w:t>s</w:t>
      </w:r>
      <w:r w:rsidRPr="00D368CD">
        <w:rPr>
          <w:i/>
          <w:iCs/>
          <w:sz w:val="20"/>
          <w:szCs w:val="20"/>
        </w:rPr>
        <w:t xml:space="preserve">caled by stream length and z-standardized at the stream level. </w:t>
      </w:r>
    </w:p>
    <w:p w14:paraId="2EDD030D" w14:textId="77777777" w:rsidR="0067541D" w:rsidRDefault="0067541D" w:rsidP="00F4350E">
      <w:pPr>
        <w:spacing w:after="0" w:line="480" w:lineRule="auto"/>
      </w:pPr>
    </w:p>
    <w:p w14:paraId="03F45F5B" w14:textId="222CE1BE" w:rsidR="00C3066D" w:rsidRDefault="007635F3" w:rsidP="00F4350E">
      <w:pPr>
        <w:spacing w:after="0" w:line="480" w:lineRule="auto"/>
      </w:pPr>
      <w:r>
        <w:t>For both even- and odd-year runs</w:t>
      </w:r>
      <w:commentRangeStart w:id="3"/>
      <w:commentRangeStart w:id="4"/>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w:t>
      </w:r>
      <w:commentRangeStart w:id="5"/>
      <w:commentRangeStart w:id="6"/>
      <w:r w:rsidR="00837571">
        <w:t>regional average</w:t>
      </w:r>
      <w:commentRangeEnd w:id="5"/>
      <w:r w:rsidR="00837571">
        <w:rPr>
          <w:rStyle w:val="CommentReference"/>
          <w:sz w:val="24"/>
          <w:szCs w:val="24"/>
        </w:rPr>
        <w:commentReference w:id="5"/>
      </w:r>
      <w:commentRangeEnd w:id="6"/>
      <w:r w:rsidR="002D3085">
        <w:rPr>
          <w:rStyle w:val="CommentReference"/>
          <w:sz w:val="24"/>
          <w:szCs w:val="24"/>
        </w:rPr>
        <w:commentReference w:id="6"/>
      </w:r>
      <w:r w:rsidR="00837571">
        <w:t>, while odd-year Indian River abundance in 1961 was estimated to be 1.326 standard deviations lower</w:t>
      </w:r>
      <w:r w:rsidR="00C3066D">
        <w:t>. Over the course of the time series, Indian River abundances for both runs “catch-up” to what would be expected of an average pink salmon index stream</w:t>
      </w:r>
      <w:r w:rsidR="001A405D">
        <w:t xml:space="preserve">, although odd-year Indian River runs take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t>
      </w:r>
      <w:r w:rsidR="001A405D">
        <w:lastRenderedPageBreak/>
        <w:t>with the average index stream, exceeding the average in some years and falling short in others, but in either case not by an amount that appears drastic when visually appraised</w:t>
      </w:r>
      <w:r>
        <w:t xml:space="preserve"> (Figure 3)</w:t>
      </w:r>
      <w:r w:rsidR="001A405D">
        <w:t>.</w:t>
      </w:r>
      <w:commentRangeEnd w:id="3"/>
      <w:r w:rsidR="009C0B82">
        <w:rPr>
          <w:rStyle w:val="CommentReference"/>
          <w:sz w:val="24"/>
          <w:szCs w:val="24"/>
        </w:rPr>
        <w:commentReference w:id="3"/>
      </w:r>
      <w:commentRangeEnd w:id="4"/>
      <w:r w:rsidR="00F9527E">
        <w:rPr>
          <w:rStyle w:val="CommentReference"/>
          <w:sz w:val="24"/>
          <w:szCs w:val="24"/>
        </w:rPr>
        <w:commentReference w:id="4"/>
      </w:r>
    </w:p>
    <w:p w14:paraId="2667B46A" w14:textId="77777777" w:rsidR="0067541D" w:rsidRDefault="0067541D" w:rsidP="0067541D">
      <w:pPr>
        <w:spacing w:after="0" w:line="480" w:lineRule="auto"/>
        <w:ind w:firstLine="720"/>
      </w:pPr>
    </w:p>
    <w:p w14:paraId="1A209AB4" w14:textId="77777777" w:rsidR="0067541D" w:rsidRDefault="0067541D" w:rsidP="0067541D">
      <w:pPr>
        <w:spacing w:after="0" w:line="240" w:lineRule="auto"/>
        <w:ind w:left="-180"/>
        <w:jc w:val="center"/>
        <w:rPr>
          <w:i/>
          <w:iCs/>
          <w:sz w:val="20"/>
          <w:szCs w:val="20"/>
        </w:rPr>
      </w:pPr>
      <w:r w:rsidRPr="00F165EE">
        <w:rPr>
          <w:i/>
          <w:iCs/>
          <w:noProof/>
          <w:sz w:val="20"/>
          <w:szCs w:val="20"/>
        </w:rPr>
        <w:drawing>
          <wp:inline distT="0" distB="0" distL="0" distR="0" wp14:anchorId="58D4AC06" wp14:editId="766F979B">
            <wp:extent cx="5991225" cy="2460033"/>
            <wp:effectExtent l="0" t="0" r="0" b="0"/>
            <wp:docPr id="1249511879" name="Picture 1" descr="The diagram compares four models of Indian River's regional abundance, presenting their AICc (Akaike Information Criterion corrected) values and evidence rat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1879" name="Picture 1" descr="The diagram compares four models of Indian River's regional abundance, presenting their AICc (Akaike Information Criterion corrected) values and evidence ratios.&#10;&#10;AI-generated content may be incorrect."/>
                    <pic:cNvPicPr/>
                  </pic:nvPicPr>
                  <pic:blipFill>
                    <a:blip r:embed="rId13"/>
                    <a:stretch>
                      <a:fillRect/>
                    </a:stretch>
                  </pic:blipFill>
                  <pic:spPr>
                    <a:xfrm>
                      <a:off x="0" y="0"/>
                      <a:ext cx="6030046" cy="2475973"/>
                    </a:xfrm>
                    <a:prstGeom prst="rect">
                      <a:avLst/>
                    </a:prstGeom>
                  </pic:spPr>
                </pic:pic>
              </a:graphicData>
            </a:graphic>
          </wp:inline>
        </w:drawing>
      </w:r>
    </w:p>
    <w:p w14:paraId="6FDBA84E" w14:textId="77777777" w:rsidR="0067541D" w:rsidRDefault="0067541D" w:rsidP="0067541D">
      <w:pPr>
        <w:spacing w:after="0" w:line="240" w:lineRule="auto"/>
        <w:rPr>
          <w:sz w:val="20"/>
          <w:szCs w:val="20"/>
        </w:rPr>
      </w:pPr>
      <w:r>
        <w:rPr>
          <w:i/>
          <w:iCs/>
          <w:sz w:val="20"/>
          <w:szCs w:val="20"/>
        </w:rPr>
        <w:t>Table 1</w:t>
      </w:r>
      <w:r w:rsidRPr="00D368CD">
        <w:rPr>
          <w:i/>
          <w:iCs/>
          <w:sz w:val="20"/>
          <w:szCs w:val="20"/>
        </w:rPr>
        <w:t xml:space="preserve">: </w:t>
      </w:r>
      <w:r>
        <w:rPr>
          <w:i/>
          <w:iCs/>
          <w:sz w:val="20"/>
          <w:szCs w:val="20"/>
        </w:rPr>
        <w:t>Comparison of multi-state model specifications.</w:t>
      </w:r>
    </w:p>
    <w:p w14:paraId="4B679517" w14:textId="77777777" w:rsidR="0067541D" w:rsidRDefault="0067541D" w:rsidP="0067541D">
      <w:pPr>
        <w:spacing w:after="0" w:line="480" w:lineRule="auto"/>
      </w:pPr>
    </w:p>
    <w:p w14:paraId="09E780EF" w14:textId="36C4D013" w:rsidR="00FC2324" w:rsidRPr="00C3066D" w:rsidRDefault="007635F3" w:rsidP="0067541D">
      <w:pPr>
        <w:spacing w:after="0" w:line="480" w:lineRule="auto"/>
        <w:ind w:firstLine="720"/>
      </w:pPr>
      <w:r>
        <w:t>P</w:t>
      </w:r>
      <w:r w:rsidR="006A0FFE">
        <w:t>ink salmon abundances observed in recent years at Indian River</w:t>
      </w:r>
      <w:r w:rsidR="008D3168">
        <w:t xml:space="preserve"> do not seem to </w:t>
      </w:r>
      <w:r w:rsidR="001B7645">
        <w:t xml:space="preserve">deviate wildly from the </w:t>
      </w:r>
      <w:commentRangeStart w:id="7"/>
      <w:r w:rsidR="001B7645">
        <w:t>regional average</w:t>
      </w:r>
      <w:commentRangeEnd w:id="7"/>
      <w:r w:rsidR="00AF5677">
        <w:rPr>
          <w:rStyle w:val="CommentReference"/>
          <w:sz w:val="24"/>
          <w:szCs w:val="24"/>
        </w:rPr>
        <w:commentReference w:id="7"/>
      </w:r>
      <w:r w:rsidR="006A0FFE">
        <w:t xml:space="preserve">. However, plotting these time series is not enough to conclusively state that abundances at Indian River do not differ from those that would be expected of an average pink salmon index stream in the region in a statistically significant way. </w:t>
      </w:r>
      <w:r w:rsidR="001B7645">
        <w:t>The best fit model allows includes a separate underlying state of Indian River pink salmon abundance in odd years, while estimating a single underlying state of pink salmon abundance throughout the region (including Indian River) in even years</w:t>
      </w:r>
      <w:r w:rsidR="00A31219">
        <w:t xml:space="preserve"> (Table 1)</w:t>
      </w:r>
      <w:r w:rsidR="001B7645">
        <w:t xml:space="preserve">. </w:t>
      </w:r>
      <w:r w:rsidR="00A40D49">
        <w:t>The</w:t>
      </w:r>
      <w:r w:rsidR="00112BBF">
        <w:t xml:space="preserve"> difference in AICc of 12.</w:t>
      </w:r>
      <w:r w:rsidR="00A40D49">
        <w:t>777</w:t>
      </w:r>
      <w:r w:rsidR="00112BBF">
        <w:t xml:space="preserve"> between this model and t</w:t>
      </w:r>
      <w:r w:rsidR="001B7645">
        <w:t>he model with the second best fit</w:t>
      </w:r>
      <w:r w:rsidR="00112BBF">
        <w:t xml:space="preserve"> (which</w:t>
      </w:r>
      <w:r w:rsidR="001B7645">
        <w:t xml:space="preserve"> allows for both even- and odd-year Indian River pink salmon abundance to be estimated as separate from regional abundances</w:t>
      </w:r>
      <w:r w:rsidR="00112BBF">
        <w:t xml:space="preserve">) means that, given the available data, this model can be said to be best with 99.84% confidence </w:t>
      </w:r>
      <w:r w:rsidR="00AF5677">
        <w:t>(Mazerolle 2006).</w:t>
      </w:r>
      <w:r w:rsidR="00112BBF">
        <w:t xml:space="preserve"> Model specifications which estimated a single state of </w:t>
      </w:r>
      <w:r w:rsidR="00112BBF">
        <w:lastRenderedPageBreak/>
        <w:t xml:space="preserve">odd-year pink salmon abundance throughout the region 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146C7F99" w14:textId="6FF5A906" w:rsidR="00F4350E" w:rsidRDefault="00F4350E" w:rsidP="00F4350E">
      <w:pPr>
        <w:spacing w:after="0" w:line="480" w:lineRule="auto"/>
        <w:rPr>
          <w:b/>
          <w:bCs/>
        </w:rPr>
      </w:pPr>
      <w:r w:rsidRPr="00C64BF8">
        <w:rPr>
          <w:b/>
          <w:bCs/>
        </w:rPr>
        <w:t>Effect of Hatchery Operations</w:t>
      </w:r>
    </w:p>
    <w:p w14:paraId="07891264" w14:textId="77777777" w:rsidR="00A40D49" w:rsidRDefault="00A40D49" w:rsidP="00A40D49">
      <w:pPr>
        <w:rPr>
          <w:sz w:val="20"/>
          <w:szCs w:val="20"/>
        </w:rPr>
      </w:pPr>
      <w:r>
        <w:rPr>
          <w:noProof/>
          <w:sz w:val="20"/>
          <w:szCs w:val="20"/>
        </w:rPr>
        <w:drawing>
          <wp:inline distT="0" distB="0" distL="0" distR="0" wp14:anchorId="1900FDD3" wp14:editId="5616422C">
            <wp:extent cx="5934075" cy="3267075"/>
            <wp:effectExtent l="0" t="0" r="9525" b="9525"/>
            <wp:doc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3D639281" w14:textId="78F5942A" w:rsidR="00A40D49" w:rsidRDefault="00A40D49" w:rsidP="00A40D49">
      <w:pPr>
        <w:spacing w:after="0"/>
        <w:rPr>
          <w:i/>
          <w:iCs/>
          <w:sz w:val="20"/>
          <w:szCs w:val="20"/>
        </w:rPr>
      </w:pPr>
      <w:r w:rsidRPr="001159C6">
        <w:rPr>
          <w:i/>
          <w:iCs/>
          <w:sz w:val="20"/>
          <w:szCs w:val="20"/>
        </w:rPr>
        <w:t xml:space="preserve">Table </w:t>
      </w:r>
      <w:r>
        <w:rPr>
          <w:i/>
          <w:iCs/>
          <w:sz w:val="20"/>
          <w:szCs w:val="20"/>
        </w:rPr>
        <w:t>2: Event studies evaluating the effect of Indian River on pink salmon abundances during pre-treatment periods. Standard errors reported in parentheses.</w:t>
      </w:r>
    </w:p>
    <w:p w14:paraId="30932BB8" w14:textId="107C9D2C" w:rsidR="00A40D49" w:rsidRDefault="00A40D49" w:rsidP="00A40D49">
      <w:pPr>
        <w:spacing w:after="0"/>
        <w:rPr>
          <w:i/>
          <w:iCs/>
          <w:sz w:val="20"/>
          <w:szCs w:val="20"/>
        </w:rPr>
      </w:pPr>
    </w:p>
    <w:p w14:paraId="0C27B94C" w14:textId="676303FD" w:rsidR="00F154A6" w:rsidRDefault="00726626" w:rsidP="00651658">
      <w:pPr>
        <w:spacing w:after="0" w:line="480" w:lineRule="auto"/>
      </w:pPr>
      <w:r>
        <w:t>Difference-in-difference models for even- and odd-year runs considering post-1980 and post-2010 treatment periods were specified, with suites of covariate data relating to observers and ocean climate evaluated for best fit. To ensure the parallel trends assumption holds, th</w:t>
      </w:r>
      <w:r w:rsidR="00F154A6">
        <w:t>e effect of Indian River in the pre-treatment period i</w:t>
      </w:r>
      <w:r>
        <w:t>s estimated in</w:t>
      </w:r>
      <w:r w:rsidR="00F154A6">
        <w:t xml:space="preserve"> all four models</w:t>
      </w:r>
      <w:r>
        <w:t xml:space="preserve"> (Table 2)</w:t>
      </w:r>
      <w:r w:rsidR="00F154A6">
        <w:t>. For even-</w:t>
      </w:r>
      <w:r w:rsidR="00F154A6">
        <w:lastRenderedPageBreak/>
        <w:t>year runs there exists some significant difference between trends at Indian River and elsewhere in the region prior to 1980. Due to this difference, a synthetic control group time series was constructed for comparison with the treatment group. All other models satisfy the parallel trends assumption.</w:t>
      </w:r>
    </w:p>
    <w:p w14:paraId="653A412B" w14:textId="77777777" w:rsidR="00A40D49" w:rsidRDefault="00A40D49" w:rsidP="00A40D49">
      <w:pPr>
        <w:spacing w:after="0" w:line="240" w:lineRule="auto"/>
      </w:pPr>
      <w:r>
        <w:rPr>
          <w:noProof/>
        </w:rPr>
        <w:drawing>
          <wp:inline distT="0" distB="0" distL="0" distR="0" wp14:anchorId="63A97548" wp14:editId="77052691">
            <wp:extent cx="5934075" cy="4933950"/>
            <wp:effectExtent l="0" t="0" r="9525" b="0"/>
            <wp:docPr id="1642919015" name="Picture 9" descr="The diagram illustrates the difference-in-difference models comparing the effects of time, Indian River, and treatment on Indian River pink salmon, with significant results marked by asteri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9015" name="Picture 9" descr="The diagram illustrates the difference-in-difference models comparing the effects of time, Indian River, and treatment on Indian River pink salmon, with significant results marked by asterisk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06E2FA72" w14:textId="77777777" w:rsidR="00A40D49" w:rsidRDefault="00A40D49" w:rsidP="00A40D49">
      <w:pPr>
        <w:spacing w:after="0" w:line="240" w:lineRule="auto"/>
        <w:ind w:left="360"/>
        <w:rPr>
          <w:i/>
          <w:iCs/>
          <w:sz w:val="20"/>
          <w:szCs w:val="20"/>
        </w:rPr>
      </w:pPr>
    </w:p>
    <w:p w14:paraId="4CAEA980" w14:textId="77777777" w:rsidR="00A40D49" w:rsidRPr="001159C6" w:rsidRDefault="00A40D49" w:rsidP="00A40D49">
      <w:pPr>
        <w:spacing w:after="0" w:line="240" w:lineRule="auto"/>
        <w:rPr>
          <w:i/>
          <w:iCs/>
          <w:sz w:val="20"/>
          <w:szCs w:val="20"/>
        </w:rPr>
      </w:pPr>
      <w:r w:rsidRPr="001159C6">
        <w:rPr>
          <w:i/>
          <w:iCs/>
          <w:sz w:val="20"/>
          <w:szCs w:val="20"/>
        </w:rPr>
        <w:t xml:space="preserve">Table </w:t>
      </w:r>
      <w:r>
        <w:rPr>
          <w:i/>
          <w:iCs/>
          <w:sz w:val="20"/>
          <w:szCs w:val="20"/>
        </w:rPr>
        <w:t>3: Difference-in-difference results estimating the impact of Sheldon Jackson Hatchery operations on Indian River pink salmon abundances. Standard errors reported in parentheses.</w:t>
      </w:r>
    </w:p>
    <w:p w14:paraId="518FF007" w14:textId="77777777" w:rsidR="00A40D49" w:rsidRDefault="00A40D49" w:rsidP="00651658">
      <w:pPr>
        <w:spacing w:after="0" w:line="480" w:lineRule="auto"/>
      </w:pPr>
    </w:p>
    <w:p w14:paraId="5DBC4B47" w14:textId="37A68F00" w:rsidR="00651658" w:rsidRDefault="00651658" w:rsidP="00A40D49">
      <w:pPr>
        <w:spacing w:after="0" w:line="480" w:lineRule="auto"/>
        <w:ind w:firstLine="720"/>
        <w:rPr>
          <w:b/>
          <w:bCs/>
        </w:rPr>
      </w:pPr>
      <w:r>
        <w:t xml:space="preserve">The commencement of SJH operations in 1980 is shown to have driven a significant increase in odd-year pink salmon abundances at Indian River, while no significant impact is found affecting even-year runs. The expansion of permitted pink salmon releases from 1 million </w:t>
      </w:r>
      <w:r>
        <w:lastRenderedPageBreak/>
        <w:t>to 3 million in 2010 is shown to have driven significant increases in both even- and odd-year</w:t>
      </w:r>
      <w:r w:rsidR="00A40D49">
        <w:t xml:space="preserve"> a</w:t>
      </w:r>
      <w:r>
        <w:t xml:space="preserve">bundances (Table 3). The difference in time periods (pre- and post-1980, and pre- and post-2010) is found to be a significant driver of pink salmon abundances both at Indian River and throughout the </w:t>
      </w:r>
      <w:r w:rsidRPr="003C6E79">
        <w:rPr>
          <w:i/>
          <w:iCs/>
        </w:rPr>
        <w:t>north southeast (outside)</w:t>
      </w:r>
      <w:r>
        <w:t xml:space="preserve"> region. This result is consistent with trends seen in ADFG’s survey data (Figure 2), as well as </w:t>
      </w:r>
      <w:r w:rsidR="00726626">
        <w:t xml:space="preserve">with </w:t>
      </w:r>
      <w:r>
        <w:t xml:space="preserve">the </w:t>
      </w:r>
      <w:r w:rsidR="00726626">
        <w:t>underlying</w:t>
      </w:r>
      <w:r>
        <w:t xml:space="preserve"> states of pink salmon abundance </w:t>
      </w:r>
      <w:r w:rsidR="00726626">
        <w:t>estimated through MARSS modeling (</w:t>
      </w:r>
      <w:r>
        <w:t>Figure 3</w:t>
      </w:r>
      <w:r w:rsidR="00726626">
        <w:t>)</w:t>
      </w:r>
      <w:r>
        <w:t xml:space="preserve">. </w:t>
      </w:r>
    </w:p>
    <w:p w14:paraId="364A6829" w14:textId="7A2546D5" w:rsidR="00651658" w:rsidRDefault="00651658">
      <w:pPr>
        <w:rPr>
          <w:b/>
          <w:bCs/>
        </w:rPr>
      </w:pPr>
    </w:p>
    <w:p w14:paraId="34D26D14" w14:textId="7F193F1A" w:rsidR="00F4350E" w:rsidRPr="00C64BF8" w:rsidRDefault="00F4350E" w:rsidP="00F4350E">
      <w:pPr>
        <w:spacing w:after="0" w:line="480" w:lineRule="auto"/>
        <w:rPr>
          <w:b/>
          <w:bCs/>
        </w:rPr>
      </w:pPr>
      <w:r w:rsidRPr="00C64BF8">
        <w:rPr>
          <w:b/>
          <w:bCs/>
        </w:rPr>
        <w:t>Effect of Hatchery Releases</w:t>
      </w:r>
    </w:p>
    <w:p w14:paraId="3F512C42" w14:textId="276B3BEE" w:rsidR="00A40D49" w:rsidRDefault="004D6698" w:rsidP="00A40D49">
      <w:pPr>
        <w:spacing w:after="0" w:line="480" w:lineRule="auto"/>
      </w:pPr>
      <w:r>
        <w:t xml:space="preserve">The range of interaction effects of brood year </w:t>
      </w:r>
      <w:r w:rsidRPr="004D6698">
        <w:rPr>
          <w:i/>
          <w:iCs/>
        </w:rPr>
        <w:t>t-1</w:t>
      </w:r>
      <w:r>
        <w:t xml:space="preserve"> on brood year </w:t>
      </w:r>
      <w:r w:rsidRPr="004D6698">
        <w:rPr>
          <w:i/>
          <w:iCs/>
        </w:rPr>
        <w:t>t</w:t>
      </w:r>
      <w:r>
        <w:t xml:space="preserve"> are found to be positive for both runs (Figure </w:t>
      </w:r>
      <w:r w:rsidR="00756C35">
        <w:t>4</w:t>
      </w:r>
      <w:r>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r>
        <w:t>, the parameter of greatest interest,</w:t>
      </w:r>
      <w:r w:rsidR="00A21D8D">
        <w:t xml:space="preserve"> 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the smallest of the three effects observed for each run, with point estimates of 0.</w:t>
      </w:r>
      <w:r w:rsidR="00086DA1">
        <w:t>089</w:t>
      </w:r>
      <w:r w:rsidR="009F6B38">
        <w:t xml:space="preserve"> and 0.</w:t>
      </w:r>
      <w:r w:rsidR="00086DA1">
        <w:t>04</w:t>
      </w:r>
      <w:r w:rsidR="009F6B38">
        <w:t xml:space="preserve"> respectively</w:t>
      </w:r>
      <w:r>
        <w:t>.</w:t>
      </w:r>
      <w:r w:rsidR="00855FD8">
        <w:t xml:space="preserve"> </w:t>
      </w:r>
      <w:r>
        <w:t>I</w:t>
      </w:r>
      <w:r w:rsidR="00855FD8">
        <w:t>n both cases enough parameter estimates fell below zero to diminish statistical confidence in the result</w:t>
      </w:r>
      <w:r>
        <w:t>,</w:t>
      </w:r>
      <w:r w:rsidRPr="004D6698">
        <w:t xml:space="preserve"> </w:t>
      </w:r>
      <w:r>
        <w:t>but in both cases a majority of bootstrapped parameter estimates were positive (94.2% in even-year runs, and 92% in odd-year runs).</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runs than its inverse, it is crucial to note that hatchery returns are </w:t>
      </w:r>
      <w:r w:rsidR="00B00D9B">
        <w:t>greater than Indian River abundance much more often than not. This means that</w:t>
      </w:r>
      <w:r w:rsidR="005C24C4">
        <w:t>,</w:t>
      </w:r>
      <w:r w:rsidR="00B00D9B">
        <w:t xml:space="preserve"> despite the difference in </w:t>
      </w:r>
    </w:p>
    <w:p w14:paraId="25FCB69C" w14:textId="77777777" w:rsidR="004D6698" w:rsidRDefault="00B00D9B" w:rsidP="00A40D49">
      <w:pPr>
        <w:spacing w:after="0" w:line="480" w:lineRule="auto"/>
      </w:pPr>
      <w:r>
        <w:lastRenderedPageBreak/>
        <w:t xml:space="preserve">effect, the overall numbers of fish </w:t>
      </w:r>
      <w:r w:rsidR="00A21D8D">
        <w:t xml:space="preserve">straying </w:t>
      </w:r>
      <w:r>
        <w:t xml:space="preserve">to a </w:t>
      </w:r>
      <w:r w:rsidR="00A21D8D">
        <w:t xml:space="preserve">non-origin </w:t>
      </w:r>
      <w:r>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0"/>
      <w:bookmarkEnd w:id="2"/>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7BE22B2C">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Default="004D6698" w:rsidP="004D6698">
      <w:pPr>
        <w:spacing w:after="0" w:line="240" w:lineRule="auto"/>
        <w:rPr>
          <w:sz w:val="20"/>
          <w:szCs w:val="20"/>
        </w:rPr>
      </w:pPr>
      <w:r w:rsidRPr="00D368CD">
        <w:rPr>
          <w:i/>
          <w:iCs/>
          <w:sz w:val="20"/>
          <w:szCs w:val="20"/>
        </w:rPr>
        <w:t xml:space="preserve">Figure </w:t>
      </w:r>
      <w:r w:rsidR="00756C35">
        <w:rPr>
          <w:i/>
          <w:iCs/>
          <w:sz w:val="20"/>
          <w:szCs w:val="20"/>
        </w:rPr>
        <w:t>4</w:t>
      </w:r>
      <w:r w:rsidRPr="00D368CD">
        <w:rPr>
          <w:i/>
          <w:iCs/>
          <w:sz w:val="20"/>
          <w:szCs w:val="20"/>
        </w:rPr>
        <w:t xml:space="preserve">: </w:t>
      </w:r>
      <w:r>
        <w:rPr>
          <w:i/>
          <w:iCs/>
          <w:sz w:val="20"/>
          <w:szCs w:val="20"/>
        </w:rPr>
        <w:t>Estimated effect 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commentRangeStart w:id="8"/>
      <w:r w:rsidRPr="008C144E">
        <w:rPr>
          <w:b/>
          <w:bCs/>
          <w:u w:val="single"/>
        </w:rPr>
        <w:lastRenderedPageBreak/>
        <w:t>Discussion</w:t>
      </w:r>
      <w:commentRangeEnd w:id="8"/>
      <w:r w:rsidR="00AC50CD" w:rsidRPr="008C144E">
        <w:rPr>
          <w:rStyle w:val="CommentReference"/>
          <w:b/>
          <w:bCs/>
          <w:sz w:val="24"/>
          <w:szCs w:val="24"/>
          <w:u w:val="single"/>
        </w:rPr>
        <w:commentReference w:id="8"/>
      </w:r>
    </w:p>
    <w:p w14:paraId="34AD69E9" w14:textId="77777777" w:rsidR="00CD66B9" w:rsidRDefault="00FA3D5B" w:rsidP="009D569C">
      <w:pPr>
        <w:spacing w:after="0" w:line="480" w:lineRule="auto"/>
        <w:ind w:firstLine="720"/>
      </w:pPr>
      <w:r>
        <w:t>Establishing</w:t>
      </w:r>
      <w:r w:rsidR="00DE2128">
        <w:t xml:space="preserve"> at what point a species becomes overabundant in its native range </w:t>
      </w:r>
      <w:r>
        <w:t>is difficult, with extant literature on the subject diverging in how this determination is made</w:t>
      </w:r>
      <w:r w:rsidR="00333796">
        <w:t xml:space="preserve"> (Lemoine et al. 2016, Moore et al. 2023, Holzner et al. 2025)</w:t>
      </w:r>
      <w:r>
        <w:t xml:space="preserve">. </w:t>
      </w:r>
      <w:r w:rsidR="009F3E3F">
        <w:t>As with Indian River pink salmon, often a species is not re</w:t>
      </w:r>
      <w:r w:rsidR="00DD06B9">
        <w:t>cognized</w:t>
      </w:r>
      <w:r w:rsidR="009F3E3F">
        <w:t xml:space="preserve"> as overabundant in its native range until such time as it begins to threaten other inhabitants of a shared ecosystem (</w:t>
      </w:r>
      <w:r w:rsidR="00DD06B9">
        <w:t xml:space="preserve">Beckett et al. 2022, </w:t>
      </w:r>
      <w:r w:rsidR="009F3E3F">
        <w:t>Brown et al. 2025).</w:t>
      </w:r>
      <w:r>
        <w:t xml:space="preserve"> </w:t>
      </w:r>
      <w:r w:rsidR="00DD06B9">
        <w:t xml:space="preserve">There is also distinct concern about </w:t>
      </w:r>
      <w:r w:rsidR="009D569C">
        <w:t xml:space="preserve">the rapid growth in population of </w:t>
      </w:r>
      <w:r w:rsidR="00DD06B9">
        <w:t xml:space="preserve">native species as a result of anthropogenic activity </w:t>
      </w:r>
      <w:r w:rsidR="009D569C">
        <w:t>(</w:t>
      </w:r>
      <w:r w:rsidR="00DD06B9">
        <w:t>although this is not necessarily a requisite for a species to be considered such</w:t>
      </w:r>
      <w:r w:rsidR="009D569C">
        <w:t>), and is primarily focused on management of native species causing harm in ecosystems rather than assessment of the point at which a species might be considered overabundant</w:t>
      </w:r>
      <w:r w:rsidR="00DD06B9">
        <w:t xml:space="preserve"> (</w:t>
      </w:r>
      <w:r w:rsidR="009D569C">
        <w:t xml:space="preserve">Brown et al. 2025, </w:t>
      </w:r>
      <w:r w:rsidR="00DD06B9">
        <w:t xml:space="preserve">McComb et al. </w:t>
      </w:r>
      <w:r w:rsidR="00967016">
        <w:t>2026)</w:t>
      </w:r>
      <w:r w:rsidR="009D569C">
        <w:t xml:space="preserve">. </w:t>
      </w:r>
    </w:p>
    <w:p w14:paraId="782FB6F7" w14:textId="677F8699" w:rsidR="009D569C" w:rsidRDefault="009D569C" w:rsidP="009D569C">
      <w:pPr>
        <w:spacing w:after="0" w:line="480" w:lineRule="auto"/>
        <w:ind w:firstLine="720"/>
      </w:pPr>
      <w:r>
        <w:t xml:space="preserve">Assessing whether </w:t>
      </w:r>
      <w:r w:rsidR="00CD66B9">
        <w:t>a native species has exceeded some natural range of variation requires long term knowledge of a natural system, and determining whether</w:t>
      </w:r>
      <w:r>
        <w:t xml:space="preserve"> overabundance of a native species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 In the case of pink salmon at Indian River, this task is made additionally complicated by the fact there two populations inhabiting the same environment (odd- and even-year runs) with potentially different life histories and characteristics. Pink salmon abundances are on the rise throughout their native range</w:t>
      </w:r>
      <w:r w:rsidR="00AC50CD">
        <w:t xml:space="preserve"> (likely due to warming sea surface temperatures observed in recent decades)</w:t>
      </w:r>
      <w:r>
        <w:t xml:space="preserve">, and so if one seeks to determine whether high abundances observed at a particular site (like Indian River) falls outside a natural range of </w:t>
      </w:r>
      <w:r>
        <w:lastRenderedPageBreak/>
        <w:t xml:space="preserve">variation, it is important to consider the population dynamics of pristine sites throughout the neighboring region (Ruggerone and Irvine 2018). Given their shared heritage, the proximity of the origin sites (Figure 1), and the results of prior Indian River stray surveys, it is very likely that fish from SJH are making their way into Indian River as spawning adults (and vice vera), but it is also plausible that the primary driver of increased pink salmon abundances at Indian River is not SJH releases but the same factors driving increased abundances throughout the region (Gende and Carter 2015, Ruggerone et al. 2023). </w:t>
      </w:r>
    </w:p>
    <w:p w14:paraId="2317B791" w14:textId="77DE252F" w:rsidR="00383E1E" w:rsidRDefault="00383E1E" w:rsidP="00383E1E">
      <w:pPr>
        <w:spacing w:after="0" w:line="480" w:lineRule="auto"/>
        <w:ind w:firstLine="720"/>
      </w:pPr>
      <w:r w:rsidRPr="000F5C89">
        <w:t xml:space="preserve">While pink salmon densities observed at Indian River in recent decades are high compared to those that were recorded decades ago, more contemporary returns of adults to the Indian River in even years are largely in line with index streams in the </w:t>
      </w:r>
      <w:r w:rsidR="00E808CF" w:rsidRPr="00970BA1">
        <w:t>surrounding</w:t>
      </w:r>
      <w:r>
        <w:t xml:space="preserve"> region,</w:t>
      </w:r>
      <w:r w:rsidRPr="000F5C89">
        <w:t xml:space="preserve"> whereas odd-year runs are not in line with broader regional patterns.</w:t>
      </w:r>
      <w:r>
        <w:t xml:space="preserve"> The effect of hatchery releases on subsequent brood year Indian River abundances was not statistically significant for either run, but in both cases a convincing majority of bootstrapped parameter estimates were positive. Despite falling short of the 95% confidence threshold, it is worth considering the implications of a small but positive effect of hatchery releases on Indian River pink salmon abundance in the following brood year. For both runs, the effect of prior brood year Indian River abundances on current brood year hatchery returns is stronger than its inverse (Figure </w:t>
      </w:r>
      <w:r w:rsidR="00756C35">
        <w:t>4</w:t>
      </w:r>
      <w:r>
        <w:t xml:space="preserve">), but it is crucial to note that hatchery returns frequently exceed Indian River abundances, creating a situation wherein if there exists a small but positive effect of hatchery releases on subsequent brood year Indian River abundances, the overall numbers of fish straying to a non-origin site could be roughly equal or even skewed towards hatchery-born fish returning to Indian River. In those brood years where Indian River abundances exceed hatchery returns, these effect sizes </w:t>
      </w:r>
      <w:r>
        <w:lastRenderedPageBreak/>
        <w:t>imply that the following brood year will see more fish from Indian River returning to the hatchery than vice versa.</w:t>
      </w:r>
    </w:p>
    <w:p w14:paraId="5FEA0D44" w14:textId="1FE042F4" w:rsidR="00383E1E" w:rsidRDefault="00383E1E" w:rsidP="00383E1E">
      <w:pPr>
        <w:spacing w:after="0" w:line="480" w:lineRule="auto"/>
        <w:ind w:firstLine="720"/>
      </w:pPr>
      <w:r>
        <w:t xml:space="preserve">In even years, Indian River salmon are not out of the ordinary relative to the wider region. </w:t>
      </w:r>
      <w:r w:rsidR="00756C35">
        <w:t>T</w:t>
      </w:r>
      <w:r>
        <w:t xml:space="preserve">he commencement of hatchery operations was </w:t>
      </w:r>
      <w:r w:rsidR="00756C35">
        <w:t xml:space="preserve">not </w:t>
      </w:r>
      <w:r>
        <w:t>associated with an increase in the numbers of spawning pink salmon at Indian River relative to the wider region</w:t>
      </w:r>
      <w:r w:rsidR="00756C35">
        <w:t>, although the expansion of hatchery pink salmon releases in 2010</w:t>
      </w:r>
      <w:r>
        <w:t xml:space="preserve"> </w:t>
      </w:r>
      <w:r w:rsidR="00756C35">
        <w:t xml:space="preserve">was associated a significant increase in Indian River abundances </w:t>
      </w:r>
      <w:r>
        <w:t>(</w:t>
      </w:r>
      <w:r w:rsidR="00756C35">
        <w:t>Table 3</w:t>
      </w:r>
      <w:r>
        <w:t xml:space="preserve">). Indian River abundances were estimated to have a strong </w:t>
      </w:r>
      <w:r w:rsidR="00756C35">
        <w:t xml:space="preserve">positive </w:t>
      </w:r>
      <w:r>
        <w:t xml:space="preserve">impact on pink salmon returning to the hatchery in the subsequent brood year, while an accompanying effect of hatchery releases on subsequent brood year Indian River abundances </w:t>
      </w:r>
      <w:r w:rsidR="00756C35">
        <w:t>was estimated to be positive but fell short of</w:t>
      </w:r>
      <w:r>
        <w:t xml:space="preserve"> statistical significan</w:t>
      </w:r>
      <w:r w:rsidR="00756C35">
        <w:t>ce</w:t>
      </w:r>
      <w:r>
        <w:t xml:space="preserve"> (Figure </w:t>
      </w:r>
      <w:r w:rsidR="00756C35">
        <w:t>4</w:t>
      </w:r>
      <w:r>
        <w:t xml:space="preserve">). Even if there exists </w:t>
      </w:r>
      <w:r w:rsidR="001F6780">
        <w:t xml:space="preserve">a </w:t>
      </w:r>
      <w:r>
        <w:t>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w:t>
      </w:r>
      <w:r w:rsidR="00756C35">
        <w:t xml:space="preserve"> even-year</w:t>
      </w:r>
      <w:r>
        <w:t xml:space="preserve">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w:t>
      </w:r>
      <w:r w:rsidR="00756C35">
        <w:t>River and</w:t>
      </w:r>
      <w:r>
        <w:t xml:space="preserve"> indeed seem to be contributing to hatchery returns.</w:t>
      </w:r>
    </w:p>
    <w:p w14:paraId="310BD082" w14:textId="53338067" w:rsidR="00383E1E" w:rsidRDefault="00383E1E" w:rsidP="00383E1E">
      <w:pPr>
        <w:spacing w:after="0" w:line="480" w:lineRule="auto"/>
        <w:ind w:firstLine="720"/>
      </w:pPr>
      <w:r>
        <w:t xml:space="preserve">In odd years, </w:t>
      </w:r>
      <w:r w:rsidR="006827E0">
        <w:t xml:space="preserve">the </w:t>
      </w:r>
      <w:r>
        <w:t>best fit model suggest</w:t>
      </w:r>
      <w:r w:rsidR="006827E0">
        <w:t>s</w:t>
      </w:r>
      <w:r>
        <w:t xml:space="preserve"> that abundances at Indian River differ </w:t>
      </w:r>
      <w:r w:rsidR="006827E0">
        <w:t xml:space="preserve">significantly </w:t>
      </w:r>
      <w:r>
        <w:t xml:space="preserve">from what would be expected of a similar stream in the region. </w:t>
      </w:r>
      <w:r w:rsidR="00470F5B">
        <w:t>Un</w:t>
      </w:r>
      <w:r>
        <w:t xml:space="preserve">like even-year runs, </w:t>
      </w:r>
      <w:r w:rsidR="00470F5B">
        <w:t xml:space="preserve">both </w:t>
      </w:r>
      <w:r>
        <w:t xml:space="preserve">the </w:t>
      </w:r>
      <w:r w:rsidR="00470F5B">
        <w:t xml:space="preserve">1980 </w:t>
      </w:r>
      <w:r>
        <w:t xml:space="preserve">commencement </w:t>
      </w:r>
      <w:r w:rsidR="00470F5B">
        <w:t>and 2010 expansion</w:t>
      </w:r>
      <w:r>
        <w:t xml:space="preserve"> </w:t>
      </w:r>
      <w:r w:rsidR="00470F5B">
        <w:t xml:space="preserve">of </w:t>
      </w:r>
      <w:r>
        <w:t>hatchery operations</w:t>
      </w:r>
      <w:r w:rsidR="00074F30">
        <w:t xml:space="preserve"> are associated with significant increases in the numbers of pink salmon at Indian River, above and beyond what </w:t>
      </w:r>
      <w:r w:rsidR="00074F30">
        <w:lastRenderedPageBreak/>
        <w:t xml:space="preserve">was happening elsewhere in the region during those periods. </w:t>
      </w:r>
      <w:r w:rsidR="00470F5B">
        <w:t>Like</w:t>
      </w:r>
      <w:r>
        <w:t xml:space="preserve"> even-year runs, odd-year Indian River abundances ha</w:t>
      </w:r>
      <w:r w:rsidR="001F6780">
        <w:t>d</w:t>
      </w:r>
      <w:r>
        <w:t xml:space="preserve"> a significant effect on pink salmon returning to SJH in the subsequent brood year, </w:t>
      </w:r>
      <w:r w:rsidR="00470F5B">
        <w:t>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in a given year for a net increase in Indian River abundance due to hatchery releases to occur in the following brood year.</w:t>
      </w:r>
      <w:r w:rsidR="00074F30">
        <w:t xml:space="preserve"> </w:t>
      </w:r>
      <w:r>
        <w:t>While indications exist that odd-year pink salmon abundance at Indian River do</w:t>
      </w:r>
      <w:r w:rsidR="001F6780">
        <w:t>es</w:t>
      </w:r>
      <w:r>
        <w:t xml:space="preserve"> not fall within the natural range of variation expected throughout the wider region, </w:t>
      </w:r>
      <w:r w:rsidR="00074F30">
        <w:t xml:space="preserve">it is important to note that this difference may be due to the large differences between odd year time series observed in the first 30 years of the study period (Figure 3), which could suggest that SJH releases may not be a primary driver of this disparity. Indeed, </w:t>
      </w:r>
      <w:r w:rsidR="00470F5B">
        <w:t>it may be the case that hatchery origin pink salmon straying into the Indian River have</w:t>
      </w:r>
      <w:r>
        <w:t xml:space="preserve"> </w:t>
      </w:r>
      <w:r w:rsidR="00074F30">
        <w:t>bolstered in-river abundances in recent decades</w:t>
      </w:r>
      <w:r>
        <w:t xml:space="preserve">. </w:t>
      </w:r>
    </w:p>
    <w:p w14:paraId="2D4AC6CC" w14:textId="77777777" w:rsidR="00383E1E" w:rsidRDefault="00383E1E" w:rsidP="00383E1E">
      <w:pPr>
        <w:spacing w:after="0" w:line="480" w:lineRule="auto"/>
      </w:pPr>
      <w:r>
        <w:tab/>
        <w:t xml:space="preserve">This work is intended first and foremost to provide management at SITK with a comprehensive description of both the impacts of SJH operations and of the population dynamics of pink salmon throughout the broader region. In even years, pink salmon abundances at Indian River are in line with those observed at ‘pristine’ index streams nearby. Thus, increases in their spawning densities are likely still within the natural range of variation. This is not to say that concerns about hypoxia events are invalid, but the possibility exists that interceding on behalf of Indian River’s other resident species may run contrary to the natural state of even-year pink salmon in northern Southeast Alaska. Available evidence suggests that </w:t>
      </w:r>
      <w:r>
        <w:lastRenderedPageBreak/>
        <w:t>there is likely no need for intervention to address even-year abundances. In odd years there exists more compelling evidence that SJH pink salmon releases could be exerting some influence over abundances at Indian River, although it may not be the most significant driver of high odd-year pink salmon population densities in odd years, as spawning abundances of these fish have been on the rise throughout the region for decades. Recall that in odd years, the effect of Indian River pink salmon abundance on hatchery returns in the subsequent brood year is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otolith sampling of odd-year Indian River spawners in order to more completely understand the impact of SJH releases.</w:t>
      </w:r>
    </w:p>
    <w:p w14:paraId="1B49B129" w14:textId="1E28F633" w:rsidR="007754C9" w:rsidRDefault="00852E21" w:rsidP="00DD0F99">
      <w:pPr>
        <w:spacing w:after="0" w:line="480" w:lineRule="auto"/>
        <w:ind w:firstLine="720"/>
      </w:pPr>
      <w:r>
        <w:t xml:space="preserve">Indian River pink salmon are </w:t>
      </w:r>
      <w:r w:rsidR="00774006">
        <w:t>not dissimilar to the case of the mountain pine beetle discussed in the introduction, the proliferation of which was not unique to the impacted National Parks, but which the affected parks nevertheless were compelled to address through interventions, such as insecticide use and the culling of susceptible trees (Frost 2009).</w:t>
      </w:r>
      <w:r w:rsidR="00A64B5F">
        <w:t xml:space="preserve"> </w:t>
      </w:r>
      <w:r w:rsidR="009A04D0">
        <w:t>Likewise, management at SITK may choose to address the proliferation of pink salmon at Indian River, even if it is largely in-line with regional expectations</w:t>
      </w:r>
      <w:r w:rsidR="00CE0F1A">
        <w:t xml:space="preserve">, </w:t>
      </w:r>
      <w:r>
        <w:t>to</w:t>
      </w:r>
      <w:r w:rsidR="00CE0F1A">
        <w:t xml:space="preserve"> protect other resident </w:t>
      </w:r>
      <w:r>
        <w:t xml:space="preserve">aquatic </w:t>
      </w:r>
      <w:r w:rsidR="00CE0F1A">
        <w:t>species</w:t>
      </w:r>
      <w:r>
        <w:t xml:space="preserve"> and the riverine </w:t>
      </w:r>
      <w:r w:rsidR="00C45B4E">
        <w:t xml:space="preserve">ecosystem </w:t>
      </w:r>
      <w:r>
        <w:t>from hypoxia events</w:t>
      </w:r>
      <w:r w:rsidR="009A04D0">
        <w:t xml:space="preserve">. </w:t>
      </w:r>
      <w:r w:rsidR="007754C9">
        <w:br w:type="page"/>
      </w:r>
    </w:p>
    <w:p w14:paraId="5301CC22" w14:textId="1F85566B"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475A1DF5" w:rsidR="007754C9" w:rsidRDefault="007754C9" w:rsidP="007754C9">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Finally, collaboration from Alaska Department of Fish and Game biologists Aaron Dupuis and Justin Priest has enabled this work to compare Indian River pink salmon abundances to those seen elsewhere in the vicinity of Sitka, a vital component of this research. This research has occurred on the ancestral homeland and with the approval of the Sitka Tribe of Alaska.  </w:t>
      </w:r>
    </w:p>
    <w:p w14:paraId="6ABAA840" w14:textId="3FAAECC2" w:rsidR="00306AE3" w:rsidRDefault="00306AE3" w:rsidP="00383E1E">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7"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8" w:history="1">
        <w:r w:rsidRPr="007B1A5E">
          <w:rPr>
            <w:rStyle w:val="Hyperlink"/>
          </w:rPr>
          <w:t>https://mtalab.adfg.alaska.gov/OTO/marking.aspx</w:t>
        </w:r>
      </w:hyperlink>
      <w:r>
        <w:t xml:space="preserve"> (accessed December 14, 2024)</w:t>
      </w:r>
    </w:p>
    <w:p w14:paraId="2D47526E" w14:textId="0BBA3DEB" w:rsidR="00267F5F" w:rsidRPr="003A279D" w:rsidRDefault="00267F5F" w:rsidP="000F7853">
      <w:pPr>
        <w:spacing w:line="240" w:lineRule="auto"/>
        <w:ind w:left="720" w:hanging="720"/>
      </w:pPr>
      <w:r>
        <w:t xml:space="preserve">Anderson, J. H., G. R. Pess, R. W. Carmichael, M. J. Ford, T. D. Cooney, C. M. Baldwin, and M. M. McClure. </w:t>
      </w:r>
      <w:r w:rsidR="003A279D">
        <w:t xml:space="preserve">2014. </w:t>
      </w:r>
      <w:r>
        <w:t xml:space="preserve">Planning Pacific Salmon and Steelhead Reintroductions Aimed at Long-Term Viability and Recovery. </w:t>
      </w:r>
      <w:r w:rsidR="003A279D">
        <w:rPr>
          <w:i/>
          <w:iCs/>
        </w:rPr>
        <w:t xml:space="preserve">North American Journal of Fisheries Management </w:t>
      </w:r>
      <w:r w:rsidR="003A279D">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Model selection and multimodel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P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097703A8" w14:textId="16B5371D" w:rsidR="000E5A64" w:rsidRPr="00E26A22" w:rsidRDefault="000E5A64" w:rsidP="000F7853">
      <w:pPr>
        <w:spacing w:line="240" w:lineRule="auto"/>
        <w:ind w:left="720" w:hanging="720"/>
      </w:pPr>
      <w:r>
        <w:t>del Monte-Luna, P., B. W. Brook, M. J. Zetina-Rej</w:t>
      </w:r>
      <w:r w:rsidR="00270CF9">
        <w:t xml:space="preserve">ón,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w:t>
      </w:r>
      <w:r w:rsidR="00A928CA">
        <w:t>and</w:t>
      </w:r>
      <w:r w:rsidR="009B7CF2">
        <w:t xml:space="preserve"> </w:t>
      </w:r>
      <w:r>
        <w:t xml:space="preserve">J. R. </w:t>
      </w:r>
      <w:r>
        <w:lastRenderedPageBreak/>
        <w:t xml:space="preserve">Webster. 2005. Loss of foundation species: consequences for the structure and dynamics of forested ecosystems. </w:t>
      </w:r>
      <w:r>
        <w:rPr>
          <w:i/>
          <w:iCs/>
        </w:rPr>
        <w:t>Frontiers in Ecology and the Environment</w:t>
      </w:r>
      <w:r>
        <w:t xml:space="preserve"> 3(9): 479-486.</w:t>
      </w:r>
    </w:p>
    <w:p w14:paraId="09FE861A" w14:textId="1E8D27F9" w:rsidR="00B424B2" w:rsidRDefault="00B424B2" w:rsidP="000F7853">
      <w:pPr>
        <w:spacing w:line="240" w:lineRule="auto"/>
        <w:ind w:left="720" w:hanging="720"/>
      </w:pPr>
      <w:r>
        <w:t xml:space="preserve">Estes, J. A. 2015. Natural History, Ecology, and the </w:t>
      </w:r>
      <w:r w:rsidR="006B062A">
        <w:t xml:space="preserve">Conservation and Management of Sea Otters.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19"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352FEF6"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Mountain Pine Beetle Impacts in High-Elevation Five-Needle Pines: Current Trends and Challenges.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Vilà.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6ED9A891"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w:t>
      </w:r>
      <w:r w:rsidR="00A928CA">
        <w:t xml:space="preserve">and </w:t>
      </w:r>
      <w:r>
        <w:t xml:space="preserve">S. Kumschick. 2014. Defining the Impact of Non-Native Species. </w:t>
      </w:r>
      <w:r>
        <w:rPr>
          <w:i/>
          <w:iCs/>
        </w:rPr>
        <w:t>Conservation Biology</w:t>
      </w:r>
      <w:r>
        <w:t xml:space="preserve"> 28(5): 1188-1194.</w:t>
      </w:r>
    </w:p>
    <w:p w14:paraId="3FC36220" w14:textId="597DA91B" w:rsidR="000F7853" w:rsidRDefault="000F7853" w:rsidP="000F7853">
      <w:pPr>
        <w:spacing w:line="240" w:lineRule="auto"/>
        <w:ind w:left="720" w:hanging="720"/>
      </w:pPr>
      <w:r>
        <w:t xml:space="preserve">Knudsen, E. E., P. S. Rand, K. B. Gorman, D. R. Bernard, </w:t>
      </w:r>
      <w:r w:rsidR="00A928CA">
        <w:t xml:space="preserve">and </w:t>
      </w:r>
      <w:r>
        <w:t xml:space="preserve">W. D. Templin. 2021. Hatchery-origin stray rates and total run characteristics for Pink Salmon and Chum Salmon returning to Prince William Sound, Alaska in 2013-2015. </w:t>
      </w:r>
      <w:r>
        <w:rPr>
          <w:i/>
          <w:iCs/>
        </w:rPr>
        <w:t xml:space="preserve">Marine and Coastal Fisheries </w:t>
      </w:r>
      <w:r>
        <w:t>13(1): 41-68.</w:t>
      </w:r>
    </w:p>
    <w:p w14:paraId="62E8B41E" w14:textId="4AF97A98" w:rsidR="00333796" w:rsidRPr="00333796" w:rsidRDefault="00333796" w:rsidP="000F7853">
      <w:pPr>
        <w:spacing w:line="240" w:lineRule="auto"/>
        <w:ind w:left="720" w:hanging="720"/>
      </w:pPr>
      <w:r>
        <w:t xml:space="preserve">Lemoine, N. P., D. E. Burkepile, and J. D. Parker. 2016. Quantifying Differences Between Native and Introduced Species.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lastRenderedPageBreak/>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6BD9990B" w:rsidR="00AF5677" w:rsidRDefault="000F7853" w:rsidP="000F7853">
      <w:pPr>
        <w:spacing w:line="240" w:lineRule="auto"/>
        <w:ind w:left="720" w:hanging="720"/>
      </w:pPr>
      <w:r>
        <w:t xml:space="preserve">Mantua, N. J., S. R. Hare, Y. Zhang, J. M. Wallace, </w:t>
      </w:r>
      <w:r w:rsidR="00A928CA">
        <w:t>and</w:t>
      </w:r>
      <w:r>
        <w:t xml:space="preserve"> R. C. Francis. A Pacific Interdecadal Climate Oscillation with Impacts on Salmon Production. </w:t>
      </w:r>
      <w:r>
        <w:rPr>
          <w:i/>
          <w:iCs/>
        </w:rPr>
        <w:t>Bulletin of the American Meteorological Society</w:t>
      </w:r>
      <w:r>
        <w:t xml:space="preserve"> 78(6): 1069-1079.</w:t>
      </w:r>
    </w:p>
    <w:p w14:paraId="46CE02A6" w14:textId="0BE8DAC3" w:rsidR="00282BCA" w:rsidRPr="00282BCA" w:rsidRDefault="00282BCA" w:rsidP="000F7853">
      <w:pPr>
        <w:spacing w:line="240" w:lineRule="auto"/>
        <w:ind w:left="720" w:hanging="720"/>
      </w:pPr>
      <w:r>
        <w:t xml:space="preserve">May, S. A., K. R. Shedd, K. M. Gruenthal, J. J. Hard, W. D. Templin, C. D. Waters, M. D. Adkison, E. J. Ward, C. Habicht, L. I. Wilson, A. C. Wertheimer, and P. A. H. Westley. 2024. Salmon hatchery strays can demographically boost wild populations at the cost of diversity: quantitative genetic modelling of Alaska pink salmon. </w:t>
      </w:r>
      <w:r>
        <w:rPr>
          <w:i/>
          <w:iCs/>
        </w:rPr>
        <w:t>Royal Society Open Science</w:t>
      </w:r>
      <w:r>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Golumbia,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Default="006F23FA" w:rsidP="00AF5677">
      <w:pPr>
        <w:spacing w:line="240" w:lineRule="auto"/>
        <w:ind w:left="720" w:hanging="720"/>
      </w:pPr>
      <w:r>
        <w:t xml:space="preserve">McMillan, J. R., B. Morrison, N. Chambers, G. Ruggerone, L. Bernatchez, J. Stanford, and H. Neville. 2023. A global synthesis of peer-reviewed research on the effects of hatchery salmonids on wild salmonids. </w:t>
      </w:r>
      <w:r>
        <w:rPr>
          <w:i/>
          <w:iCs/>
        </w:rPr>
        <w:t xml:space="preserve">Fisheries Management and Ecology </w:t>
      </w:r>
      <w:r>
        <w:t>30(5): 446-463.</w:t>
      </w:r>
      <w:r w:rsidR="000F7853">
        <w:t xml:space="preserve">  </w:t>
      </w:r>
    </w:p>
    <w:p w14:paraId="554AD8DC" w14:textId="092D4E1D" w:rsidR="009461CF" w:rsidRDefault="009461CF" w:rsidP="009461CF">
      <w:pPr>
        <w:spacing w:line="240" w:lineRule="auto"/>
        <w:ind w:left="720" w:hanging="720"/>
      </w:pPr>
      <w:r>
        <w:t xml:space="preserve">McNeil, W. J. 1964. Redd Superimposition and Egg Capacity of Pink Salmon Spawning Beds. </w:t>
      </w:r>
      <w:r w:rsidRPr="00147E1E">
        <w:t>Journal of the Fisheries Board of Canada</w:t>
      </w:r>
      <w:r>
        <w:t xml:space="preserve"> 21(6): 1385-1396.</w:t>
      </w:r>
    </w:p>
    <w:p w14:paraId="5D3ED3A4" w14:textId="0D32148B" w:rsidR="000F7853" w:rsidRDefault="000F7853" w:rsidP="000F7853">
      <w:pPr>
        <w:spacing w:line="240" w:lineRule="auto"/>
        <w:ind w:left="720" w:hanging="720"/>
      </w:pPr>
      <w:r>
        <w:t xml:space="preserve">Miller, K. M., S. J. Perles, J. P. Schmit, E. R. Matthews, A. S. Weed, J. A. Comiskey, M. R. Marshall, P. Nelson, </w:t>
      </w:r>
      <w:r w:rsidR="00A928CA">
        <w:t xml:space="preserve">and </w:t>
      </w:r>
      <w:r>
        <w:t xml:space="preserve">N. A. Fisichelli. 2023. </w:t>
      </w:r>
      <w:r w:rsidRPr="00656692">
        <w:t>Overabundant deer and invasive plants drive widespread regeneration debt in eastern United States national parks.</w:t>
      </w:r>
      <w:r>
        <w:t xml:space="preserve"> </w:t>
      </w:r>
      <w:r w:rsidRPr="00EF3D97">
        <w:rPr>
          <w:i/>
          <w:iCs/>
        </w:rPr>
        <w:t>Ecological Applications</w:t>
      </w:r>
      <w:r>
        <w:rPr>
          <w:i/>
          <w:iCs/>
        </w:rPr>
        <w:t xml:space="preserve"> </w:t>
      </w:r>
      <w:r>
        <w:t>33: 24pp.</w:t>
      </w:r>
    </w:p>
    <w:p w14:paraId="4E4A1E4F" w14:textId="3D6AEAD3"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6705773B" w:rsidR="00C13D3C" w:rsidRDefault="00C13D3C" w:rsidP="00C13D3C">
      <w:pPr>
        <w:spacing w:line="240" w:lineRule="auto"/>
        <w:ind w:left="720" w:hanging="720"/>
      </w:pPr>
      <w:r>
        <w:t xml:space="preserve">National Park Service. 2023. Reducing deer numbers and removing invasive plants are key to long term forest health. Available at: </w:t>
      </w:r>
      <w:hyperlink r:id="rId20" w:history="1">
        <w:r w:rsidRPr="00566B2A">
          <w:rPr>
            <w:rStyle w:val="Hyperlink"/>
          </w:rPr>
          <w:t>https://www.nps.gov/cato/learn/news/reducing-deer-numbers-and-removing-invasive-plants-are-key-to-long-term-forest-health.htm</w:t>
        </w:r>
      </w:hyperlink>
      <w:r>
        <w:t xml:space="preserve"> (accessed March </w:t>
      </w:r>
      <w:r w:rsidR="00774006">
        <w:t>17</w:t>
      </w:r>
      <w:r>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21"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lastRenderedPageBreak/>
        <w:t>National Park Service. 2025</w:t>
      </w:r>
      <w:r w:rsidR="00CF558E">
        <w:t>b</w:t>
      </w:r>
      <w:r>
        <w:t xml:space="preserve">. Sitka National Historical Park. Available at: </w:t>
      </w:r>
      <w:hyperlink r:id="rId22"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75FBD2D0" w:rsidR="004B213C" w:rsidRDefault="004B213C" w:rsidP="000F7853">
      <w:pPr>
        <w:spacing w:line="240" w:lineRule="auto"/>
        <w:ind w:left="720" w:hanging="720"/>
      </w:pPr>
      <w:r>
        <w:t xml:space="preserve">Ruggerone, G. T., </w:t>
      </w:r>
      <w:r w:rsidR="000B47AA">
        <w:t xml:space="preserve">and J. R. Irvine. 2018. Numbers and Biomass of Natural- and Hatchery-Origin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r>
        <w:t xml:space="preserve">Ruggerone,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36A0569" w:rsidR="000F7853" w:rsidRDefault="000F7853" w:rsidP="000F7853">
      <w:pPr>
        <w:spacing w:line="240" w:lineRule="auto"/>
        <w:ind w:left="720" w:hanging="720"/>
      </w:pPr>
      <w:r>
        <w:t>Sambaraju, K. R.</w:t>
      </w:r>
      <w:r w:rsidR="00A928CA">
        <w:t xml:space="preserve"> and </w:t>
      </w:r>
      <w:r>
        <w:t xml:space="preserve"> D. W. Goodman. 2021. Mountain pine beetle: an example of a climate-driven eruptive insect impacting conifer forest ecosystems. </w:t>
      </w:r>
      <w:r>
        <w:rPr>
          <w:i/>
          <w:iCs/>
        </w:rPr>
        <w:t>CABI Reviews</w:t>
      </w:r>
      <w:r>
        <w:t>: 18pp.</w:t>
      </w:r>
    </w:p>
    <w:p w14:paraId="27B12705" w14:textId="061DCDF6" w:rsidR="00310948" w:rsidRDefault="00310948" w:rsidP="00310948">
      <w:pPr>
        <w:spacing w:line="240" w:lineRule="auto"/>
        <w:ind w:left="720" w:hanging="720"/>
      </w:pPr>
      <w:r>
        <w:t xml:space="preserve">Scheuerell, M. D., E. R. Buhle, B. X. Semmens, M. J. Ford, T. Cooney, </w:t>
      </w:r>
      <w:r w:rsidR="00A928CA">
        <w:t xml:space="preserve">and </w:t>
      </w:r>
      <w:r>
        <w:t xml:space="preserve">R. W. Carmichael. 2015. Analyzing large-scale conservation interventions with Bayesian hierarchical models: a case study of supplementing threated Pacific salmon. </w:t>
      </w:r>
      <w:r>
        <w:rPr>
          <w:i/>
          <w:iCs/>
        </w:rPr>
        <w:t xml:space="preserve">Ecology and Evolution </w:t>
      </w:r>
      <w:r>
        <w:t>5(10): 2115-2125.</w:t>
      </w:r>
    </w:p>
    <w:p w14:paraId="1F63EFB7" w14:textId="0637CE21" w:rsidR="000F7853" w:rsidRPr="005810E6" w:rsidRDefault="000F7853" w:rsidP="000F7853">
      <w:pPr>
        <w:spacing w:line="240" w:lineRule="auto"/>
        <w:ind w:left="720" w:hanging="720"/>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57F00B15" w14:textId="735D6E81" w:rsidR="000F7853" w:rsidRDefault="000F7853" w:rsidP="000F7853">
      <w:pPr>
        <w:spacing w:line="240" w:lineRule="auto"/>
        <w:ind w:left="720" w:hanging="720"/>
      </w:pPr>
      <w:r>
        <w:t xml:space="preserve">Sergeant, C. J., J. R. Bellmore, R. A. Bellmore, J. A. Falke, F. J. Mueter,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12pp.</w:t>
      </w:r>
    </w:p>
    <w:p w14:paraId="2EE60909" w14:textId="77777777"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1D692089" w14:textId="77777777" w:rsidR="000F7853" w:rsidRDefault="000F7853" w:rsidP="000F785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Managemnt – Pacific Salmon,</w:t>
      </w:r>
      <w:r>
        <w:t xml:space="preserve"> 161-193. Lewis Publishers.</w:t>
      </w:r>
    </w:p>
    <w:p w14:paraId="04A20E53" w14:textId="5C64BEAE" w:rsidR="009C2CB3" w:rsidRDefault="009C2CB3" w:rsidP="00306AE3">
      <w:pPr>
        <w:spacing w:line="240" w:lineRule="auto"/>
        <w:ind w:left="720" w:hanging="720"/>
      </w:pPr>
    </w:p>
    <w:sectPr w:rsidR="009C2CB3" w:rsidSect="001E1CBF">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 Scheuerell" w:date="2026-04-14T11:04:00Z" w:initials="MDS">
    <w:p w14:paraId="73DC888D" w14:textId="77777777" w:rsidR="000D67EE" w:rsidRDefault="000D67EE">
      <w:pPr>
        <w:pStyle w:val="CommentText"/>
      </w:pPr>
      <w:r>
        <w:rPr>
          <w:rStyle w:val="CommentReference"/>
        </w:rPr>
        <w:annotationRef/>
      </w:r>
      <w:r>
        <w:t>I publish with my middle initial. Would be good to ask Scott and Tom what they prefer</w:t>
      </w:r>
    </w:p>
  </w:comment>
  <w:comment w:id="5" w:author="Brian McGreal" w:date="2026-03-30T14:58:00Z" w:initials="BM">
    <w:p w14:paraId="12ACF803" w14:textId="42ABB0A7" w:rsidR="00837571" w:rsidRDefault="00837571">
      <w:pPr>
        <w:pStyle w:val="CommentText"/>
      </w:pPr>
      <w:r>
        <w:rPr>
          <w:rStyle w:val="CommentReference"/>
        </w:rPr>
        <w:annotationRef/>
      </w:r>
      <w:r>
        <w:t>Does this language work? Or ‘regional expectation’?</w:t>
      </w:r>
    </w:p>
  </w:comment>
  <w:comment w:id="6" w:author="Mark Scheuerell" w:date="2026-04-14T11:55:00Z" w:initials="MDS">
    <w:p w14:paraId="4C27C357" w14:textId="77777777" w:rsidR="002D3085" w:rsidRDefault="002D3085">
      <w:pPr>
        <w:pStyle w:val="CommentText"/>
      </w:pPr>
      <w:r>
        <w:rPr>
          <w:rStyle w:val="CommentReference"/>
        </w:rPr>
        <w:annotationRef/>
      </w:r>
      <w:r>
        <w:t>This helps, but I suspect someone will ask about a seemingly naïve option of comparing mean abundances between groups in some before/after periods. Can you create a plot of the actual counts/km by index stream plus IR?</w:t>
      </w:r>
    </w:p>
    <w:p w14:paraId="220DA997" w14:textId="77777777" w:rsidR="005E0D2D" w:rsidRDefault="005E0D2D">
      <w:pPr>
        <w:pStyle w:val="CommentText"/>
      </w:pPr>
    </w:p>
    <w:p w14:paraId="5D3EF08A" w14:textId="0AFC0DFB" w:rsidR="005E0D2D" w:rsidRDefault="005E0D2D">
      <w:pPr>
        <w:pStyle w:val="CommentText"/>
      </w:pPr>
      <w:r>
        <w:t>For example, look at these plots where group 2 has lower numbers to start but grows above group 1</w:t>
      </w:r>
      <w:r w:rsidR="00A31219">
        <w:t xml:space="preserve"> (top) compared to their z-scored values below where the groups appear the same throughout</w:t>
      </w:r>
    </w:p>
    <w:p w14:paraId="28C5046C" w14:textId="77777777" w:rsidR="00A31219" w:rsidRDefault="00A31219">
      <w:pPr>
        <w:pStyle w:val="CommentText"/>
      </w:pPr>
    </w:p>
    <w:p w14:paraId="747F23D3" w14:textId="7D45FFB9" w:rsidR="00A31219" w:rsidRDefault="00A31219">
      <w:pPr>
        <w:pStyle w:val="CommentText"/>
      </w:pPr>
      <w:r w:rsidRPr="00A31219">
        <w:rPr>
          <w:noProof/>
        </w:rPr>
        <w:drawing>
          <wp:inline distT="0" distB="0" distL="0" distR="0" wp14:anchorId="017067E1" wp14:editId="5BCFE42B">
            <wp:extent cx="5943600" cy="4196715"/>
            <wp:effectExtent l="0" t="0" r="0" b="0"/>
            <wp:docPr id="176871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3944" name=""/>
                    <pic:cNvPicPr/>
                  </pic:nvPicPr>
                  <pic:blipFill>
                    <a:blip r:embed="rId1"/>
                    <a:stretch>
                      <a:fillRect/>
                    </a:stretch>
                  </pic:blipFill>
                  <pic:spPr>
                    <a:xfrm>
                      <a:off x="0" y="0"/>
                      <a:ext cx="5943600" cy="4196715"/>
                    </a:xfrm>
                    <a:prstGeom prst="rect">
                      <a:avLst/>
                    </a:prstGeom>
                  </pic:spPr>
                </pic:pic>
              </a:graphicData>
            </a:graphic>
          </wp:inline>
        </w:drawing>
      </w:r>
    </w:p>
  </w:comment>
  <w:comment w:id="3" w:author="Mark Scheuerell [2]" w:date="2026-03-07T09:07:00Z" w:initials="s">
    <w:p w14:paraId="462547C8" w14:textId="166BB18A" w:rsidR="009C0B82" w:rsidRDefault="009C0B82">
      <w:pPr>
        <w:pStyle w:val="CommentText"/>
      </w:pPr>
      <w:r>
        <w:rPr>
          <w:rStyle w:val="CommentReference"/>
        </w:rPr>
        <w:annotationRef/>
      </w:r>
      <w:r>
        <w:t>I’m not sure you can make these definitive statements based on z-scored data. I think you can speak in relative terms when comparing the estimated states. What do the raw data show with respect to actual densities (fish/km)?</w:t>
      </w:r>
    </w:p>
  </w:comment>
  <w:comment w:id="4" w:author="Brian McGreal" w:date="2026-03-30T14:45:00Z" w:initials="BM">
    <w:p w14:paraId="23F275B2" w14:textId="5DA66F39" w:rsidR="00F9527E" w:rsidRDefault="00F9527E">
      <w:pPr>
        <w:pStyle w:val="CommentText"/>
      </w:pPr>
      <w:r>
        <w:rPr>
          <w:rStyle w:val="CommentReference"/>
        </w:rPr>
        <w:annotationRef/>
      </w:r>
      <w:r>
        <w:t>I can back transform the Indian River state estimates into raw values, but because the state estimate related to the region is derived from 35 index streams, I don’t have a single mean/sd to apply to those values..</w:t>
      </w:r>
    </w:p>
  </w:comment>
  <w:comment w:id="7" w:author="Brian McGreal" w:date="2026-03-30T15:05:00Z" w:initials="BM">
    <w:p w14:paraId="090708CA" w14:textId="463CCD79" w:rsidR="001B7645" w:rsidRDefault="001B7645">
      <w:pPr>
        <w:pStyle w:val="CommentText"/>
      </w:pPr>
      <w:r>
        <w:rPr>
          <w:rStyle w:val="CommentReference"/>
        </w:rPr>
        <w:annotationRef/>
      </w:r>
      <w:r>
        <w:t>Here again</w:t>
      </w:r>
    </w:p>
  </w:comment>
  <w:comment w:id="8" w:author="Mark Scheuerell" w:date="2026-04-14T12:41:00Z" w:initials="MDS">
    <w:p w14:paraId="0582B4FA" w14:textId="77777777" w:rsidR="001F6780" w:rsidRDefault="001F6780">
      <w:pPr>
        <w:pStyle w:val="CommentText"/>
      </w:pPr>
      <w:r>
        <w:rPr>
          <w:rStyle w:val="CommentReference"/>
        </w:rPr>
        <w:annotationRef/>
      </w:r>
      <w:r>
        <w:t>Recall that this is where you should place your results into a broader context among previous studies (ie, the state of the literature). I don’t see any citations to other work here, which is rather unusual. Some motivating Q’s might be:</w:t>
      </w:r>
    </w:p>
    <w:p w14:paraId="58559305" w14:textId="77777777" w:rsidR="001F6780" w:rsidRDefault="001F6780" w:rsidP="001F6780">
      <w:pPr>
        <w:pStyle w:val="CommentText"/>
        <w:numPr>
          <w:ilvl w:val="0"/>
          <w:numId w:val="2"/>
        </w:numPr>
      </w:pPr>
      <w:r>
        <w:t xml:space="preserve"> What did (could) your approach tell us that others couldn’t?</w:t>
      </w:r>
    </w:p>
    <w:p w14:paraId="191C6160" w14:textId="77777777" w:rsidR="001F6780" w:rsidRDefault="001F6780" w:rsidP="001F6780">
      <w:pPr>
        <w:pStyle w:val="CommentText"/>
        <w:numPr>
          <w:ilvl w:val="0"/>
          <w:numId w:val="2"/>
        </w:numPr>
      </w:pPr>
      <w:r>
        <w:t xml:space="preserve"> What might be some causes of the regional increases in abundance?</w:t>
      </w:r>
    </w:p>
    <w:p w14:paraId="78298D3C" w14:textId="45E62D1F" w:rsidR="001F6780" w:rsidRDefault="001F6780" w:rsidP="001F6780">
      <w:pPr>
        <w:pStyle w:val="CommentText"/>
        <w:numPr>
          <w:ilvl w:val="0"/>
          <w:numId w:val="2"/>
        </w:numPr>
      </w:pPr>
      <w:r>
        <w:t xml:space="preserve"> Why would apparent increases in local (IR) abundance seem so large absent other comparisons?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C888D" w15:done="0"/>
  <w15:commentEx w15:paraId="12ACF803" w15:done="0"/>
  <w15:commentEx w15:paraId="747F23D3" w15:paraIdParent="12ACF803" w15:done="0"/>
  <w15:commentEx w15:paraId="462547C8" w15:done="0"/>
  <w15:commentEx w15:paraId="23F275B2" w15:paraIdParent="462547C8" w15:done="0"/>
  <w15:commentEx w15:paraId="090708CA" w15:done="0"/>
  <w15:commentEx w15:paraId="78298D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FD7018" w16cex:dateUtc="2026-04-14T18:04:00Z"/>
  <w16cex:commentExtensible w16cex:durableId="50C632B6" w16cex:dateUtc="2026-03-30T21:58:00Z"/>
  <w16cex:commentExtensible w16cex:durableId="00F198B5" w16cex:dateUtc="2026-04-14T18:55:00Z"/>
  <w16cex:commentExtensible w16cex:durableId="206F53A5" w16cex:dateUtc="2026-03-07T17:07:00Z"/>
  <w16cex:commentExtensible w16cex:durableId="44C801D1" w16cex:dateUtc="2026-03-30T21:45:00Z"/>
  <w16cex:commentExtensible w16cex:durableId="32D3276B" w16cex:dateUtc="2026-03-30T22:05:00Z"/>
  <w16cex:commentExtensible w16cex:durableId="79B5D593" w16cex:dateUtc="2026-04-14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C888D" w16cid:durableId="3EFD7018"/>
  <w16cid:commentId w16cid:paraId="12ACF803" w16cid:durableId="50C632B6"/>
  <w16cid:commentId w16cid:paraId="747F23D3" w16cid:durableId="00F198B5"/>
  <w16cid:commentId w16cid:paraId="462547C8" w16cid:durableId="206F53A5"/>
  <w16cid:commentId w16cid:paraId="23F275B2" w16cid:durableId="44C801D1"/>
  <w16cid:commentId w16cid:paraId="090708CA" w16cid:durableId="32D3276B"/>
  <w16cid:commentId w16cid:paraId="78298D3C" w16cid:durableId="79B5D5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None" w15:userId="Mark Scheuerell"/>
  </w15:person>
  <w15:person w15:author="Brian McGreal">
    <w15:presenceInfo w15:providerId="Windows Live" w15:userId="4c81a134ebae7d72"/>
  </w15:person>
  <w15:person w15:author="Mark Scheuerell [2]">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25AAD"/>
    <w:rsid w:val="00044435"/>
    <w:rsid w:val="000575C0"/>
    <w:rsid w:val="00060EB8"/>
    <w:rsid w:val="0006107E"/>
    <w:rsid w:val="00062BCE"/>
    <w:rsid w:val="000672D9"/>
    <w:rsid w:val="00070D06"/>
    <w:rsid w:val="00074F30"/>
    <w:rsid w:val="000800D2"/>
    <w:rsid w:val="00086DA1"/>
    <w:rsid w:val="00090DA1"/>
    <w:rsid w:val="00096995"/>
    <w:rsid w:val="00097C72"/>
    <w:rsid w:val="000A0753"/>
    <w:rsid w:val="000A36D5"/>
    <w:rsid w:val="000B2062"/>
    <w:rsid w:val="000B47AA"/>
    <w:rsid w:val="000C6459"/>
    <w:rsid w:val="000D21FB"/>
    <w:rsid w:val="000D67EE"/>
    <w:rsid w:val="000E5A64"/>
    <w:rsid w:val="000F0E42"/>
    <w:rsid w:val="000F7853"/>
    <w:rsid w:val="00105DEF"/>
    <w:rsid w:val="00106EE6"/>
    <w:rsid w:val="001111B6"/>
    <w:rsid w:val="00112BBF"/>
    <w:rsid w:val="00114A77"/>
    <w:rsid w:val="00115D83"/>
    <w:rsid w:val="00121CF4"/>
    <w:rsid w:val="001262D0"/>
    <w:rsid w:val="001370D1"/>
    <w:rsid w:val="00143CB9"/>
    <w:rsid w:val="001509D8"/>
    <w:rsid w:val="00186361"/>
    <w:rsid w:val="0019013C"/>
    <w:rsid w:val="00197700"/>
    <w:rsid w:val="001A405D"/>
    <w:rsid w:val="001A6AA2"/>
    <w:rsid w:val="001B7645"/>
    <w:rsid w:val="001C7DF8"/>
    <w:rsid w:val="001D457C"/>
    <w:rsid w:val="001D51EA"/>
    <w:rsid w:val="001D5683"/>
    <w:rsid w:val="001D716E"/>
    <w:rsid w:val="001E1CBF"/>
    <w:rsid w:val="001E29F4"/>
    <w:rsid w:val="001E64A8"/>
    <w:rsid w:val="001F2735"/>
    <w:rsid w:val="001F6780"/>
    <w:rsid w:val="001F775B"/>
    <w:rsid w:val="001F7F26"/>
    <w:rsid w:val="00205B63"/>
    <w:rsid w:val="00207CF5"/>
    <w:rsid w:val="00216517"/>
    <w:rsid w:val="00223722"/>
    <w:rsid w:val="00226B01"/>
    <w:rsid w:val="002321EC"/>
    <w:rsid w:val="002321EF"/>
    <w:rsid w:val="00232D52"/>
    <w:rsid w:val="00246989"/>
    <w:rsid w:val="00252296"/>
    <w:rsid w:val="002657D1"/>
    <w:rsid w:val="00267F5F"/>
    <w:rsid w:val="00270CF9"/>
    <w:rsid w:val="00281853"/>
    <w:rsid w:val="00282BCA"/>
    <w:rsid w:val="00283E26"/>
    <w:rsid w:val="0029325E"/>
    <w:rsid w:val="002941A2"/>
    <w:rsid w:val="002A355E"/>
    <w:rsid w:val="002A4213"/>
    <w:rsid w:val="002B1614"/>
    <w:rsid w:val="002B7623"/>
    <w:rsid w:val="002D28DF"/>
    <w:rsid w:val="002D3085"/>
    <w:rsid w:val="002D6F98"/>
    <w:rsid w:val="002D76A3"/>
    <w:rsid w:val="002E34E7"/>
    <w:rsid w:val="002E43BB"/>
    <w:rsid w:val="002E58F4"/>
    <w:rsid w:val="00303024"/>
    <w:rsid w:val="003042E8"/>
    <w:rsid w:val="00305B49"/>
    <w:rsid w:val="00306AE3"/>
    <w:rsid w:val="00310948"/>
    <w:rsid w:val="00321B88"/>
    <w:rsid w:val="0033098E"/>
    <w:rsid w:val="003323B4"/>
    <w:rsid w:val="00333796"/>
    <w:rsid w:val="00336763"/>
    <w:rsid w:val="00344905"/>
    <w:rsid w:val="00351AE4"/>
    <w:rsid w:val="003542B1"/>
    <w:rsid w:val="003633DB"/>
    <w:rsid w:val="0036701C"/>
    <w:rsid w:val="00367E5F"/>
    <w:rsid w:val="00376A4E"/>
    <w:rsid w:val="003772FF"/>
    <w:rsid w:val="00383E1E"/>
    <w:rsid w:val="00391B74"/>
    <w:rsid w:val="003A279D"/>
    <w:rsid w:val="003B4882"/>
    <w:rsid w:val="003B6985"/>
    <w:rsid w:val="003B7704"/>
    <w:rsid w:val="003C5745"/>
    <w:rsid w:val="003C6E79"/>
    <w:rsid w:val="003C77AC"/>
    <w:rsid w:val="003D1E65"/>
    <w:rsid w:val="003D5D39"/>
    <w:rsid w:val="00402DA4"/>
    <w:rsid w:val="004040BD"/>
    <w:rsid w:val="00412816"/>
    <w:rsid w:val="00414541"/>
    <w:rsid w:val="004217D3"/>
    <w:rsid w:val="00421CE7"/>
    <w:rsid w:val="00427DB5"/>
    <w:rsid w:val="004327DF"/>
    <w:rsid w:val="00460B8F"/>
    <w:rsid w:val="00464050"/>
    <w:rsid w:val="00470F5B"/>
    <w:rsid w:val="00494B76"/>
    <w:rsid w:val="004A1DBD"/>
    <w:rsid w:val="004B019B"/>
    <w:rsid w:val="004B0CE8"/>
    <w:rsid w:val="004B213C"/>
    <w:rsid w:val="004B21F9"/>
    <w:rsid w:val="004C58F2"/>
    <w:rsid w:val="004D0A93"/>
    <w:rsid w:val="004D0C78"/>
    <w:rsid w:val="004D6698"/>
    <w:rsid w:val="004F779B"/>
    <w:rsid w:val="005033DC"/>
    <w:rsid w:val="005078EE"/>
    <w:rsid w:val="00510E38"/>
    <w:rsid w:val="00513D95"/>
    <w:rsid w:val="005227E4"/>
    <w:rsid w:val="005306BE"/>
    <w:rsid w:val="005363D0"/>
    <w:rsid w:val="005565C2"/>
    <w:rsid w:val="00556699"/>
    <w:rsid w:val="00572D2B"/>
    <w:rsid w:val="00574432"/>
    <w:rsid w:val="00576D64"/>
    <w:rsid w:val="00577064"/>
    <w:rsid w:val="005875E2"/>
    <w:rsid w:val="00591B05"/>
    <w:rsid w:val="005941E5"/>
    <w:rsid w:val="00597FAB"/>
    <w:rsid w:val="005B1667"/>
    <w:rsid w:val="005B1CFB"/>
    <w:rsid w:val="005B3082"/>
    <w:rsid w:val="005B3ACD"/>
    <w:rsid w:val="005B7404"/>
    <w:rsid w:val="005C24C4"/>
    <w:rsid w:val="005C4DB8"/>
    <w:rsid w:val="005D4C4C"/>
    <w:rsid w:val="005D5E6A"/>
    <w:rsid w:val="005E0D2D"/>
    <w:rsid w:val="005E3E9B"/>
    <w:rsid w:val="005F56EA"/>
    <w:rsid w:val="005F6F08"/>
    <w:rsid w:val="006002FE"/>
    <w:rsid w:val="006055F1"/>
    <w:rsid w:val="00606257"/>
    <w:rsid w:val="00606949"/>
    <w:rsid w:val="006078D8"/>
    <w:rsid w:val="00612D9D"/>
    <w:rsid w:val="00614AD3"/>
    <w:rsid w:val="00614E66"/>
    <w:rsid w:val="006178EC"/>
    <w:rsid w:val="00625D54"/>
    <w:rsid w:val="00626338"/>
    <w:rsid w:val="0063158E"/>
    <w:rsid w:val="00633AFA"/>
    <w:rsid w:val="00647DF2"/>
    <w:rsid w:val="00651658"/>
    <w:rsid w:val="00654605"/>
    <w:rsid w:val="00660262"/>
    <w:rsid w:val="00666290"/>
    <w:rsid w:val="00670218"/>
    <w:rsid w:val="00672EBC"/>
    <w:rsid w:val="006745B4"/>
    <w:rsid w:val="0067541D"/>
    <w:rsid w:val="00675815"/>
    <w:rsid w:val="006827E0"/>
    <w:rsid w:val="00693FA0"/>
    <w:rsid w:val="006A0FFE"/>
    <w:rsid w:val="006B062A"/>
    <w:rsid w:val="006B1A2E"/>
    <w:rsid w:val="006B5A94"/>
    <w:rsid w:val="006C6D25"/>
    <w:rsid w:val="006D7969"/>
    <w:rsid w:val="006E0493"/>
    <w:rsid w:val="006E6B42"/>
    <w:rsid w:val="006F23FA"/>
    <w:rsid w:val="006F4BBF"/>
    <w:rsid w:val="00716B1F"/>
    <w:rsid w:val="00723599"/>
    <w:rsid w:val="00726626"/>
    <w:rsid w:val="00731AF8"/>
    <w:rsid w:val="00734A33"/>
    <w:rsid w:val="00737D2B"/>
    <w:rsid w:val="00740E18"/>
    <w:rsid w:val="00741B88"/>
    <w:rsid w:val="00756C35"/>
    <w:rsid w:val="007635F3"/>
    <w:rsid w:val="0077073C"/>
    <w:rsid w:val="00771AD2"/>
    <w:rsid w:val="00773DA7"/>
    <w:rsid w:val="00774006"/>
    <w:rsid w:val="007754C9"/>
    <w:rsid w:val="00795151"/>
    <w:rsid w:val="007B0F67"/>
    <w:rsid w:val="007B55B0"/>
    <w:rsid w:val="007C003B"/>
    <w:rsid w:val="007C158F"/>
    <w:rsid w:val="007C46E2"/>
    <w:rsid w:val="007C5247"/>
    <w:rsid w:val="007E180A"/>
    <w:rsid w:val="007F1518"/>
    <w:rsid w:val="007F5330"/>
    <w:rsid w:val="00802542"/>
    <w:rsid w:val="0080336B"/>
    <w:rsid w:val="00837571"/>
    <w:rsid w:val="00852E21"/>
    <w:rsid w:val="00855FD8"/>
    <w:rsid w:val="0086192A"/>
    <w:rsid w:val="0087213E"/>
    <w:rsid w:val="0087408B"/>
    <w:rsid w:val="00874BB8"/>
    <w:rsid w:val="00875B91"/>
    <w:rsid w:val="008A7255"/>
    <w:rsid w:val="008C0B8C"/>
    <w:rsid w:val="008C0E5E"/>
    <w:rsid w:val="008C144E"/>
    <w:rsid w:val="008C3130"/>
    <w:rsid w:val="008D05BB"/>
    <w:rsid w:val="008D0E15"/>
    <w:rsid w:val="008D1BFB"/>
    <w:rsid w:val="008D3168"/>
    <w:rsid w:val="008D569E"/>
    <w:rsid w:val="008E583F"/>
    <w:rsid w:val="008E7DF4"/>
    <w:rsid w:val="008F33A8"/>
    <w:rsid w:val="0090005E"/>
    <w:rsid w:val="009056D1"/>
    <w:rsid w:val="0091309E"/>
    <w:rsid w:val="0092693F"/>
    <w:rsid w:val="00931642"/>
    <w:rsid w:val="0093424C"/>
    <w:rsid w:val="0093781E"/>
    <w:rsid w:val="00942F0B"/>
    <w:rsid w:val="009461CF"/>
    <w:rsid w:val="0096153E"/>
    <w:rsid w:val="00967016"/>
    <w:rsid w:val="00970BA1"/>
    <w:rsid w:val="009721BE"/>
    <w:rsid w:val="009754D5"/>
    <w:rsid w:val="00976473"/>
    <w:rsid w:val="0097710D"/>
    <w:rsid w:val="009845B1"/>
    <w:rsid w:val="009978CD"/>
    <w:rsid w:val="009A04D0"/>
    <w:rsid w:val="009A51C2"/>
    <w:rsid w:val="009A59EE"/>
    <w:rsid w:val="009B40CF"/>
    <w:rsid w:val="009B5B49"/>
    <w:rsid w:val="009B64EB"/>
    <w:rsid w:val="009B7CF2"/>
    <w:rsid w:val="009C0B82"/>
    <w:rsid w:val="009C0C6B"/>
    <w:rsid w:val="009C2CB3"/>
    <w:rsid w:val="009D4DE7"/>
    <w:rsid w:val="009D4E1E"/>
    <w:rsid w:val="009D55B2"/>
    <w:rsid w:val="009D569C"/>
    <w:rsid w:val="009D7D33"/>
    <w:rsid w:val="009E0479"/>
    <w:rsid w:val="009E2FA4"/>
    <w:rsid w:val="009F0991"/>
    <w:rsid w:val="009F3E3F"/>
    <w:rsid w:val="009F55A2"/>
    <w:rsid w:val="009F6B38"/>
    <w:rsid w:val="00A017CB"/>
    <w:rsid w:val="00A21D8D"/>
    <w:rsid w:val="00A227BE"/>
    <w:rsid w:val="00A2387C"/>
    <w:rsid w:val="00A26CD8"/>
    <w:rsid w:val="00A31219"/>
    <w:rsid w:val="00A368FA"/>
    <w:rsid w:val="00A407B8"/>
    <w:rsid w:val="00A40D49"/>
    <w:rsid w:val="00A43887"/>
    <w:rsid w:val="00A527C1"/>
    <w:rsid w:val="00A60972"/>
    <w:rsid w:val="00A6298E"/>
    <w:rsid w:val="00A64B5F"/>
    <w:rsid w:val="00A91C0C"/>
    <w:rsid w:val="00A928CA"/>
    <w:rsid w:val="00A93D33"/>
    <w:rsid w:val="00AB15D6"/>
    <w:rsid w:val="00AB32D2"/>
    <w:rsid w:val="00AC48BB"/>
    <w:rsid w:val="00AC50CD"/>
    <w:rsid w:val="00AD445E"/>
    <w:rsid w:val="00AE03EE"/>
    <w:rsid w:val="00AE4507"/>
    <w:rsid w:val="00AE6A99"/>
    <w:rsid w:val="00AE794B"/>
    <w:rsid w:val="00AF3339"/>
    <w:rsid w:val="00AF5677"/>
    <w:rsid w:val="00B00D9B"/>
    <w:rsid w:val="00B07643"/>
    <w:rsid w:val="00B23CD2"/>
    <w:rsid w:val="00B40C10"/>
    <w:rsid w:val="00B424B2"/>
    <w:rsid w:val="00B42955"/>
    <w:rsid w:val="00B50797"/>
    <w:rsid w:val="00B60336"/>
    <w:rsid w:val="00B66763"/>
    <w:rsid w:val="00B66BBC"/>
    <w:rsid w:val="00B67742"/>
    <w:rsid w:val="00B75C7F"/>
    <w:rsid w:val="00B94D98"/>
    <w:rsid w:val="00B96F76"/>
    <w:rsid w:val="00BA3C27"/>
    <w:rsid w:val="00BA6468"/>
    <w:rsid w:val="00BB24CA"/>
    <w:rsid w:val="00BB43D3"/>
    <w:rsid w:val="00BB4FE2"/>
    <w:rsid w:val="00BD0856"/>
    <w:rsid w:val="00BD0AAF"/>
    <w:rsid w:val="00BD3740"/>
    <w:rsid w:val="00BD7B83"/>
    <w:rsid w:val="00BF04BF"/>
    <w:rsid w:val="00C02ADB"/>
    <w:rsid w:val="00C13D3C"/>
    <w:rsid w:val="00C16190"/>
    <w:rsid w:val="00C3066D"/>
    <w:rsid w:val="00C45B4E"/>
    <w:rsid w:val="00C60F0A"/>
    <w:rsid w:val="00C61B5A"/>
    <w:rsid w:val="00C64BF8"/>
    <w:rsid w:val="00C66ED1"/>
    <w:rsid w:val="00C80629"/>
    <w:rsid w:val="00C874A9"/>
    <w:rsid w:val="00C92B7C"/>
    <w:rsid w:val="00C9797F"/>
    <w:rsid w:val="00CA65D7"/>
    <w:rsid w:val="00CC492A"/>
    <w:rsid w:val="00CC7AA4"/>
    <w:rsid w:val="00CD3E62"/>
    <w:rsid w:val="00CD58A3"/>
    <w:rsid w:val="00CD66B9"/>
    <w:rsid w:val="00CE0F1A"/>
    <w:rsid w:val="00CE633A"/>
    <w:rsid w:val="00CF558E"/>
    <w:rsid w:val="00D011BB"/>
    <w:rsid w:val="00D15E91"/>
    <w:rsid w:val="00D362A0"/>
    <w:rsid w:val="00D368CD"/>
    <w:rsid w:val="00D431CD"/>
    <w:rsid w:val="00D45C26"/>
    <w:rsid w:val="00D47DE6"/>
    <w:rsid w:val="00D51675"/>
    <w:rsid w:val="00D56989"/>
    <w:rsid w:val="00D5785A"/>
    <w:rsid w:val="00D57B76"/>
    <w:rsid w:val="00D801ED"/>
    <w:rsid w:val="00D91F0E"/>
    <w:rsid w:val="00D92480"/>
    <w:rsid w:val="00D9784A"/>
    <w:rsid w:val="00DA3D82"/>
    <w:rsid w:val="00DA70F0"/>
    <w:rsid w:val="00DB0CE4"/>
    <w:rsid w:val="00DC2443"/>
    <w:rsid w:val="00DC67C0"/>
    <w:rsid w:val="00DD06B9"/>
    <w:rsid w:val="00DD0F99"/>
    <w:rsid w:val="00DE2128"/>
    <w:rsid w:val="00DF0566"/>
    <w:rsid w:val="00DF38BD"/>
    <w:rsid w:val="00DF7AE5"/>
    <w:rsid w:val="00E06BFE"/>
    <w:rsid w:val="00E26A22"/>
    <w:rsid w:val="00E33ABF"/>
    <w:rsid w:val="00E458B3"/>
    <w:rsid w:val="00E47684"/>
    <w:rsid w:val="00E55CCF"/>
    <w:rsid w:val="00E64ABF"/>
    <w:rsid w:val="00E65279"/>
    <w:rsid w:val="00E65F33"/>
    <w:rsid w:val="00E72B3A"/>
    <w:rsid w:val="00E73316"/>
    <w:rsid w:val="00E808CF"/>
    <w:rsid w:val="00E82478"/>
    <w:rsid w:val="00E840C6"/>
    <w:rsid w:val="00EB0251"/>
    <w:rsid w:val="00EB1DB7"/>
    <w:rsid w:val="00EC3B72"/>
    <w:rsid w:val="00ED5857"/>
    <w:rsid w:val="00ED5A07"/>
    <w:rsid w:val="00ED6470"/>
    <w:rsid w:val="00ED689D"/>
    <w:rsid w:val="00EF0488"/>
    <w:rsid w:val="00EF2ADE"/>
    <w:rsid w:val="00EF3D97"/>
    <w:rsid w:val="00EF4CE3"/>
    <w:rsid w:val="00F01ACB"/>
    <w:rsid w:val="00F12190"/>
    <w:rsid w:val="00F154A6"/>
    <w:rsid w:val="00F20039"/>
    <w:rsid w:val="00F26C13"/>
    <w:rsid w:val="00F275C7"/>
    <w:rsid w:val="00F302DE"/>
    <w:rsid w:val="00F4350E"/>
    <w:rsid w:val="00F45152"/>
    <w:rsid w:val="00F4609B"/>
    <w:rsid w:val="00F51DD2"/>
    <w:rsid w:val="00F5558B"/>
    <w:rsid w:val="00F6199D"/>
    <w:rsid w:val="00F66F22"/>
    <w:rsid w:val="00F67FB5"/>
    <w:rsid w:val="00F8028C"/>
    <w:rsid w:val="00F8072F"/>
    <w:rsid w:val="00F90233"/>
    <w:rsid w:val="00F9527E"/>
    <w:rsid w:val="00FA3D5B"/>
    <w:rsid w:val="00FA6A18"/>
    <w:rsid w:val="00FA7FF3"/>
    <w:rsid w:val="00FB4201"/>
    <w:rsid w:val="00FC2324"/>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6.png"/><Relationship Id="rId18" Type="http://schemas.openxmlformats.org/officeDocument/2006/relationships/hyperlink" Target="https://mtalab.adfg.alaska.gov/OTO/marking.aspx" TargetMode="External"/><Relationship Id="rId3" Type="http://schemas.openxmlformats.org/officeDocument/2006/relationships/settings" Target="settings.xml"/><Relationship Id="rId21" Type="http://schemas.openxmlformats.org/officeDocument/2006/relationships/hyperlink" Target="https://www.nps.gov/grba/learn/management/organic-act-of-1916.htm%20"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www.adfg.alaska.gov/index.cfm?adfg=commercialbyareasoutheast.salmon_research_pin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nps.gov/cato/learn/news/reducing-deer-numbers-and-removing-invasive-plants-are-key-to-long-term-forest-health.htm"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doi.gov/ocl/hearings/111/MountainPineBeetle_06160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7.png"/><Relationship Id="rId22" Type="http://schemas.openxmlformats.org/officeDocument/2006/relationships/hyperlink" Target="https://www.nps.gov/sitk/index.ht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9540</Words>
  <Characters>54381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3</cp:revision>
  <dcterms:created xsi:type="dcterms:W3CDTF">2026-05-12T07:10:00Z</dcterms:created>
  <dcterms:modified xsi:type="dcterms:W3CDTF">2026-05-12T07:13:00Z</dcterms:modified>
</cp:coreProperties>
</file>