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626338" w:rsidRDefault="00670218" w:rsidP="00626338">
      <w:pPr>
        <w:spacing w:after="0" w:line="480" w:lineRule="auto"/>
        <w:rPr>
          <w:b/>
          <w:bCs/>
          <w:u w:val="single"/>
          <w:rPrChange w:id="3" w:author="Brian E McGreal" w:date="2026-03-27T10:38:00Z" w16du:dateUtc="2026-03-27T17:38:00Z">
            <w:rPr/>
          </w:rPrChange>
        </w:rPr>
        <w:pPrChange w:id="4" w:author="Brian E McGreal" w:date="2026-03-27T10:38:00Z" w16du:dateUtc="2026-03-27T17:38:00Z">
          <w:pPr>
            <w:pStyle w:val="ListParagraph"/>
            <w:spacing w:after="0" w:line="480" w:lineRule="auto"/>
            <w:ind w:left="360"/>
          </w:pPr>
        </w:pPrChange>
      </w:pPr>
      <w:commentRangeStart w:id="5"/>
      <w:r w:rsidRPr="00626338">
        <w:rPr>
          <w:b/>
          <w:bCs/>
          <w:u w:val="single"/>
          <w:rPrChange w:id="6" w:author="Brian E McGreal" w:date="2026-03-27T10:38:00Z" w16du:dateUtc="2026-03-27T17:38:00Z">
            <w:rPr/>
          </w:rPrChange>
        </w:rPr>
        <w:lastRenderedPageBreak/>
        <w:t xml:space="preserve">Introduction </w:t>
      </w:r>
      <w:commentRangeEnd w:id="5"/>
      <w:r w:rsidR="00F6199D" w:rsidRPr="00626338">
        <w:rPr>
          <w:rStyle w:val="CommentReference"/>
          <w:b/>
          <w:bCs/>
          <w:sz w:val="24"/>
          <w:szCs w:val="24"/>
          <w:u w:val="single"/>
          <w:rPrChange w:id="7" w:author="Brian E McGreal" w:date="2026-03-27T10:38:00Z" w16du:dateUtc="2026-03-27T17:38:00Z">
            <w:rPr>
              <w:rStyle w:val="CommentReference"/>
              <w:sz w:val="24"/>
              <w:szCs w:val="24"/>
            </w:rPr>
          </w:rPrChange>
        </w:rPr>
        <w:commentReference w:id="5"/>
      </w:r>
    </w:p>
    <w:p w14:paraId="226B7545" w14:textId="7583F15A" w:rsidR="008E583F" w:rsidRDefault="00226B01" w:rsidP="00A017CB">
      <w:pPr>
        <w:spacing w:after="0" w:line="480" w:lineRule="auto"/>
        <w:ind w:firstLine="720"/>
        <w:rPr>
          <w:ins w:id="8" w:author="Brian E McGreal" w:date="2026-03-09T09:14:00Z" w16du:dateUtc="2026-03-09T16:14:00Z"/>
        </w:rPr>
      </w:pPr>
      <w:ins w:id="9" w:author="Brian E McGreal" w:date="2026-03-09T09:22:00Z" w16du:dateUtc="2026-03-09T16:22:00Z">
        <w:r>
          <w:t>C</w:t>
        </w:r>
      </w:ins>
      <w:ins w:id="10" w:author="Brian E McGreal" w:date="2026-03-09T09:21:00Z" w16du:dateUtc="2026-03-09T16:21:00Z">
        <w:r>
          <w:t xml:space="preserve">onservation issues </w:t>
        </w:r>
      </w:ins>
      <w:ins w:id="11" w:author="Brian E McGreal" w:date="2026-03-09T09:22:00Z" w16du:dateUtc="2026-03-09T16:22:00Z">
        <w:r>
          <w:t xml:space="preserve">related to individual species are often the result of either the scarcity </w:t>
        </w:r>
      </w:ins>
      <w:ins w:id="12" w:author="Brian E McGreal" w:date="2026-03-09T09:24:00Z" w16du:dateUtc="2026-03-09T16:24:00Z">
        <w:r>
          <w:t xml:space="preserve">of a native plant or animal species, or </w:t>
        </w:r>
      </w:ins>
      <w:ins w:id="13" w:author="Brian E McGreal" w:date="2026-03-09T09:25:00Z" w16du:dateUtc="2026-03-09T16:25:00Z">
        <w:r>
          <w:t xml:space="preserve">of </w:t>
        </w:r>
      </w:ins>
      <w:ins w:id="14" w:author="Brian E McGreal" w:date="2026-03-09T09:24:00Z" w16du:dateUtc="2026-03-09T16:24:00Z">
        <w:r>
          <w:t>an abundance of non-native (exotic, invasive) species</w:t>
        </w:r>
      </w:ins>
      <w:ins w:id="15" w:author="Brian E McGreal" w:date="2026-03-09T09:25:00Z" w16du:dateUtc="2026-03-09T16:25:00Z">
        <w:r>
          <w:t xml:space="preserve">, </w:t>
        </w:r>
      </w:ins>
      <w:ins w:id="16" w:author="Brian E McGreal" w:date="2026-03-09T09:26:00Z" w16du:dateUtc="2026-03-09T16:26:00Z">
        <w:r>
          <w:t xml:space="preserve">with </w:t>
        </w:r>
      </w:ins>
      <w:ins w:id="17" w:author="Brian E McGreal" w:date="2026-03-09T09:25:00Z" w16du:dateUtc="2026-03-09T16:25:00Z">
        <w:r>
          <w:t xml:space="preserve">either </w:t>
        </w:r>
      </w:ins>
      <w:ins w:id="18" w:author="Brian E McGreal" w:date="2026-03-09T09:26:00Z" w16du:dateUtc="2026-03-09T16:26:00Z">
        <w:r>
          <w:t xml:space="preserve">scenario capable </w:t>
        </w:r>
      </w:ins>
      <w:ins w:id="19" w:author="Brian E McGreal" w:date="2026-03-09T09:25:00Z" w16du:dateUtc="2026-03-09T16:25:00Z">
        <w:r>
          <w:t xml:space="preserve">of </w:t>
        </w:r>
      </w:ins>
      <w:ins w:id="20" w:author="Brian E McGreal" w:date="2026-03-09T09:26:00Z" w16du:dateUtc="2026-03-09T16:26:00Z">
        <w:r>
          <w:t>imperiling</w:t>
        </w:r>
      </w:ins>
      <w:ins w:id="21" w:author="Brian E McGreal" w:date="2026-03-09T09:25:00Z" w16du:dateUtc="2026-03-09T16:25:00Z">
        <w:r>
          <w:t xml:space="preserve"> the ecosystems in which they occur</w:t>
        </w:r>
      </w:ins>
      <w:ins w:id="22" w:author="Brian E McGreal" w:date="2026-03-09T10:11:00Z" w16du:dateUtc="2026-03-09T17:11:00Z">
        <w:r w:rsidR="005D5E6A">
          <w:t xml:space="preserve"> (</w:t>
        </w:r>
      </w:ins>
      <w:ins w:id="23" w:author="Brian E McGreal" w:date="2026-03-09T11:06:00Z" w16du:dateUtc="2026-03-09T18:06:00Z">
        <w:r w:rsidR="00E06BFE">
          <w:t>El</w:t>
        </w:r>
      </w:ins>
      <w:ins w:id="24" w:author="Brian E McGreal" w:date="2026-03-09T11:07:00Z" w16du:dateUtc="2026-03-09T18:07:00Z">
        <w:r w:rsidR="00E06BFE">
          <w:t xml:space="preserve">lison et al. 2005, </w:t>
        </w:r>
      </w:ins>
      <w:ins w:id="25" w:author="Brian E McGreal" w:date="2026-03-09T11:08:00Z" w16du:dateUtc="2026-03-09T18:08:00Z">
        <w:r w:rsidR="00E06BFE">
          <w:t xml:space="preserve">Gallardo et al. 2015, </w:t>
        </w:r>
      </w:ins>
      <w:ins w:id="26" w:author="Brian E McGreal" w:date="2026-03-09T10:11:00Z" w16du:dateUtc="2026-03-09T17:11:00Z">
        <w:r w:rsidR="005D5E6A">
          <w:t>Jes</w:t>
        </w:r>
      </w:ins>
      <w:ins w:id="27" w:author="Brian E McGreal" w:date="2026-03-09T10:12:00Z" w16du:dateUtc="2026-03-09T17:12:00Z">
        <w:r w:rsidR="005D5E6A">
          <w:t>chke et al. 2014</w:t>
        </w:r>
      </w:ins>
      <w:ins w:id="28" w:author="Brian E McGreal" w:date="2026-03-09T10:11:00Z" w16du:dateUtc="2026-03-09T17:11:00Z">
        <w:r w:rsidR="005D5E6A">
          <w:t>)</w:t>
        </w:r>
      </w:ins>
      <w:ins w:id="29" w:author="Brian E McGreal" w:date="2026-03-09T09:25:00Z" w16du:dateUtc="2026-03-09T16:25:00Z">
        <w:r>
          <w:t>.</w:t>
        </w:r>
      </w:ins>
      <w:ins w:id="30" w:author="Brian E McGreal" w:date="2026-03-09T09:17:00Z" w16du:dateUtc="2026-03-09T16:17:00Z">
        <w:r w:rsidR="008E583F">
          <w:t xml:space="preserve"> </w:t>
        </w:r>
      </w:ins>
      <w:ins w:id="31" w:author="Brian E McGreal" w:date="2026-03-09T09:16:00Z" w16du:dateUtc="2026-03-09T16:16:00Z">
        <w:r w:rsidR="008E583F">
          <w:t xml:space="preserve"> </w:t>
        </w:r>
      </w:ins>
      <w:ins w:id="32"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33"/>
      <w:r>
        <w:t>confronted with either the scarcity of native plant or animal species</w:t>
      </w:r>
      <w:r w:rsidR="005078EE">
        <w:t>,</w:t>
      </w:r>
      <w:r>
        <w:t xml:space="preserve"> or an abundance of non-native (exotic, invasive) species that may damage park ecosystems </w:t>
      </w:r>
      <w:commentRangeEnd w:id="33"/>
      <w:r w:rsidR="00226B01">
        <w:rPr>
          <w:rStyle w:val="CommentReference"/>
          <w:rFonts w:cstheme="minorHAnsi"/>
          <w:color w:val="202122"/>
          <w:sz w:val="24"/>
          <w:szCs w:val="24"/>
          <w:shd w:val="clear" w:color="auto" w:fill="FFFFFF"/>
        </w:rPr>
        <w:commentReference w:id="33"/>
      </w:r>
      <w:r>
        <w:rPr>
          <w:rFonts w:cstheme="minorHAnsi"/>
          <w:color w:val="202122"/>
          <w:shd w:val="clear" w:color="auto" w:fill="FFFFFF"/>
        </w:rPr>
        <w:t>(National Park Service 2025a)</w:t>
      </w:r>
      <w:r>
        <w:t xml:space="preserve">. </w:t>
      </w:r>
      <w:del w:id="34" w:author="Brian E McGreal" w:date="2026-03-09T09:18:00Z" w16du:dateUtc="2026-03-09T16:18:00Z">
        <w:r w:rsidDel="008E583F">
          <w:delText xml:space="preserve">However, harm to ecosystems can also be driven by </w:delText>
        </w:r>
        <w:r w:rsidR="005078EE" w:rsidDel="008E583F">
          <w:delText>the</w:delText>
        </w:r>
        <w:r w:rsidDel="008E583F">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t>For example, in Yellowstone National Park, native mountain pine beetles (</w:t>
      </w:r>
      <w:r w:rsidR="005078EE">
        <w:rPr>
          <w:i/>
          <w:iCs/>
        </w:rPr>
        <w:t>Dendroctonus ponderosae</w:t>
      </w:r>
      <w:r w:rsidR="005078EE">
        <w:t xml:space="preserve">)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w:t>
      </w:r>
      <w:r w:rsidR="005078EE">
        <w:lastRenderedPageBreak/>
        <w:t>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p>
    <w:p w14:paraId="6E37A897" w14:textId="2312125D" w:rsidR="00670218" w:rsidRDefault="00670218" w:rsidP="009056D1">
      <w:pPr>
        <w:spacing w:after="0" w:line="480" w:lineRule="auto"/>
        <w:ind w:firstLine="360"/>
      </w:pPr>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5"/>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5"/>
      <w:r w:rsidR="009056D1" w:rsidRPr="00A017CB">
        <w:rPr>
          <w:rStyle w:val="CommentReference"/>
          <w:rFonts w:cstheme="minorHAnsi"/>
          <w:color w:val="202122"/>
          <w:sz w:val="24"/>
          <w:szCs w:val="24"/>
          <w:shd w:val="clear" w:color="auto" w:fill="FFFFFF"/>
        </w:rPr>
        <w:commentReference w:id="35"/>
      </w:r>
      <w:r w:rsidRPr="00A017CB">
        <w:rPr>
          <w:rFonts w:cstheme="minorHAnsi"/>
          <w:color w:val="202122"/>
          <w:shd w:val="clear" w:color="auto" w:fill="FFFFFF"/>
        </w:rPr>
        <w:t xml:space="preserve">has been the location of a fishing camp and harvesting site for the Kiks.ádi clan, and particularly valued for its close proximity to the clan’s winter villages, as well as for hosting runs of a variety of Pacific salmon species, including </w:t>
      </w:r>
      <w:r w:rsidRPr="00A017CB">
        <w:rPr>
          <w:rFonts w:cstheme="minorHAnsi"/>
          <w:color w:val="202122"/>
          <w:shd w:val="clear" w:color="auto" w:fill="FFFFFF"/>
        </w:rPr>
        <w:lastRenderedPageBreak/>
        <w:t>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enter the 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lastRenderedPageBreak/>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201B09D3"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isn’t perfect, and in fact is likely an evolved trait that allows fish to colonize new habitats when they become suitable for spawning (Quinn 2018).  Straying, whereby a juvenile salmon </w:t>
      </w:r>
      <w:r>
        <w:lastRenderedPageBreak/>
        <w:t>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77777777" w:rsidR="007F5330" w:rsidRDefault="00A368FA" w:rsidP="00DA70F0">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w:t>
      </w:r>
      <w:r>
        <w:lastRenderedPageBreak/>
        <w:t xml:space="preserve">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p>
    <w:p w14:paraId="2AB6F4F6" w14:textId="48CD7686" w:rsidR="00BD7B83" w:rsidRDefault="00BD7B83" w:rsidP="002D76A3">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w:t>
      </w:r>
      <w:r>
        <w:lastRenderedPageBreak/>
        <w:t>specifying a model of hatchery operations which controls for both the effect of time period (pre- and post-commencement of operations) and the effect of treatment (considering Indian River 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 xml:space="preserve">which </w:t>
      </w:r>
      <w:r w:rsidR="00121CF4">
        <w:lastRenderedPageBreak/>
        <w:t>are used to</w:t>
      </w:r>
      <w:r>
        <w:t xml:space="preserve"> assess the accuracy of ADFG’s aerial survey efforts (A. Dupuis, ADFG,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salmon juveniles reared and released, the number of 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46989">
      <w:pPr>
        <w:spacing w:after="0" w:line="480" w:lineRule="auto"/>
        <w:ind w:firstLine="360"/>
      </w:pPr>
      <w:r>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may go a long 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A017CB">
      <w:pPr>
        <w:spacing w:after="0" w:line="480" w:lineRule="auto"/>
        <w:ind w:firstLine="36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w:t>
      </w:r>
      <w:r w:rsidR="0087213E">
        <w:lastRenderedPageBreak/>
        <w:t xml:space="preserve">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77777777"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some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w:t>
      </w:r>
      <w:r>
        <w:lastRenderedPageBreak/>
        <w:t xml:space="preserve">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w:t>
      </w:r>
      <w:r w:rsidR="00A43887">
        <w:t xml:space="preserve">represents </w:t>
      </w:r>
      <w:r w:rsidR="00A43887">
        <w:t xml:space="preserve">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w:t>
      </w:r>
      <w:r w:rsidR="00A43887">
        <w:t>these</w:t>
      </w:r>
      <w:r w:rsidR="00A43887">
        <w:t xml:space="preserve"> covariates. </w:t>
      </w:r>
    </w:p>
    <w:p w14:paraId="5D907ED1" w14:textId="5F8CCA55" w:rsidR="00402DA4" w:rsidRDefault="00402DA4" w:rsidP="00246989">
      <w:pPr>
        <w:spacing w:after="0" w:line="480" w:lineRule="auto"/>
        <w:ind w:firstLine="720"/>
      </w:pPr>
      <w:r>
        <w:t xml:space="preserve">The observation equation is linked to the autoregressive process equation through the estimates of underlying states </w:t>
      </w:r>
      <w:r>
        <w:t>(</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Here</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w:t>
      </w:r>
      <w:r>
        <w:t xml:space="preserve"> </w:t>
      </w:r>
      <w:r>
        <w:t xml:space="preserve">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w:t>
      </w:r>
      <w:r>
        <w:t>respectively</w:t>
      </w:r>
      <w:r>
        <w:t xml:space="preserve"> represent </w:t>
      </w:r>
      <w:r>
        <w:t xml:space="preserve">covariate data related to the state </w:t>
      </w:r>
      <w:r>
        <w:t xml:space="preserve">process and </w:t>
      </w:r>
      <w:r>
        <w:t>the effect of said covariates.</w:t>
      </w:r>
    </w:p>
    <w:p w14:paraId="3EB4F13E" w14:textId="312940A4"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12324E" w:rsidR="00EF0488" w:rsidRDefault="00EF0488" w:rsidP="00EF0488">
      <w:pPr>
        <w:spacing w:after="0" w:line="480" w:lineRule="auto"/>
      </w:pPr>
      <w:r>
        <w:lastRenderedPageBreak/>
        <w:t>The first stage of this research attempt</w:t>
      </w:r>
      <w:r w:rsidR="007C003B">
        <w:t>s</w:t>
      </w:r>
      <w:r>
        <w:t xml:space="preserve">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may</w:t>
      </w:r>
      <w:r w:rsidR="00246989">
        <w:t xml:space="preserve">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 xml:space="preserve">estimated for the observation process, but the model allows for distinct trends in both underlying states. </w:t>
      </w:r>
      <w:r w:rsidR="00670218">
        <w:lastRenderedPageBreak/>
        <w:t>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1E7B3B00" w:rsidR="009D55B2" w:rsidRDefault="003C6E79" w:rsidP="003C6E79">
      <w:pPr>
        <w:spacing w:after="0" w:line="480" w:lineRule="auto"/>
        <w:ind w:firstLine="720"/>
      </w:pPr>
      <w:r>
        <w:t xml:space="preserve">Once fitted, this model estimates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 xml:space="preserve">is well suited for evaluating models fitted on relatively sparse data (i.e., the </w:t>
      </w:r>
      <w:r w:rsidR="00097C72">
        <w:t xml:space="preserve">small number of </w:t>
      </w:r>
      <w:r w:rsidR="00097C72">
        <w:t xml:space="preserve">observations at </w:t>
      </w:r>
      <w:r w:rsidR="00097C72">
        <w:t>Indian River</w:t>
      </w:r>
      <w:r w:rsidR="00097C72">
        <w:t>) (Burnham et al. 2010)</w:t>
      </w:r>
      <w:r w:rsidR="00931642">
        <w:t>.</w:t>
      </w:r>
      <w:r w:rsidR="007C003B">
        <w:t xml:space="preserve"> </w:t>
      </w:r>
      <w:r w:rsidR="00E82478">
        <w:t xml:space="preserve"> </w:t>
      </w:r>
    </w:p>
    <w:p w14:paraId="597B7B49" w14:textId="6BFF426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region, there are four models that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w:t>
      </w:r>
      <w:r>
        <w:lastRenderedPageBreak/>
        <w:t xml:space="preserve">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77777777" w:rsidR="00060EB8" w:rsidRDefault="00060EB8" w:rsidP="00060EB8">
      <w:pPr>
        <w:spacing w:after="0" w:line="480" w:lineRule="auto"/>
        <w:ind w:firstLine="720"/>
      </w:pPr>
      <w:r>
        <w:lastRenderedPageBreak/>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w:t>
      </w:r>
      <w:r>
        <w:lastRenderedPageBreak/>
        <w:t>studies which evaluate whether trends in control and treatment groups are mathematically similar in the pre-treatment period (Cunningham 2021).</w:t>
      </w:r>
    </w:p>
    <w:p w14:paraId="0A608F99" w14:textId="4C0AFD13" w:rsidR="00060EB8" w:rsidRDefault="00060EB8" w:rsidP="00060EB8">
      <w:pPr>
        <w:spacing w:after="0" w:line="480" w:lineRule="auto"/>
        <w:ind w:firstLine="360"/>
      </w:pPr>
      <w:r>
        <w:t xml:space="preserve">This research applies a </w:t>
      </w:r>
      <w:commentRangeStart w:id="36"/>
      <w:r>
        <w:t xml:space="preserve">DD framework </w:t>
      </w:r>
      <w:r>
        <w:t xml:space="preserve">to </w:t>
      </w:r>
      <w:r>
        <w:t>MARSS model</w:t>
      </w:r>
      <w:r>
        <w:t>s</w:t>
      </w:r>
      <w:r>
        <w:t xml:space="preserve"> in order to once again control for observation error and to capture the autoregressive behavior of the underlying state processes. The indicator variables described above are included as covariate data in the process equation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with </w:t>
      </w:r>
      <w:r w:rsidRPr="00344E76">
        <w:rPr>
          <w:rFonts w:ascii="MathJax_Math-italic" w:eastAsia="Times New Roman" w:hAnsi="MathJax_Math-italic" w:cs="Times New Roman"/>
          <w:b/>
          <w:bCs/>
          <w:kern w:val="0"/>
          <w:sz w:val="26"/>
          <w:szCs w:val="26"/>
          <w:bdr w:val="none" w:sz="0" w:space="0" w:color="auto" w:frame="1"/>
          <w14:ligatures w14:val="none"/>
        </w:rPr>
        <w:t>C</w:t>
      </w:r>
      <w:r>
        <w:t xml:space="preserve"> specified to capture the effects of interest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xml:space="preserve">, </w:t>
      </w:r>
      <w:r w:rsidRPr="00C64BF8">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t xml:space="preserve">, and </w:t>
      </w:r>
      <w:r w:rsidRPr="00C64BF8">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xml:space="preserve">). Observations of pink salmon abundances at Indian River are assigned to the treatment group while observations at ADFG’s other </w:t>
      </w:r>
      <w:r w:rsidRPr="003C6E79">
        <w:rPr>
          <w:i/>
          <w:iCs/>
        </w:rPr>
        <w:t>north southeast (outside)</w:t>
      </w:r>
      <w:r>
        <w:t xml:space="preserve"> index streams form the control group. The treatment period is defined as post-1980, which allows hatchery operations for a couple of brood years to ramp up. </w:t>
      </w:r>
      <w:commentRangeEnd w:id="36"/>
      <w:r>
        <w:rPr>
          <w:rStyle w:val="CommentReference"/>
          <w:sz w:val="24"/>
          <w:szCs w:val="24"/>
        </w:rPr>
        <w:commentReference w:id="36"/>
      </w:r>
      <w:r>
        <w:t xml:space="preserve">A separate specification of the DD model includes an indicator variable related to periods pre- and post-2010, to assess the impact of heightened pink salmon production. </w:t>
      </w:r>
    </w:p>
    <w:p w14:paraId="32D3E6AE" w14:textId="77777777" w:rsidR="00060EB8" w:rsidRDefault="00060EB8" w:rsidP="00060EB8">
      <w:pPr>
        <w:spacing w:after="0" w:line="480" w:lineRule="auto"/>
        <w:ind w:firstLine="360"/>
      </w:pPr>
      <w:r>
        <w:t xml:space="preserve">Models are specified including additional covariates to further isolate the effect of interest, controlling for observer, for PDO, for both, and for neither. These competing specifications are evaluated for best fit using AICc. To ensure that the parallel trends assumption holds between treatment and control groups during the pre-treatment period, event studies are undertaken on the best fit models (if these groups significantly differ, a synthetic control group is constructed using a weighted average of untreated streams to match the Indian River’s pre-treatment trend). </w:t>
      </w:r>
    </w:p>
    <w:p w14:paraId="62C5440C" w14:textId="78814B95" w:rsidR="00060EB8" w:rsidRDefault="00060EB8" w:rsidP="00060EB8">
      <w:pPr>
        <w:spacing w:after="0" w:line="480" w:lineRule="auto"/>
        <w:ind w:firstLine="360"/>
      </w:pPr>
      <w:r>
        <w:t>Parametric bootstrapping is employed on the best fit models to construct confidence intervals around these parameter estimates.</w:t>
      </w:r>
      <w:r>
        <w:t xml:space="preserve"> </w:t>
      </w:r>
      <w:r>
        <w:t xml:space="preserve">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w:t>
      </w:r>
      <w:r>
        <w:lastRenderedPageBreak/>
        <w:t xml:space="preserve">of the effect must also be considered, as even a significant effect may not be responsible for a large impact on salmon abundance.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68C7891" w:rsidR="00F4350E" w:rsidRDefault="004B019B" w:rsidP="00C64BF8">
      <w:pPr>
        <w:spacing w:after="0" w:line="480" w:lineRule="auto"/>
      </w:pPr>
      <w:r>
        <w:t>Finally</w:t>
      </w:r>
      <w:r w:rsidR="00670218">
        <w:t xml:space="preserve">, </w:t>
      </w:r>
      <w:r w:rsidR="00060EB8">
        <w:t>this research</w:t>
      </w:r>
      <w:r w:rsidR="00670218">
        <w:t xml:space="preserve"> focus</w:t>
      </w:r>
      <w:r w:rsidR="00060EB8">
        <w:t>es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w:t>
      </w:r>
      <w:commentRangeStart w:id="37"/>
      <w:commentRangeStart w:id="38"/>
      <w:r w:rsidR="00670218">
        <w:t xml:space="preserve">It is important to consider the effect of straying both to and from Indian River, as both would influence the abundances observed in stream. </w:t>
      </w:r>
      <w:commentRangeEnd w:id="38"/>
      <w:r w:rsidR="00205B63">
        <w:rPr>
          <w:rStyle w:val="CommentReference"/>
          <w:sz w:val="24"/>
          <w:szCs w:val="24"/>
        </w:rPr>
        <w:commentReference w:id="38"/>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w:t>
      </w:r>
      <w:commentRangeStart w:id="39"/>
      <w:r w:rsidR="00670218">
        <w:t>the model will estimate</w:t>
      </w:r>
      <w:commentRangeEnd w:id="39"/>
      <w:r w:rsidR="00205B63">
        <w:rPr>
          <w:rStyle w:val="CommentReference"/>
          <w:sz w:val="24"/>
          <w:szCs w:val="24"/>
        </w:rPr>
        <w:commentReference w:id="39"/>
      </w:r>
      <w:r w:rsidR="00670218">
        <w:t xml:space="preserve">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670218">
        <w:t>.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37"/>
      <w:r w:rsidR="009B5B49">
        <w:rPr>
          <w:rStyle w:val="CommentReference"/>
          <w:sz w:val="24"/>
          <w:szCs w:val="24"/>
        </w:rPr>
        <w:commentReference w:id="37"/>
      </w:r>
      <w:r w:rsidR="00670218">
        <w:t xml:space="preserve"> </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w:t>
      </w:r>
      <w:r w:rsidR="00D56989">
        <w:lastRenderedPageBreak/>
        <w:t xml:space="preserve">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40"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2D97819" w:rsidR="00C3066D" w:rsidRDefault="00C3066D" w:rsidP="00F4350E">
      <w:pPr>
        <w:spacing w:after="0" w:line="480" w:lineRule="auto"/>
      </w:pPr>
      <w:commentRangeStart w:id="41"/>
      <w:r>
        <w:t xml:space="preserve">Figures 4 &amp; 5 describe the underlying state of Indian River pink salmon abundance relative to the underlying state representing an average pink salmon index stream in the surrounding region (even- and odd-year runs respectively). </w:t>
      </w:r>
      <w:commentRangeEnd w:id="41"/>
      <w:r w:rsidR="00DC2443">
        <w:rPr>
          <w:rStyle w:val="CommentReference"/>
          <w:sz w:val="24"/>
          <w:szCs w:val="24"/>
        </w:rPr>
        <w:commentReference w:id="41"/>
      </w:r>
      <w:commentRangeStart w:id="42"/>
      <w:r>
        <w:t>In each case, Indian River abundances at the beginning of the time series are below the regional average abundance. Over the course of the time series, Indian River abundances for both runs “catch-up” to what would be expected of an average pink salmon index stream</w:t>
      </w:r>
      <w:r w:rsidR="001A405D">
        <w:t xml:space="preserve">, although odd-year Indian River runs take some years to accomplish this and do not exceed this statistical average until 1997. From the middle 1990s onward, both runs are closely aligned with the average index stream, exceeding the average in </w:t>
      </w:r>
      <w:r w:rsidR="001A405D">
        <w:lastRenderedPageBreak/>
        <w:t>some years and falling short in others, but in either case not by an amount that appears drastic when visually appraised.</w:t>
      </w:r>
      <w:commentRangeEnd w:id="42"/>
      <w:r w:rsidR="009C0B82">
        <w:rPr>
          <w:rStyle w:val="CommentReference"/>
          <w:sz w:val="24"/>
          <w:szCs w:val="24"/>
        </w:rPr>
        <w:commentReference w:id="42"/>
      </w:r>
    </w:p>
    <w:p w14:paraId="11C443BF" w14:textId="1F27EA33" w:rsidR="001A405D" w:rsidRDefault="006A0FFE" w:rsidP="00F4350E">
      <w:pPr>
        <w:spacing w:after="0" w:line="480" w:lineRule="auto"/>
      </w:pPr>
      <w:r>
        <w:tab/>
      </w:r>
      <w:commentRangeStart w:id="43"/>
      <w:del w:id="44" w:author="Mark Scheuerell" w:date="2026-03-07T09:09:00Z" w16du:dateUtc="2026-03-07T17:09:00Z">
        <w:r w:rsidDel="00A227BE">
          <w:delText>Figures 4 &amp; 5 would seem to indicate that in p</w:delText>
        </w:r>
      </w:del>
      <w:ins w:id="45" w:author="Mark Scheuerell" w:date="2026-03-07T09:09:00Z" w16du:dateUtc="2026-03-07T17:09:00Z">
        <w:r w:rsidR="00A227BE">
          <w:t>P</w:t>
        </w:r>
      </w:ins>
      <w:r>
        <w:t xml:space="preserve">ink salmon abundances observed in recent years at Indian River have not been out of the ordinary </w:t>
      </w:r>
      <w:del w:id="46" w:author="Mark Scheuerell" w:date="2026-03-07T09:10:00Z" w16du:dateUtc="2026-03-07T17:10:00Z">
        <w:r w:rsidDel="00A227BE">
          <w:delText>(</w:delText>
        </w:r>
      </w:del>
      <w:r>
        <w:t xml:space="preserve">and </w:t>
      </w:r>
      <w:del w:id="47" w:author="Mark Scheuerell" w:date="2026-03-07T09:10:00Z" w16du:dateUtc="2026-03-07T17:10:00Z">
        <w:r w:rsidDel="00A227BE">
          <w:delText xml:space="preserve">indeed, </w:delText>
        </w:r>
      </w:del>
      <w:r>
        <w:t>odd-year runs may have been considerably below average density from the 1960s until about 1995</w:t>
      </w:r>
      <w:ins w:id="48" w:author="Mark Scheuerell" w:date="2026-03-07T09:10:00Z" w16du:dateUtc="2026-03-07T17:10:00Z">
        <w:r w:rsidR="00A227BE">
          <w:t xml:space="preserve"> (Figures 4 &amp; 5</w:t>
        </w:r>
      </w:ins>
      <w:r>
        <w:t xml:space="preserve">). However, plotting these time series is not enough to conclusively state that abundances at Indian River do not differ from those that would be expected of an average pink salmon index stream in the region in a statistically significant way. </w:t>
      </w:r>
      <w:r w:rsidR="00344905">
        <w:t>Table 1 describes the results of various statistical tests performed to evaluate the difference between these two time series for both even- and odd-year runs.</w:t>
      </w:r>
      <w:commentRangeEnd w:id="43"/>
      <w:r w:rsidR="00A227BE">
        <w:rPr>
          <w:rStyle w:val="CommentReference"/>
          <w:sz w:val="24"/>
          <w:szCs w:val="24"/>
        </w:rPr>
        <w:commentReference w:id="43"/>
      </w:r>
      <w:r w:rsidR="00344905">
        <w:t xml:space="preserve"> </w:t>
      </w:r>
      <w:r w:rsidR="0080336B">
        <w:t xml:space="preserve">All time series were found to be non-stationary when evaluated using ADF tests, but passed KPSS tests, suggesting they were each stationary around some trend (since these are annually observed data, seasonality was not considered).  </w:t>
      </w:r>
      <w:r w:rsidR="00C61B5A">
        <w:t xml:space="preserve">When differenced, time series describing even-year runs were found stationary by both statistical tests. </w:t>
      </w:r>
      <w:commentRangeStart w:id="49"/>
      <w:r w:rsidR="00C61B5A">
        <w:t xml:space="preserve">However, time series describing odd-year runs required </w:t>
      </w:r>
      <w:r w:rsidR="000D21FB">
        <w:t>third</w:t>
      </w:r>
      <w:r w:rsidR="00C61B5A">
        <w:t xml:space="preserve"> order differencing</w:t>
      </w:r>
      <w:r w:rsidR="00421CE7">
        <w:t xml:space="preserve"> (</w:t>
      </w:r>
      <w:r w:rsidR="00421CE7">
        <w:rPr>
          <w:rFonts w:cstheme="minorHAnsi"/>
        </w:rPr>
        <w:t>Δ</w:t>
      </w:r>
      <w:r w:rsidR="00421CE7" w:rsidRPr="00421CE7">
        <w:rPr>
          <w:rFonts w:cstheme="minorHAnsi"/>
          <w:vertAlign w:val="superscript"/>
        </w:rPr>
        <w:t>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Δ(Δ</w:t>
      </w:r>
      <w:r w:rsidR="00421CE7">
        <w:rPr>
          <w:rFonts w:cstheme="minorHAnsi"/>
          <w:vertAlign w:val="superscript"/>
        </w:rPr>
        <w:t>2</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-1 </w:t>
      </w:r>
      <w:r w:rsidR="00421CE7">
        <w:rPr>
          <w:rFonts w:cstheme="minorHAnsi"/>
        </w:rPr>
        <w:t>- 3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-2</w:t>
      </w:r>
      <w:r w:rsidR="00C61B5A">
        <w:t xml:space="preserve"> </w:t>
      </w:r>
      <w:r w:rsidR="00421CE7">
        <w:t xml:space="preserve">-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-3 </w:t>
      </w:r>
      <w:r w:rsidR="00421CE7">
        <w:t xml:space="preserve">) before ADF tests determined them to be stationary. </w:t>
      </w:r>
      <w:r w:rsidR="00F66F22">
        <w:t xml:space="preserve">This level of differencing indicates the need to compensate for some complex cubic trend in the time series and risks over-differencing, which may introduce noise and dampen information related to long-term trends. </w:t>
      </w:r>
      <w:commentRangeEnd w:id="49"/>
      <w:r w:rsidR="00A227BE">
        <w:rPr>
          <w:rStyle w:val="CommentReference"/>
          <w:sz w:val="24"/>
          <w:szCs w:val="24"/>
        </w:rPr>
        <w:commentReference w:id="49"/>
      </w:r>
      <w:r w:rsidR="000D21FB">
        <w:t>While initial (first order) differencing of the odd-year time series did not yield statistically stationary results, ADF tests estimated test statistics within 20% of the significance thresholds (i.e., &gt;80% confidence these time series are stationary). Both sets of differenced odd-year time series (first order and third order) are compared in Table 1.</w:t>
      </w:r>
    </w:p>
    <w:p w14:paraId="09E780EF" w14:textId="6B920B1A" w:rsidR="00FC2324" w:rsidRPr="00C3066D" w:rsidRDefault="000D21FB" w:rsidP="00F4350E">
      <w:pPr>
        <w:spacing w:after="0" w:line="480" w:lineRule="auto"/>
      </w:pPr>
      <w:r>
        <w:lastRenderedPageBreak/>
        <w:tab/>
      </w:r>
      <w:commentRangeStart w:id="50"/>
      <w:r>
        <w:t>For even-year runs, no significant lags are observed once the time series are differenced to compensate for linear trends. The means and variances of these differenced time series are not found to significantly differ</w:t>
      </w:r>
      <w:r w:rsidR="00FC2324">
        <w:t>, and Welch’s t-test finds that the trends are likewise not statistically different</w:t>
      </w:r>
      <w:r>
        <w:t>.</w:t>
      </w:r>
      <w:r w:rsidR="00FC2324">
        <w:t xml:space="preserve"> </w:t>
      </w:r>
      <w:commentRangeEnd w:id="50"/>
      <w:r w:rsidR="00AE6A99">
        <w:rPr>
          <w:rStyle w:val="CommentReference"/>
          <w:sz w:val="24"/>
          <w:szCs w:val="24"/>
        </w:rPr>
        <w:commentReference w:id="50"/>
      </w:r>
      <w:commentRangeStart w:id="51"/>
      <w:r w:rsidR="00FC2324">
        <w:t xml:space="preserve">Based on these four characteristics it may be said with some confidence that even-year pink salmon abundances observed at Indian River are very much in line with those that might be expected of an average stream in the </w:t>
      </w:r>
      <w:r w:rsidR="00FC2324" w:rsidRPr="003C6E79">
        <w:rPr>
          <w:i/>
          <w:iCs/>
        </w:rPr>
        <w:t>north southeast (outside)</w:t>
      </w:r>
      <w:r w:rsidR="00FC2324">
        <w:t xml:space="preserve"> region. </w:t>
      </w:r>
      <w:commentRangeEnd w:id="51"/>
      <w:r w:rsidR="005565C2">
        <w:rPr>
          <w:rStyle w:val="CommentReference"/>
          <w:sz w:val="24"/>
          <w:szCs w:val="24"/>
        </w:rPr>
        <w:commentReference w:id="51"/>
      </w:r>
      <w:r w:rsidR="00FC2324">
        <w:t xml:space="preserve">The picture is much less clear for odd-year runs. </w:t>
      </w:r>
      <w:r w:rsidR="00B50797">
        <w:t xml:space="preserve">While both the first and third order differenced time series show no significant difference in terms of mean or variance, the trends estimated in both cases are not the same. Additionally, both sets of time series show significant first lags, meaning there is likely some persistent autocorrelation, even despite the third order differencing! It is therefore impossible to conclude that odd-year pink salmon abundances observed at Indian River are in line with regional expectations. Returning to Figure 5, this may be due to the </w:t>
      </w:r>
      <w:r w:rsidR="005B1667">
        <w:t xml:space="preserve">large </w:t>
      </w:r>
      <w:r w:rsidR="00B50797">
        <w:t xml:space="preserve">differences between time series observed during the period from 1961-1995. </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7EF4F367" w14:textId="0291F4BD" w:rsidR="00376A4E" w:rsidRDefault="00773DA7" w:rsidP="00F4350E">
      <w:pPr>
        <w:spacing w:after="0" w:line="480" w:lineRule="auto"/>
      </w:pPr>
      <w:commentRangeStart w:id="52"/>
      <w:r>
        <w:t xml:space="preserve">Difference-in-difference </w:t>
      </w:r>
      <w:r w:rsidR="008E7DF4">
        <w:t xml:space="preserve">studies </w:t>
      </w:r>
      <w:r>
        <w:t xml:space="preserve">were undertaken to evaluate both the effect of SJH operations on pink salmon abundances at Indian River (treatment year = 1980), as well as the effect of SJH’s expansion of permitted pink salmon releases from 1 million to 3 million (treatment year = 2010). </w:t>
      </w:r>
      <w:r w:rsidR="00BB4FE2">
        <w:t>M</w:t>
      </w:r>
      <w:r w:rsidR="00376A4E">
        <w:t xml:space="preserve">odels pertaining to each run </w:t>
      </w:r>
      <w:r w:rsidR="007B55B0">
        <w:t xml:space="preserve">(even- and odd-year) </w:t>
      </w:r>
      <w:r w:rsidR="002A355E">
        <w:t xml:space="preserve">and </w:t>
      </w:r>
      <w:r w:rsidR="00376A4E">
        <w:t xml:space="preserve">treatment period </w:t>
      </w:r>
      <w:r w:rsidR="007B55B0">
        <w:t xml:space="preserve">(1980 and 2010) </w:t>
      </w:r>
      <w:r w:rsidR="00376A4E">
        <w:t>were specified</w:t>
      </w:r>
      <w:r w:rsidR="00BB4FE2">
        <w:t xml:space="preserve"> in four ways:</w:t>
      </w:r>
      <w:r w:rsidR="00376A4E">
        <w:t xml:space="preserve"> control</w:t>
      </w:r>
      <w:r w:rsidR="00BB4FE2">
        <w:t>ling</w:t>
      </w:r>
      <w:r w:rsidR="00376A4E">
        <w:t xml:space="preserve"> for the prior year’s ocean climate</w:t>
      </w:r>
      <w:r w:rsidR="007B55B0">
        <w:t xml:space="preserve"> via lagged PDO</w:t>
      </w:r>
      <w:r w:rsidR="00376A4E">
        <w:t xml:space="preserve">, </w:t>
      </w:r>
      <w:r w:rsidR="00BB4FE2">
        <w:t xml:space="preserve">controlling for </w:t>
      </w:r>
      <w:r w:rsidR="00376A4E">
        <w:t xml:space="preserve">the </w:t>
      </w:r>
      <w:r w:rsidR="002A355E">
        <w:t xml:space="preserve">biologist conducting each observation, </w:t>
      </w:r>
      <w:r w:rsidR="00BB4FE2">
        <w:t xml:space="preserve">controlling for </w:t>
      </w:r>
      <w:r w:rsidR="002A355E">
        <w:t xml:space="preserve">both of these sets of </w:t>
      </w:r>
      <w:r w:rsidR="002A355E">
        <w:lastRenderedPageBreak/>
        <w:t xml:space="preserve">covariates, and no </w:t>
      </w:r>
      <w:r w:rsidR="00BB4FE2">
        <w:t xml:space="preserve">including no </w:t>
      </w:r>
      <w:r w:rsidR="002A355E">
        <w:t xml:space="preserve">covariates (only dummy indicators of time period and treatment group). From these, the </w:t>
      </w:r>
      <w:r w:rsidR="007B55B0">
        <w:t>best fit model was selected using AIC, with the most parsimonious model being chosen in cases where AIC values were within 2 of one another.</w:t>
      </w:r>
      <w:commentRangeEnd w:id="52"/>
      <w:r w:rsidR="00A21D8D">
        <w:rPr>
          <w:rStyle w:val="CommentReference"/>
          <w:sz w:val="24"/>
          <w:szCs w:val="24"/>
        </w:rPr>
        <w:commentReference w:id="52"/>
      </w:r>
    </w:p>
    <w:p w14:paraId="19D43027" w14:textId="21EF8CDD" w:rsidR="008E7DF4" w:rsidRDefault="008E7DF4" w:rsidP="00376A4E">
      <w:pPr>
        <w:spacing w:after="0" w:line="480" w:lineRule="auto"/>
        <w:ind w:firstLine="720"/>
      </w:pPr>
      <w:commentRangeStart w:id="53"/>
      <w:r>
        <w:t>As mentioned above, a necessary pre-condition of difference-in-difference models is the satisfaction of the parallel trends assumption, which asserts that treatment and control groups</w:t>
      </w:r>
      <w:r w:rsidR="009C0C6B">
        <w:t xml:space="preserve"> must be</w:t>
      </w:r>
      <w:r>
        <w:t xml:space="preserve"> mathematically similar in the pre-treatment period.</w:t>
      </w:r>
      <w:r w:rsidR="008F33A8">
        <w:t xml:space="preserve"> Event studies in the form of simple linear models were undertaken to support this assumption. These models are structured to isolate the effect of Indian River on pink salmon abundances during pre-treatment periods, as illustrated below:</w:t>
      </w:r>
    </w:p>
    <w:p w14:paraId="2875F5A1" w14:textId="77777777" w:rsidR="008F33A8" w:rsidRDefault="008F33A8" w:rsidP="00F4350E">
      <w:pPr>
        <w:spacing w:after="0" w:line="480" w:lineRule="auto"/>
      </w:pPr>
    </w:p>
    <w:p w14:paraId="3104ABB3" w14:textId="1BCE0C3D" w:rsidR="008F33A8" w:rsidRPr="008F33A8" w:rsidRDefault="008F33A8" w:rsidP="008F33A8">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0C54D086" w14:textId="77777777" w:rsidR="008F33A8" w:rsidRDefault="008F33A8" w:rsidP="00F4350E">
      <w:pPr>
        <w:spacing w:after="0" w:line="480" w:lineRule="auto"/>
      </w:pPr>
    </w:p>
    <w:p w14:paraId="4A2F5397" w14:textId="59B86751" w:rsidR="00C3066D" w:rsidRPr="00C3066D" w:rsidRDefault="00647DF2" w:rsidP="00F4350E">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indicates whether or not an observation was taken at Indian River</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1)</w:t>
      </w:r>
      <w:r>
        <w:t xml:space="preserve"> or elsewhere in the </w:t>
      </w:r>
      <w:r w:rsidRPr="003C6E79">
        <w:rPr>
          <w:i/>
          <w:iCs/>
        </w:rPr>
        <w:t>north southeast (outside)</w:t>
      </w:r>
      <w:r>
        <w:t xml:space="preserve"> region</w:t>
      </w:r>
      <w:r w:rsidR="006B1A2E">
        <w:t xml:space="preserve"> (</w:t>
      </w:r>
      <w:r w:rsidR="006B1A2E">
        <w:rPr>
          <w:rFonts w:ascii="MathJax_Math-italic" w:eastAsia="Times New Roman" w:hAnsi="MathJax_Math-italic" w:cs="Times New Roman"/>
          <w:kern w:val="0"/>
          <w:sz w:val="26"/>
          <w:szCs w:val="26"/>
          <w:bdr w:val="none" w:sz="0" w:space="0" w:color="auto" w:frame="1"/>
          <w14:ligatures w14:val="none"/>
        </w:rPr>
        <w:t>D</w:t>
      </w:r>
      <w:r w:rsidR="006B1A2E">
        <w:rPr>
          <w:rFonts w:ascii="MathJax_Math-italic" w:eastAsia="Times New Roman" w:hAnsi="MathJax_Math-italic" w:cs="Times New Roman"/>
          <w:kern w:val="0"/>
          <w:sz w:val="26"/>
          <w:szCs w:val="26"/>
          <w:bdr w:val="none" w:sz="0" w:space="0" w:color="auto" w:frame="1"/>
          <w:vertAlign w:val="subscript"/>
          <w14:ligatures w14:val="none"/>
        </w:rPr>
        <w:t>Indian River</w:t>
      </w:r>
      <w:r w:rsidR="006B1A2E">
        <w:t xml:space="preserve"> = 0)</w:t>
      </w:r>
      <w:r>
        <w:t xml:space="preserve">. </w:t>
      </w:r>
      <w:r w:rsidR="006B1A2E">
        <w:t>If indeed treatment and control groups are similar during the pre-treatment period, then the effect of Indian River on pink salmon abundances (</w:t>
      </w:r>
      <w:r w:rsidR="006B1A2E" w:rsidRPr="00530885">
        <w:rPr>
          <w:rFonts w:ascii="MathJax_Math-italic" w:eastAsia="Times New Roman" w:hAnsi="MathJax_Math-italic" w:cs="Times New Roman"/>
          <w:kern w:val="0"/>
          <w:sz w:val="26"/>
          <w:szCs w:val="26"/>
          <w:bdr w:val="none" w:sz="0" w:space="0" w:color="auto" w:frame="1"/>
          <w14:ligatures w14:val="none"/>
        </w:rPr>
        <w:t>β</w:t>
      </w:r>
      <w:r w:rsidR="006B1A2E">
        <w:rPr>
          <w:rFonts w:ascii="MathJax_Math-italic" w:eastAsia="Times New Roman" w:hAnsi="MathJax_Math-italic" w:cs="Times New Roman"/>
          <w:kern w:val="0"/>
          <w:sz w:val="26"/>
          <w:szCs w:val="26"/>
          <w:bdr w:val="none" w:sz="0" w:space="0" w:color="auto" w:frame="1"/>
          <w:vertAlign w:val="subscript"/>
          <w14:ligatures w14:val="none"/>
        </w:rPr>
        <w:t>1</w:t>
      </w:r>
      <w:r w:rsidR="006B1A2E">
        <w:t xml:space="preserve">) should </w:t>
      </w:r>
      <w:r w:rsidR="00D45C26">
        <w:t xml:space="preserve">not </w:t>
      </w:r>
      <w:r w:rsidR="006B1A2E">
        <w:t xml:space="preserve">be statistically significant. </w:t>
      </w:r>
      <w:commentRangeEnd w:id="53"/>
      <w:r w:rsidR="00A21D8D">
        <w:rPr>
          <w:rStyle w:val="CommentReference"/>
          <w:sz w:val="24"/>
          <w:szCs w:val="24"/>
        </w:rPr>
        <w:commentReference w:id="53"/>
      </w:r>
      <w:del w:id="54" w:author="Mark Scheuerell" w:date="2026-03-07T09:40:00Z" w16du:dateUtc="2026-03-07T17:40:00Z">
        <w:r w:rsidDel="00A21D8D">
          <w:delText>T</w:delText>
        </w:r>
        <w:r w:rsidR="00773DA7" w:rsidDel="00A21D8D">
          <w:delText xml:space="preserve">able 2 describes the effect of </w:delText>
        </w:r>
        <w:r w:rsidR="00376A4E" w:rsidDel="00A21D8D">
          <w:delText xml:space="preserve">Indian River </w:delText>
        </w:r>
        <w:r w:rsidR="00BB4FE2" w:rsidDel="00A21D8D">
          <w:delText xml:space="preserve">in the pre-treatment period in all four models. </w:delText>
        </w:r>
      </w:del>
      <w:r w:rsidR="0033098E">
        <w:t xml:space="preserve">For even-year runs </w:t>
      </w:r>
      <w:del w:id="55" w:author="Mark Scheuerell" w:date="2026-03-07T09:41:00Z" w16du:dateUtc="2026-03-07T17:41:00Z">
        <w:r w:rsidR="0033098E" w:rsidDel="00A21D8D">
          <w:delText>there exists</w:delText>
        </w:r>
      </w:del>
      <w:ins w:id="56" w:author="Mark Scheuerell" w:date="2026-03-07T09:41:00Z" w16du:dateUtc="2026-03-07T17:41:00Z">
        <w:r w:rsidR="00A21D8D">
          <w:t>I found</w:t>
        </w:r>
      </w:ins>
      <w:r w:rsidR="0033098E">
        <w:t xml:space="preserve"> some significant difference between trends at Indian River and elsewhere in the region prior to 1980</w:t>
      </w:r>
      <w:ins w:id="57" w:author="Mark Scheuerell" w:date="2026-03-07T09:40:00Z" w16du:dateUtc="2026-03-07T17:40:00Z">
        <w:r w:rsidR="00A21D8D">
          <w:t xml:space="preserve"> (Table 2)</w:t>
        </w:r>
      </w:ins>
      <w:r w:rsidR="0033098E">
        <w:t xml:space="preserve">. Due to this difference, </w:t>
      </w:r>
      <w:ins w:id="58" w:author="Mark Scheuerell" w:date="2026-03-07T09:41:00Z" w16du:dateUtc="2026-03-07T17:41:00Z">
        <w:r w:rsidR="00A21D8D">
          <w:t xml:space="preserve">I constructed </w:t>
        </w:r>
      </w:ins>
      <w:r w:rsidR="0033098E">
        <w:t xml:space="preserve">a synthetic control group time series </w:t>
      </w:r>
      <w:del w:id="59" w:author="Mark Scheuerell" w:date="2026-03-07T09:41:00Z" w16du:dateUtc="2026-03-07T17:41:00Z">
        <w:r w:rsidR="0033098E" w:rsidDel="00A21D8D">
          <w:delText xml:space="preserve">was constructed </w:delText>
        </w:r>
      </w:del>
      <w:r w:rsidR="0033098E">
        <w:t>for comparison with the treatment group. All other models satisfy the parallel trends assumption.</w:t>
      </w:r>
    </w:p>
    <w:p w14:paraId="6D6BBACD" w14:textId="7E0E14F7" w:rsidR="00C3066D" w:rsidRDefault="00CD3E62" w:rsidP="00F4350E">
      <w:pPr>
        <w:spacing w:after="0" w:line="480" w:lineRule="auto"/>
        <w:rPr>
          <w:b/>
          <w:bCs/>
        </w:rPr>
      </w:pPr>
      <w:r>
        <w:lastRenderedPageBreak/>
        <w:tab/>
      </w:r>
      <w:del w:id="60" w:author="Mark Scheuerell" w:date="2026-03-07T09:41:00Z" w16du:dateUtc="2026-03-07T17:41:00Z">
        <w:r w:rsidDel="00A21D8D">
          <w:delText xml:space="preserve">Table 3 describes the results of these difference-in-difference studies. </w:delText>
        </w:r>
      </w:del>
      <w:r>
        <w:t xml:space="preserve">The effect of SJH operations commencing in 1980 </w:t>
      </w:r>
      <w:del w:id="61" w:author="Mark Scheuerell" w:date="2026-03-07T09:42:00Z" w16du:dateUtc="2026-03-07T17:42:00Z">
        <w:r w:rsidDel="00A21D8D">
          <w:delText>is shown to have driven</w:delText>
        </w:r>
      </w:del>
      <w:ins w:id="62" w:author="Mark Scheuerell" w:date="2026-03-07T09:42:00Z" w16du:dateUtc="2026-03-07T17:42:00Z">
        <w:r w:rsidR="00A21D8D">
          <w:t>drove</w:t>
        </w:r>
      </w:ins>
      <w:r>
        <w:t xml:space="preserve"> a significant increase in odd-year pink salmon abundances at Indian River</w:t>
      </w:r>
      <w:r w:rsidR="00DC67C0">
        <w:t xml:space="preserve">, while no significant impact </w:t>
      </w:r>
      <w:del w:id="63" w:author="Mark Scheuerell" w:date="2026-03-07T09:42:00Z" w16du:dateUtc="2026-03-07T17:42:00Z">
        <w:r w:rsidR="00DC67C0" w:rsidDel="00A21D8D">
          <w:delText xml:space="preserve">is </w:delText>
        </w:r>
      </w:del>
      <w:ins w:id="64" w:author="Mark Scheuerell" w:date="2026-03-07T09:42:00Z" w16du:dateUtc="2026-03-07T17:42:00Z">
        <w:r w:rsidR="00A21D8D">
          <w:t xml:space="preserve">was </w:t>
        </w:r>
      </w:ins>
      <w:r w:rsidR="00DC67C0">
        <w:t>found affecting even-year runs</w:t>
      </w:r>
      <w:ins w:id="65" w:author="Mark Scheuerell" w:date="2026-03-07T09:41:00Z" w16du:dateUtc="2026-03-07T17:41:00Z">
        <w:r w:rsidR="00A21D8D">
          <w:t xml:space="preserve"> (Table 3)</w:t>
        </w:r>
      </w:ins>
      <w:r>
        <w:t xml:space="preserve">. </w:t>
      </w:r>
      <w:r w:rsidR="00DC67C0">
        <w:t>T</w:t>
      </w:r>
      <w:r>
        <w:t xml:space="preserve">he expansion of permitted pink salmon releases from 1 million to 3 million in 2010 </w:t>
      </w:r>
      <w:del w:id="66" w:author="Mark Scheuerell" w:date="2026-03-07T09:42:00Z" w16du:dateUtc="2026-03-07T17:42:00Z">
        <w:r w:rsidDel="00A21D8D">
          <w:delText xml:space="preserve">is shown to have driven </w:delText>
        </w:r>
      </w:del>
      <w:r>
        <w:t>significant</w:t>
      </w:r>
      <w:ins w:id="67" w:author="Mark Scheuerell" w:date="2026-03-07T09:42:00Z" w16du:dateUtc="2026-03-07T17:42:00Z">
        <w:r w:rsidR="00A21D8D">
          <w:t>ly</w:t>
        </w:r>
      </w:ins>
      <w:r>
        <w:t xml:space="preserve"> </w:t>
      </w:r>
      <w:del w:id="68" w:author="Mark Scheuerell" w:date="2026-03-07T09:42:00Z" w16du:dateUtc="2026-03-07T17:42:00Z">
        <w:r w:rsidDel="00A21D8D">
          <w:delText xml:space="preserve">increases </w:delText>
        </w:r>
      </w:del>
      <w:ins w:id="69" w:author="Mark Scheuerell" w:date="2026-03-07T09:42:00Z" w16du:dateUtc="2026-03-07T17:42:00Z">
        <w:r w:rsidR="00A21D8D">
          <w:t xml:space="preserve">increased </w:t>
        </w:r>
      </w:ins>
      <w:r>
        <w:t xml:space="preserve">in both even- and odd-year abundances. </w:t>
      </w:r>
      <w:r w:rsidR="00DC67C0">
        <w:t>The difference in time periods (pre- and post</w:t>
      </w:r>
      <w:r w:rsidR="00E73316">
        <w:t>-</w:t>
      </w:r>
      <w:r w:rsidR="00DC67C0">
        <w:t xml:space="preserve">1980, and pre- and post-2010) </w:t>
      </w:r>
      <w:del w:id="70" w:author="Mark Scheuerell" w:date="2026-03-07T09:42:00Z" w16du:dateUtc="2026-03-07T17:42:00Z">
        <w:r w:rsidR="00DC67C0" w:rsidDel="00A21D8D">
          <w:delText>is found to be</w:delText>
        </w:r>
      </w:del>
      <w:ins w:id="71" w:author="Mark Scheuerell" w:date="2026-03-07T09:42:00Z" w16du:dateUtc="2026-03-07T17:42:00Z">
        <w:r w:rsidR="00A21D8D">
          <w:t>was</w:t>
        </w:r>
      </w:ins>
      <w:r w:rsidR="00DC67C0">
        <w:t xml:space="preserve"> a significant driver of pink salmon abundances both at Indian River and throughout </w:t>
      </w:r>
      <w:r w:rsidR="00E73316">
        <w:t xml:space="preserve">the </w:t>
      </w:r>
      <w:r w:rsidR="00E73316" w:rsidRPr="003C6E79">
        <w:rPr>
          <w:i/>
          <w:iCs/>
        </w:rPr>
        <w:t>north southeast (outside)</w:t>
      </w:r>
      <w:r w:rsidR="00E73316">
        <w:t xml:space="preserve"> region. This result is consistent with trends seen in ADFG’s survey data (Figures 2 &amp; 3), as well as the estimated states of pink salmon abundance depicted in Figures 4 &amp; 5. </w:t>
      </w:r>
    </w:p>
    <w:p w14:paraId="0E88E592" w14:textId="77777777"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080F073D" w:rsidR="00C3066D" w:rsidRDefault="00976473" w:rsidP="008C144E">
      <w:pPr>
        <w:spacing w:after="0" w:line="480" w:lineRule="auto"/>
      </w:pPr>
      <w:commentRangeStart w:id="72"/>
      <w:r>
        <w:t>With difference-in-difference studies suggesting that hatchery operations are having some influence on Indian River pink salmon abundances, the last stage of this research seeks to directly evaluate the effect o</w:t>
      </w:r>
      <w:r w:rsidR="005227E4">
        <w:t>f the volume of pink salmon coming from each source (the river and the hatchery) in brood year t-1 has on the other in brood year t</w:t>
      </w:r>
      <w:r>
        <w:t xml:space="preserve">. </w:t>
      </w:r>
      <w:r w:rsidR="005227E4">
        <w:t xml:space="preserve">For this purpose, MARSS models are employed with </w:t>
      </w:r>
      <w:r w:rsidR="005227E4" w:rsidRPr="00C64BF8">
        <w:rPr>
          <w:rFonts w:ascii="MathJax_Math-italic" w:eastAsia="Times New Roman" w:hAnsi="MathJax_Math-italic" w:cs="Times New Roman"/>
          <w:b/>
          <w:bCs/>
          <w:kern w:val="0"/>
          <w:sz w:val="26"/>
          <w:szCs w:val="26"/>
          <w:bdr w:val="none" w:sz="0" w:space="0" w:color="auto" w:frame="1"/>
          <w14:ligatures w14:val="none"/>
        </w:rPr>
        <w:t>B</w:t>
      </w:r>
      <w:r w:rsidR="005227E4">
        <w:t xml:space="preserve"> specified specifically to capture these cross effects.</w:t>
      </w:r>
      <w:r w:rsidR="00090DA1">
        <w:t xml:space="preserve"> As mentioned above, the element of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that would capture the influence of hatchery returns in brood year t-1 on hatchery returns in brood year t is set at zero, due to hatchery releases in year t not being the direct result of returns in the previous brood year. </w:t>
      </w:r>
      <w:commentRangeEnd w:id="72"/>
      <w:r w:rsidR="00A21D8D">
        <w:rPr>
          <w:rStyle w:val="CommentReference"/>
          <w:sz w:val="24"/>
          <w:szCs w:val="24"/>
        </w:rPr>
        <w:commentReference w:id="72"/>
      </w:r>
      <w:commentRangeStart w:id="73"/>
      <w:r w:rsidR="00090DA1">
        <w:t xml:space="preserve">Figure 6 describes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parameter estimates from these MARSS models, including the parameter of greatest interest – the e</w:t>
      </w:r>
      <w:r w:rsidR="00090DA1" w:rsidRPr="00090DA1">
        <w:t>ffect of prior brood year hatchery returns on current brood year Indian River abundance</w:t>
      </w:r>
      <w:r w:rsidR="00090DA1">
        <w:t xml:space="preserve">, as well as the effect </w:t>
      </w:r>
      <w:r w:rsidR="00090DA1">
        <w:lastRenderedPageBreak/>
        <w:t xml:space="preserve">of </w:t>
      </w:r>
      <w:r w:rsidR="00090DA1" w:rsidRPr="00090DA1">
        <w:t>prior brood year Indian River abundance on current brood year</w:t>
      </w:r>
      <w:r w:rsidR="00090DA1">
        <w:t xml:space="preserve"> </w:t>
      </w:r>
      <w:r w:rsidR="00090DA1" w:rsidRPr="00090DA1">
        <w:t>hatchery returns</w:t>
      </w:r>
      <w:r w:rsidR="00090DA1">
        <w:t xml:space="preserve">, and the effect of prior brood year Indian River abundance on current brood year Indian River abundance. </w:t>
      </w:r>
      <w:commentRangeEnd w:id="73"/>
      <w:r w:rsidR="00A21D8D">
        <w:rPr>
          <w:rStyle w:val="CommentReference"/>
          <w:sz w:val="24"/>
          <w:szCs w:val="24"/>
        </w:rPr>
        <w:commentReference w:id="73"/>
      </w:r>
      <w:r w:rsidR="00090DA1">
        <w:t xml:space="preserve">Parametric bootstrapping is employed to construct confidence intervals around these parameter estimates. </w:t>
      </w:r>
    </w:p>
    <w:p w14:paraId="40ADB905" w14:textId="293F746D" w:rsidR="00675815" w:rsidRDefault="00090DA1" w:rsidP="008C144E">
      <w:pPr>
        <w:spacing w:after="0" w:line="480" w:lineRule="auto"/>
      </w:pPr>
      <w:r>
        <w:tab/>
      </w:r>
      <w:commentRangeStart w:id="74"/>
      <w:r>
        <w:t xml:space="preserve">The </w:t>
      </w:r>
      <w:del w:id="75" w:author="Mark Scheuerell" w:date="2026-03-07T09:44:00Z" w16du:dateUtc="2026-03-07T17:44:00Z">
        <w:r w:rsidDel="00A21D8D">
          <w:delText>parameter of interest</w:delText>
        </w:r>
        <w:r w:rsidR="006D7969" w:rsidDel="00A21D8D">
          <w:delText xml:space="preserve"> (the </w:delText>
        </w:r>
      </w:del>
      <w:r w:rsidR="006D7969">
        <w:t>e</w:t>
      </w:r>
      <w:r w:rsidR="006D7969" w:rsidRPr="00090DA1">
        <w:t>ffect of prior brood year hatchery returns on current brood year Indian River abundance</w:t>
      </w:r>
      <w:del w:id="76" w:author="Mark Scheuerell" w:date="2026-03-07T09:45:00Z" w16du:dateUtc="2026-03-07T17:45:00Z">
        <w:r w:rsidR="006D7969" w:rsidDel="00A21D8D">
          <w:delText>) i</w:delText>
        </w:r>
        <w:r w:rsidR="009F6B38" w:rsidDel="00A21D8D">
          <w:delText>s</w:delText>
        </w:r>
        <w:r w:rsidR="006D7969" w:rsidDel="00A21D8D">
          <w:delText xml:space="preserve"> found to be</w:delText>
        </w:r>
      </w:del>
      <w:ins w:id="77" w:author="Mark Scheuerell" w:date="2026-03-07T09:45:00Z" w16du:dateUtc="2026-03-07T17:45:00Z">
        <w:r w:rsidR="00A21D8D">
          <w:t xml:space="preserve"> was</w:t>
        </w:r>
      </w:ins>
      <w:r w:rsidR="006D7969">
        <w:t xml:space="preserve"> </w:t>
      </w:r>
      <w:r w:rsidR="009F6B38">
        <w:t xml:space="preserve">positive and </w:t>
      </w:r>
      <w:r w:rsidR="006D7969">
        <w:t>significant 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runs than its inverse, it is crucial to note that hatchery returns are </w:t>
      </w:r>
      <w:r w:rsidR="00B00D9B">
        <w:t xml:space="preserve">greater than Indian River abundance much more often than not. This means that despite the difference in effect, the overall numbers of fish </w:t>
      </w:r>
      <w:del w:id="78" w:author="Mark Scheuerell" w:date="2026-03-07T09:46:00Z" w16du:dateUtc="2026-03-07T17:46:00Z">
        <w:r w:rsidR="00B00D9B" w:rsidDel="00A21D8D">
          <w:delText xml:space="preserve">returning </w:delText>
        </w:r>
      </w:del>
      <w:ins w:id="79" w:author="Mark Scheuerell" w:date="2026-03-07T09:46:00Z" w16du:dateUtc="2026-03-07T17:46:00Z">
        <w:r w:rsidR="00A21D8D">
          <w:t xml:space="preserve">straying </w:t>
        </w:r>
      </w:ins>
      <w:r w:rsidR="00B00D9B">
        <w:t xml:space="preserve">to a </w:t>
      </w:r>
      <w:ins w:id="80" w:author="Mark Scheuerell" w:date="2026-03-07T09:46:00Z" w16du:dateUtc="2026-03-07T17:46:00Z">
        <w:r w:rsidR="00A21D8D">
          <w:t xml:space="preserve">non-origin </w:t>
        </w:r>
      </w:ins>
      <w:r w:rsidR="00B00D9B">
        <w:t xml:space="preserve">site </w:t>
      </w:r>
      <w:del w:id="81" w:author="Mark Scheuerell" w:date="2026-03-07T09:46:00Z" w16du:dateUtc="2026-03-07T17:46:00Z">
        <w:r w:rsidR="00B00D9B" w:rsidDel="00A21D8D">
          <w:delText xml:space="preserve">different from that of their origin </w:delText>
        </w:r>
      </w:del>
      <w:r w:rsidR="00625D54">
        <w:t xml:space="preserve">could be roughly equal or even skewed towards hatchery-born fish returning to Indian River. In those brood years where Indian River abundances exceed hatchery returns, the </w:t>
      </w:r>
      <w:del w:id="82" w:author="Mark Scheuerell" w:date="2026-03-07T09:47:00Z" w16du:dateUtc="2026-03-07T17:47:00Z">
        <w:r w:rsidR="00625D54" w:rsidDel="00A21D8D">
          <w:delText xml:space="preserve">sizes of </w:delText>
        </w:r>
      </w:del>
      <w:r w:rsidR="00625D54">
        <w:t>these effect</w:t>
      </w:r>
      <w:ins w:id="83" w:author="Mark Scheuerell" w:date="2026-03-07T09:47:00Z" w16du:dateUtc="2026-03-07T17:47:00Z">
        <w:r w:rsidR="00A21D8D">
          <w:t xml:space="preserve"> size</w:t>
        </w:r>
      </w:ins>
      <w:r w:rsidR="00625D54">
        <w:t>s imply that the following brood year will see more fish from Indian River returning to the hatchery than vice versa.</w:t>
      </w:r>
      <w:commentRangeEnd w:id="74"/>
      <w:r w:rsidR="00A21D8D">
        <w:rPr>
          <w:rStyle w:val="CommentReference"/>
          <w:sz w:val="24"/>
          <w:szCs w:val="24"/>
        </w:rPr>
        <w:commentReference w:id="74"/>
      </w:r>
    </w:p>
    <w:p w14:paraId="791283B6" w14:textId="77777777" w:rsidR="00344905" w:rsidRDefault="00344905" w:rsidP="008C144E">
      <w:pPr>
        <w:spacing w:after="0" w:line="480" w:lineRule="auto"/>
      </w:pPr>
    </w:p>
    <w:bookmarkEnd w:id="40"/>
    <w:p w14:paraId="79B6696A" w14:textId="78F6E4BB" w:rsidR="00670218" w:rsidRPr="008C144E" w:rsidRDefault="0093781E" w:rsidP="008C144E">
      <w:pPr>
        <w:spacing w:after="0" w:line="480" w:lineRule="auto"/>
        <w:rPr>
          <w:b/>
          <w:bCs/>
          <w:u w:val="single"/>
        </w:rPr>
      </w:pPr>
      <w:commentRangeStart w:id="84"/>
      <w:r w:rsidRPr="008C144E">
        <w:rPr>
          <w:b/>
          <w:bCs/>
          <w:u w:val="single"/>
        </w:rPr>
        <w:t>Discussion</w:t>
      </w:r>
      <w:commentRangeEnd w:id="84"/>
      <w:r w:rsidR="00460B8F" w:rsidRPr="008C144E">
        <w:rPr>
          <w:rStyle w:val="CommentReference"/>
          <w:b/>
          <w:bCs/>
          <w:sz w:val="24"/>
          <w:szCs w:val="24"/>
          <w:u w:val="single"/>
        </w:rPr>
        <w:commentReference w:id="84"/>
      </w:r>
    </w:p>
    <w:p w14:paraId="798BA1B1" w14:textId="17DEA9EA" w:rsidR="003B6985" w:rsidRDefault="00716B1F" w:rsidP="008C144E">
      <w:pPr>
        <w:spacing w:after="0" w:line="480" w:lineRule="auto"/>
      </w:pPr>
      <w:commentRangeStart w:id="85"/>
      <w:r>
        <w:lastRenderedPageBreak/>
        <w:t xml:space="preserve">The results of this work are intended first and foremost to provide management at SITK with a comprehensive description of both the impacts of SJH operations and of the population dynamics of pink salmon throughout the broader region.  </w:t>
      </w:r>
      <w:commentRangeEnd w:id="85"/>
      <w:r w:rsidR="00351AE4">
        <w:rPr>
          <w:rStyle w:val="CommentReference"/>
          <w:sz w:val="24"/>
          <w:szCs w:val="24"/>
        </w:rPr>
        <w:commentReference w:id="85"/>
      </w:r>
      <w:commentRangeStart w:id="86"/>
      <w:r>
        <w:t xml:space="preserve">The state of pink salmon abundances in northern southeast Alaska is changing, as evidenced by Figures 2 &amp; 3. </w:t>
      </w:r>
      <w:commentRangeEnd w:id="86"/>
      <w:r w:rsidR="00351AE4">
        <w:rPr>
          <w:rStyle w:val="CommentReference"/>
          <w:sz w:val="24"/>
          <w:szCs w:val="24"/>
        </w:rPr>
        <w:commentReference w:id="86"/>
      </w:r>
      <w:commentRangeStart w:id="87"/>
      <w:r>
        <w:t xml:space="preserve">Understanding whether pink salmon at Indian River exist within a natural range of variation requires parsing this context. </w:t>
      </w:r>
      <w:commentRangeEnd w:id="87"/>
      <w:r w:rsidR="00351AE4">
        <w:rPr>
          <w:rStyle w:val="CommentReference"/>
          <w:sz w:val="24"/>
          <w:szCs w:val="24"/>
        </w:rPr>
        <w:commentReference w:id="87"/>
      </w:r>
      <w:commentRangeStart w:id="88"/>
      <w:r>
        <w:t xml:space="preserve">While pink salmon densities observed at Indian River in recent decades are high compared to those that were recorded decades ago, </w:t>
      </w:r>
      <w:ins w:id="89" w:author="Mark Scheuerell" w:date="2026-03-07T09:53:00Z" w16du:dateUtc="2026-03-07T17:53:00Z">
        <w:r w:rsidR="00351AE4">
          <w:t xml:space="preserve">more contemporary returns </w:t>
        </w:r>
      </w:ins>
      <w:ins w:id="90" w:author="Mark Scheuerell" w:date="2026-03-07T09:54:00Z" w16du:dateUtc="2026-03-07T17:54:00Z">
        <w:r w:rsidR="00351AE4">
          <w:t xml:space="preserve">of </w:t>
        </w:r>
      </w:ins>
      <w:ins w:id="91" w:author="Mark Scheuerell" w:date="2026-03-07T09:55:00Z" w16du:dateUtc="2026-03-07T17:55:00Z">
        <w:r w:rsidR="00351AE4">
          <w:t xml:space="preserve">adults </w:t>
        </w:r>
      </w:ins>
      <w:ins w:id="92" w:author="Mark Scheuerell" w:date="2026-03-07T09:53:00Z" w16du:dateUtc="2026-03-07T17:53:00Z">
        <w:r w:rsidR="00351AE4">
          <w:t xml:space="preserve">to the </w:t>
        </w:r>
      </w:ins>
      <w:del w:id="93" w:author="Mark Scheuerell" w:date="2026-03-07T09:52:00Z" w16du:dateUtc="2026-03-07T17:52:00Z">
        <w:r w:rsidDel="00351AE4">
          <w:delText xml:space="preserve">a statistical comparison of </w:delText>
        </w:r>
      </w:del>
      <w:r>
        <w:t xml:space="preserve">Indian River </w:t>
      </w:r>
      <w:ins w:id="94" w:author="Mark Scheuerell" w:date="2026-03-07T09:54:00Z" w16du:dateUtc="2026-03-07T17:54:00Z">
        <w:r w:rsidR="00351AE4">
          <w:t xml:space="preserve">in even years are largely in line with </w:t>
        </w:r>
      </w:ins>
      <w:del w:id="95" w:author="Mark Scheuerell" w:date="2026-03-07T09:54:00Z" w16du:dateUtc="2026-03-07T17:54:00Z">
        <w:r w:rsidDel="00351AE4">
          <w:delText xml:space="preserve">to ADFG’s pinks salmon </w:delText>
        </w:r>
      </w:del>
      <w:r>
        <w:t xml:space="preserve">index streams in the </w:t>
      </w:r>
      <w:r w:rsidRPr="003C6E79">
        <w:rPr>
          <w:i/>
          <w:iCs/>
        </w:rPr>
        <w:t xml:space="preserve">north southeast </w:t>
      </w:r>
      <w:r w:rsidRPr="00351AE4">
        <w:rPr>
          <w:rPrChange w:id="96" w:author="Mark Scheuerell" w:date="2026-03-07T09:55:00Z" w16du:dateUtc="2026-03-07T17:55:00Z">
            <w:rPr>
              <w:i/>
              <w:iCs/>
            </w:rPr>
          </w:rPrChange>
        </w:rPr>
        <w:t>(</w:t>
      </w:r>
      <w:r w:rsidRPr="003C6E79">
        <w:rPr>
          <w:i/>
          <w:iCs/>
        </w:rPr>
        <w:t>outside</w:t>
      </w:r>
      <w:r w:rsidRPr="00351AE4">
        <w:rPr>
          <w:rPrChange w:id="97" w:author="Mark Scheuerell" w:date="2026-03-07T09:55:00Z" w16du:dateUtc="2026-03-07T17:55:00Z">
            <w:rPr>
              <w:i/>
              <w:iCs/>
            </w:rPr>
          </w:rPrChange>
        </w:rPr>
        <w:t>)</w:t>
      </w:r>
      <w:ins w:id="98" w:author="Mark Scheuerell" w:date="2026-03-07T09:55:00Z" w16du:dateUtc="2026-03-07T17:55:00Z">
        <w:r w:rsidR="00351AE4" w:rsidRPr="00351AE4">
          <w:rPr>
            <w:rPrChange w:id="99" w:author="Mark Scheuerell" w:date="2026-03-07T09:55:00Z" w16du:dateUtc="2026-03-07T17:55:00Z">
              <w:rPr>
                <w:i/>
                <w:iCs/>
              </w:rPr>
            </w:rPrChange>
          </w:rPr>
          <w:t>, where</w:t>
        </w:r>
        <w:r w:rsidR="00351AE4">
          <w:t xml:space="preserve">as </w:t>
        </w:r>
      </w:ins>
      <w:del w:id="100" w:author="Mark Scheuerell" w:date="2026-03-07T09:55:00Z" w16du:dateUtc="2026-03-07T17:55:00Z">
        <w:r w:rsidRPr="00351AE4" w:rsidDel="00351AE4">
          <w:delText xml:space="preserve"> </w:delText>
        </w:r>
        <w:r w:rsidDel="00351AE4">
          <w:delText xml:space="preserve">region shows that only </w:delText>
        </w:r>
      </w:del>
      <w:r>
        <w:t xml:space="preserve">odd-year runs are not in line with </w:t>
      </w:r>
      <w:ins w:id="101" w:author="Mark Scheuerell" w:date="2026-03-07T09:56:00Z" w16du:dateUtc="2026-03-07T17:56:00Z">
        <w:r w:rsidR="00351AE4">
          <w:t xml:space="preserve">broader </w:t>
        </w:r>
      </w:ins>
      <w:r>
        <w:t xml:space="preserve">regional </w:t>
      </w:r>
      <w:del w:id="102" w:author="Mark Scheuerell" w:date="2026-03-07T09:56:00Z" w16du:dateUtc="2026-03-07T17:56:00Z">
        <w:r w:rsidDel="00351AE4">
          <w:delText>expectations</w:delText>
        </w:r>
      </w:del>
      <w:ins w:id="103" w:author="Mark Scheuerell" w:date="2026-03-07T09:56:00Z" w16du:dateUtc="2026-03-07T17:56:00Z">
        <w:r w:rsidR="00351AE4">
          <w:t>patterns</w:t>
        </w:r>
      </w:ins>
      <w:r>
        <w:t xml:space="preserve">. </w:t>
      </w:r>
      <w:commentRangeEnd w:id="88"/>
      <w:r w:rsidR="00351AE4">
        <w:rPr>
          <w:rStyle w:val="CommentReference"/>
          <w:sz w:val="24"/>
          <w:szCs w:val="24"/>
        </w:rPr>
        <w:commentReference w:id="88"/>
      </w:r>
      <w:r w:rsidR="007C5247">
        <w:t xml:space="preserve">Difference-in-difference modeling indicated that this difference may indeed be driven by Sheldon Jackson Hatchery operations, and the expansion of these operations in 2010 seems to have driven a significant increase in abundances for both even- and odd-year runs. While these results are compelling, they do not reveal the impact of hatchery releases on Indian River pink salmon abundances, only that abundances at Indian River post-2010 (and in the case of odd-year runs, post-1980) are higher than expected relative to the control group. </w:t>
      </w:r>
      <w:del w:id="104" w:author="Mark Scheuerell" w:date="2026-03-07T09:57:00Z" w16du:dateUtc="2026-03-07T17:57:00Z">
        <w:r w:rsidR="00C80629" w:rsidDel="00351AE4">
          <w:delText>That effect is found through</w:delText>
        </w:r>
      </w:del>
      <w:ins w:id="105" w:author="Mark Scheuerell" w:date="2026-03-07T09:57:00Z" w16du:dateUtc="2026-03-07T17:57:00Z">
        <w:r w:rsidR="00351AE4">
          <w:t>This finding was also consistent with</w:t>
        </w:r>
      </w:ins>
      <w:r w:rsidR="00C80629">
        <w:t xml:space="preserve"> time series modeling of Indian River abundances and hatchery returns</w:t>
      </w:r>
      <w:ins w:id="106" w:author="Mark Scheuerell" w:date="2026-03-07T09:57:00Z" w16du:dateUtc="2026-03-07T17:57:00Z">
        <w:r w:rsidR="00351AE4">
          <w:t xml:space="preserve">. Although </w:t>
        </w:r>
      </w:ins>
      <w:ins w:id="107" w:author="Mark Scheuerell" w:date="2026-03-07T09:58:00Z" w16du:dateUtc="2026-03-07T17:58:00Z">
        <w:r w:rsidR="00351AE4">
          <w:t xml:space="preserve">I found </w:t>
        </w:r>
      </w:ins>
      <w:del w:id="108" w:author="Mark Scheuerell" w:date="2026-03-07T09:58:00Z" w16du:dateUtc="2026-03-07T17:58:00Z">
        <w:r w:rsidR="00C80629" w:rsidDel="00351AE4">
          <w:delText xml:space="preserve">, and while this work finds </w:delText>
        </w:r>
      </w:del>
      <w:r w:rsidR="00C80629">
        <w:t xml:space="preserve">a significant effect of hatchery releases on Indian River </w:t>
      </w:r>
      <w:ins w:id="109" w:author="Mark Scheuerell" w:date="2026-03-07T09:58:00Z" w16du:dateUtc="2026-03-07T17:58:00Z">
        <w:r w:rsidR="00351AE4">
          <w:t xml:space="preserve">adult </w:t>
        </w:r>
      </w:ins>
      <w:del w:id="110" w:author="Mark Scheuerell" w:date="2026-03-07T09:58:00Z" w16du:dateUtc="2026-03-07T17:58:00Z">
        <w:r w:rsidR="00C80629" w:rsidDel="00351AE4">
          <w:delText>abundance</w:delText>
        </w:r>
      </w:del>
      <w:ins w:id="111" w:author="Mark Scheuerell" w:date="2026-03-07T09:58:00Z" w16du:dateUtc="2026-03-07T17:58:00Z">
        <w:r w:rsidR="00351AE4">
          <w:t>numbers</w:t>
        </w:r>
      </w:ins>
      <w:del w:id="112" w:author="Mark Scheuerell" w:date="2026-03-07T09:58:00Z" w16du:dateUtc="2026-03-07T17:58:00Z">
        <w:r w:rsidR="00C80629" w:rsidDel="00351AE4">
          <w:delText>s</w:delText>
        </w:r>
      </w:del>
      <w:r w:rsidR="00C80629">
        <w:t>, it also appears that Indian River fish are returning to the hatchery at significant rates.</w:t>
      </w:r>
    </w:p>
    <w:p w14:paraId="27DF658A" w14:textId="13795E18" w:rsidR="00716B1F" w:rsidRDefault="001F7F26" w:rsidP="008C144E">
      <w:pPr>
        <w:spacing w:after="0" w:line="480" w:lineRule="auto"/>
      </w:pPr>
      <w:r>
        <w:tab/>
      </w:r>
      <w:commentRangeStart w:id="113"/>
      <w:r>
        <w:t xml:space="preserve">While it is not the aim of this work to be prescriptive, </w:t>
      </w:r>
      <w:commentRangeEnd w:id="113"/>
      <w:r w:rsidR="00A26CD8">
        <w:rPr>
          <w:rStyle w:val="CommentReference"/>
          <w:sz w:val="24"/>
          <w:szCs w:val="24"/>
        </w:rPr>
        <w:commentReference w:id="113"/>
      </w:r>
      <w:r>
        <w:t xml:space="preserve">it is worth considering the implications of these findings and how they might inform the duties of park officials with </w:t>
      </w:r>
      <w:r>
        <w:lastRenderedPageBreak/>
        <w:t xml:space="preserve">respect to conservation. </w:t>
      </w:r>
      <w:r w:rsidR="00062BCE">
        <w:t xml:space="preserve">In even years, Indian River salmon are not out of the ordinary relative to the wider region. While the expansion of hatchery releases in 2010 </w:t>
      </w:r>
      <w:del w:id="114" w:author="Mark Scheuerell" w:date="2026-03-07T10:07:00Z" w16du:dateUtc="2026-03-07T18:07:00Z">
        <w:r w:rsidR="00062BCE" w:rsidDel="00F4609B">
          <w:delText xml:space="preserve">is statistically shown to </w:delText>
        </w:r>
      </w:del>
      <w:r w:rsidR="00062BCE">
        <w:t>coincide</w:t>
      </w:r>
      <w:ins w:id="115" w:author="Mark Scheuerell" w:date="2026-03-07T10:07:00Z" w16du:dateUtc="2026-03-07T18:07:00Z">
        <w:r w:rsidR="00F4609B">
          <w:t>d with</w:t>
        </w:r>
      </w:ins>
      <w:r w:rsidR="00062BCE">
        <w:t xml:space="preserve"> an increase in the numbers of spawning pink salmon at Indian River, the effect of hatchery returns in the previous brood year on even-year pink salmon abundances are much lower than the effect of fish moving in the other direction. Taken together, </w:t>
      </w:r>
      <w:del w:id="116" w:author="Mark Scheuerell" w:date="2026-03-07T10:07:00Z" w16du:dateUtc="2026-03-07T18:07:00Z">
        <w:r w:rsidR="00062BCE" w:rsidDel="00F4609B">
          <w:delText xml:space="preserve">this suite of evidence makes </w:delText>
        </w:r>
      </w:del>
      <w:r w:rsidR="00062BCE">
        <w:t>it seem</w:t>
      </w:r>
      <w:ins w:id="117" w:author="Mark Scheuerell" w:date="2026-03-07T10:08:00Z" w16du:dateUtc="2026-03-07T18:08:00Z">
        <w:r w:rsidR="00F4609B">
          <w:t>s</w:t>
        </w:r>
      </w:ins>
      <w:r w:rsidR="00062BCE">
        <w:t xml:space="preserve"> likely that even-year runs at Indian River are well within the natural range of variation for the wider region. </w:t>
      </w:r>
      <w:r w:rsidR="00CC7AA4">
        <w:t xml:space="preserve">However, the analysis of odd-year runs tells a different story. </w:t>
      </w:r>
      <w:del w:id="118" w:author="Mark Scheuerell" w:date="2026-03-07T10:09:00Z" w16du:dateUtc="2026-03-07T18:09:00Z">
        <w:r w:rsidR="00CC7AA4" w:rsidDel="00F4609B">
          <w:delText xml:space="preserve">Odd-year runs at Indian River are found differ significantly from the expectation drawn from the wider region. </w:delText>
        </w:r>
      </w:del>
      <w:r w:rsidR="00CC7AA4">
        <w:t>The effect</w:t>
      </w:r>
      <w:ins w:id="119" w:author="Mark Scheuerell" w:date="2026-03-07T10:09:00Z" w16du:dateUtc="2026-03-07T18:09:00Z">
        <w:r w:rsidR="00460B8F">
          <w:t>s of</w:t>
        </w:r>
      </w:ins>
      <w:r w:rsidR="00CC7AA4">
        <w:t xml:space="preserve"> both the commencement and expansion of hatchery operations (1980 and 2010) </w:t>
      </w:r>
      <w:del w:id="120" w:author="Mark Scheuerell" w:date="2026-03-07T10:09:00Z" w16du:dateUtc="2026-03-07T18:09:00Z">
        <w:r w:rsidR="00CC7AA4" w:rsidDel="00460B8F">
          <w:delText xml:space="preserve">are shown to have </w:delText>
        </w:r>
      </w:del>
      <w:r w:rsidR="00CC7AA4">
        <w:t xml:space="preserve">coincided with increases in the numbers of pink salmon at Indian River, above and beyond what was happening elsewhere in the region during those periods. Finally, </w:t>
      </w:r>
      <w:del w:id="121" w:author="Mark Scheuerell" w:date="2026-03-07T10:11:00Z" w16du:dateUtc="2026-03-07T18:11:00Z">
        <w:r w:rsidR="00CC7AA4" w:rsidDel="00460B8F">
          <w:delText>while (like even-year runs),</w:delText>
        </w:r>
      </w:del>
      <w:ins w:id="122" w:author="Mark Scheuerell" w:date="2026-03-07T10:11:00Z" w16du:dateUtc="2026-03-07T18:11:00Z">
        <w:r w:rsidR="00460B8F">
          <w:t>although</w:t>
        </w:r>
      </w:ins>
      <w:r w:rsidR="00CC7AA4">
        <w:t xml:space="preserve"> the effect of hatchery returns in the previous brood year on even-year pink salmon abundances are lower than the effect of fish moving in the other direction, the difference in these effects is not as </w:t>
      </w:r>
      <w:del w:id="123" w:author="Mark Scheuerell" w:date="2026-03-07T10:11:00Z" w16du:dateUtc="2026-03-07T18:11:00Z">
        <w:r w:rsidR="00CC7AA4" w:rsidDel="00460B8F">
          <w:delText>great</w:delText>
        </w:r>
      </w:del>
      <w:ins w:id="124" w:author="Mark Scheuerell" w:date="2026-03-07T10:11:00Z" w16du:dateUtc="2026-03-07T18:11:00Z">
        <w:r w:rsidR="00460B8F">
          <w:t>large</w:t>
        </w:r>
      </w:ins>
      <w:r w:rsidR="00CC7AA4">
        <w:t xml:space="preserve">, </w:t>
      </w:r>
      <w:del w:id="125" w:author="Mark Scheuerell" w:date="2026-03-07T10:12:00Z" w16du:dateUtc="2026-03-07T18:12:00Z">
        <w:r w:rsidR="00CC7AA4" w:rsidDel="00460B8F">
          <w:delText>meaning it is more likely that</w:delText>
        </w:r>
      </w:del>
      <w:ins w:id="126" w:author="Mark Scheuerell" w:date="2026-03-07T10:12:00Z" w16du:dateUtc="2026-03-07T18:12:00Z">
        <w:r w:rsidR="00460B8F">
          <w:t>indicating</w:t>
        </w:r>
      </w:ins>
      <w:r w:rsidR="00CC7AA4">
        <w:t xml:space="preserve"> more fish from the hatchery </w:t>
      </w:r>
      <w:del w:id="127" w:author="Mark Scheuerell" w:date="2026-03-07T10:12:00Z" w16du:dateUtc="2026-03-07T18:12:00Z">
        <w:r w:rsidR="00CC7AA4" w:rsidDel="00460B8F">
          <w:delText>might be</w:delText>
        </w:r>
      </w:del>
      <w:ins w:id="128" w:author="Mark Scheuerell" w:date="2026-03-07T10:12:00Z" w16du:dateUtc="2026-03-07T18:12:00Z">
        <w:r w:rsidR="00460B8F">
          <w:t>are</w:t>
        </w:r>
      </w:ins>
      <w:r w:rsidR="00CC7AA4">
        <w:t xml:space="preserve"> returning to Indian River in a given year than vice versa.</w:t>
      </w:r>
    </w:p>
    <w:p w14:paraId="7D8B9470" w14:textId="426878AB" w:rsidR="00F302DE" w:rsidRDefault="00F302DE" w:rsidP="008C144E">
      <w:pPr>
        <w:spacing w:after="0" w:line="480" w:lineRule="auto"/>
      </w:pPr>
      <w:r>
        <w:tab/>
        <w:t xml:space="preserve">This then illustrates two scenarios. In even years, pink salmon abundances are in line with those observed at ‘pristine’ index streams nearby and thus increases in their spawning densities are likely still within the natural range of variation. </w:t>
      </w:r>
      <w:r w:rsidR="00AE4507">
        <w:t xml:space="preserve">This is not to say that concerns about hypoxia events are not still pressing, but it is worth considering that interceding on behalf of Indian River’s other resident species may run contrary to the natural state of even-year pink salmon. In odd years there exists much more compelling evidence that hatchery releases of pink </w:t>
      </w:r>
      <w:r w:rsidR="00AE4507">
        <w:lastRenderedPageBreak/>
        <w:t xml:space="preserve">salmon are influencing abundances at Indian River. </w:t>
      </w:r>
      <w:r w:rsidR="005B3ACD">
        <w:t>This is not to say that the hatchery is the main driver of high pink salmon densities in odd years (as Figure 3 shows, spawning abundances of these fish have been on the rise throughout the region for decades), but that hatchery fish are having some influence on abundances seen at Indian River not seen in even-year runs. The differences in these effects may be due to the original broodstock SJH sourced for odd- and even-year runs</w:t>
      </w:r>
      <w:r w:rsidR="009C2CB3">
        <w:t xml:space="preserve"> (recall that the original SJH broodstock for even years came from Indian River, while the broodstock for odd years was sourced from Starrigavan Creek). In any case, this work makes clear that limiting the number of SJH pink salmon moving into Indian River to spawn in odd years may be beneficial for maintaining the wild population in the park within their natural range of variation</w:t>
      </w:r>
      <w:del w:id="129" w:author="Mark Scheuerell" w:date="2026-03-07T10:13:00Z" w16du:dateUtc="2026-03-07T18:13:00Z">
        <w:r w:rsidR="009C2CB3" w:rsidDel="00460B8F">
          <w:delText>, although how this might be accomplished is another question all together which falls outside the scope of this work</w:delText>
        </w:r>
      </w:del>
      <w:r w:rsidR="009C2CB3">
        <w:t>.</w:t>
      </w:r>
    </w:p>
    <w:p w14:paraId="4C795B1D" w14:textId="580C4B89" w:rsidR="00306AE3" w:rsidRDefault="009C2CB3" w:rsidP="008C144E">
      <w:pPr>
        <w:spacing w:after="0" w:line="480" w:lineRule="auto"/>
      </w:pPr>
      <w:r>
        <w:tab/>
        <w:t xml:space="preserve">It is clear from this research that determining the point at which a native species becomes overabundant is not a simple task. In the case of pink salmon at Indian River, this task is made additionally complicated by the fact there two populations </w:t>
      </w:r>
      <w:r w:rsidR="002B1614">
        <w:t>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bookmarkEnd w:id="1"/>
    </w:p>
    <w:p w14:paraId="6ABAA840" w14:textId="77777777" w:rsidR="00306AE3" w:rsidRDefault="00306AE3">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6C183250" w14:textId="77777777" w:rsidR="000F7853" w:rsidRDefault="000F7853" w:rsidP="000F7853">
      <w:pPr>
        <w:spacing w:line="240" w:lineRule="auto"/>
        <w:ind w:left="720" w:hanging="720"/>
        <w:rPr>
          <w:ins w:id="130" w:author="Brian E McGreal" w:date="2026-03-27T09:38:00Z" w16du:dateUtc="2026-03-27T16:38:00Z"/>
        </w:rPr>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3F4CC29F" w14:textId="7AD430D6" w:rsidR="009D55B2" w:rsidRPr="00E66FA7" w:rsidRDefault="009D55B2" w:rsidP="009D55B2">
      <w:pPr>
        <w:spacing w:line="240" w:lineRule="auto"/>
        <w:ind w:left="720" w:hanging="720"/>
      </w:pPr>
      <w:ins w:id="131" w:author="Brian E McGreal" w:date="2026-03-27T09:38:00Z" w16du:dateUtc="2026-03-27T16:38:00Z">
        <w:r>
          <w:t xml:space="preserve">Burnham, K. P., D. R. Anderson, K. P. Huyvaert. 2010. AIC model selection and multimodal interference in behavioral ecology: some background, observations, and comparisons. </w:t>
        </w:r>
        <w:r>
          <w:rPr>
            <w:i/>
            <w:iCs/>
          </w:rPr>
          <w:t xml:space="preserve">Behavioral Ecology and Sociobiology </w:t>
        </w:r>
        <w:r>
          <w:t>65: 23-35.</w:t>
        </w:r>
      </w:ins>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32EFCA09" w14:textId="77777777" w:rsidR="000F7853" w:rsidRPr="005A1537"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J. R. Webster. 2005. Loss of foundation species: consequences for the structure and dynamics of forested ecosystems. </w:t>
      </w:r>
      <w:r>
        <w:rPr>
          <w:i/>
          <w:iCs/>
        </w:rPr>
        <w:t>Frontiers in Ecology and the Environment</w:t>
      </w:r>
      <w:r>
        <w:t xml:space="preserve"> 3(9): 479-486.</w:t>
      </w:r>
    </w:p>
    <w:p w14:paraId="34268021" w14:textId="77777777" w:rsidR="000F7853" w:rsidRDefault="000F7853" w:rsidP="000F7853">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440E490E" w14:textId="77777777" w:rsidR="000F7853" w:rsidRDefault="000F7853" w:rsidP="000F7853">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73157A78" w14:textId="77777777" w:rsidR="000F7853" w:rsidRDefault="000F7853" w:rsidP="000F7853">
      <w:pPr>
        <w:spacing w:line="240" w:lineRule="auto"/>
        <w:ind w:left="720" w:hanging="720"/>
      </w:pPr>
      <w:r>
        <w:t xml:space="preserve">Gallardo, B., M. Clavero, M. I. Sánchez, 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77777777" w:rsidR="000F7853" w:rsidRDefault="000F7853" w:rsidP="000F785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B66BF3D" w14:textId="77777777"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S. Kumschick. 2014. Defining the Impact of Non-Native Species. </w:t>
      </w:r>
      <w:r>
        <w:rPr>
          <w:i/>
          <w:iCs/>
        </w:rPr>
        <w:t>Conservation Biology</w:t>
      </w:r>
      <w:r>
        <w:t xml:space="preserve"> 28(5): 1188-1194.</w:t>
      </w:r>
    </w:p>
    <w:p w14:paraId="3FC36220" w14:textId="77777777" w:rsidR="000F7853" w:rsidRDefault="000F7853" w:rsidP="000F7853">
      <w:pPr>
        <w:spacing w:line="240" w:lineRule="auto"/>
        <w:ind w:left="720" w:hanging="720"/>
      </w:pPr>
      <w:r>
        <w:lastRenderedPageBreak/>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45982CBB" w14:textId="77777777" w:rsidR="000F7853" w:rsidRDefault="000F7853" w:rsidP="000F7853">
      <w:pPr>
        <w:spacing w:line="240" w:lineRule="auto"/>
        <w:ind w:left="720" w:hanging="720"/>
      </w:pPr>
      <w:r>
        <w:t>Manhard, C. V., J. E. Joyce, W. W. Smoker, and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9F8EA3B" w14:textId="77777777" w:rsidR="000F7853" w:rsidRDefault="000F7853" w:rsidP="000F7853">
      <w:pPr>
        <w:spacing w:line="240" w:lineRule="auto"/>
        <w:ind w:left="720" w:hanging="720"/>
      </w:pPr>
      <w:r>
        <w:t xml:space="preserve">Mantua, N. J., S. R. Hare, Y. Zhang, J. M. Wallace, and R. C. Francis. A Pacific Interdecadal Climate Oscillation with Impacts on Salmon Production. </w:t>
      </w:r>
      <w:r>
        <w:rPr>
          <w:i/>
          <w:iCs/>
        </w:rPr>
        <w:t>Bulletin of the American Meteorological Society</w:t>
      </w:r>
      <w:r>
        <w:t xml:space="preserve"> 78(6): 1069-1079.  </w:t>
      </w:r>
    </w:p>
    <w:p w14:paraId="5D3ED3A4" w14:textId="77777777" w:rsidR="000F7853" w:rsidRDefault="000F7853" w:rsidP="000F7853">
      <w:pPr>
        <w:spacing w:line="240" w:lineRule="auto"/>
        <w:ind w:left="720" w:hanging="720"/>
      </w:pPr>
      <w:r>
        <w:t xml:space="preserve">Miller, K. M., S. J. Perles, J. P. Schmit, E. R. Matthews, A. S. Weed, J. A. Comiskey, M. R. Marshall, P. Nelson, N. A. Fisichelli.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4E4A1E4F" w14:textId="77777777" w:rsidR="000F7853" w:rsidRPr="00E66FA7" w:rsidRDefault="000F7853" w:rsidP="000F7853">
      <w:pPr>
        <w:spacing w:line="240" w:lineRule="auto"/>
        <w:ind w:left="720" w:hanging="720"/>
      </w:pPr>
      <w:r>
        <w:t xml:space="preserve">Moore, J. H., L. Gibson, Z. Amir, W. Chanthorn, A. H. Ahmad, P. A. Jansen, C. P. Mendes, M. Onuma, C. A. Peres, M. S. Luskin. 2023. The rise of hyperabundant native generalists threatens both humans and nature. </w:t>
      </w:r>
      <w:r>
        <w:rPr>
          <w:i/>
          <w:iCs/>
        </w:rPr>
        <w:t>Biological Reviews</w:t>
      </w:r>
      <w:r>
        <w:t xml:space="preserve"> 98(5): 1829-1844.</w:t>
      </w:r>
    </w:p>
    <w:p w14:paraId="0C798D7A" w14:textId="77777777" w:rsidR="000F7853" w:rsidRDefault="000F7853" w:rsidP="000F7853">
      <w:pPr>
        <w:spacing w:line="240" w:lineRule="auto"/>
        <w:ind w:left="720" w:hanging="720"/>
      </w:pPr>
      <w:r>
        <w:t xml:space="preserve">National Park Service. 2025a. Organic Act of 1916. Available at: </w:t>
      </w:r>
      <w:hyperlink r:id="rId12" w:history="1">
        <w:r w:rsidRPr="00096DB2">
          <w:rPr>
            <w:rStyle w:val="Hyperlink"/>
          </w:rPr>
          <w:t>https://www.nps.gov/grba/learn/management/organic-act-of-1916.htm</w:t>
        </w:r>
      </w:hyperlink>
      <w:r>
        <w:t xml:space="preserve"> (accessed March 27, 2025)</w:t>
      </w:r>
    </w:p>
    <w:p w14:paraId="2E352D74" w14:textId="77777777" w:rsidR="000F7853" w:rsidRPr="00096DB2" w:rsidRDefault="000F7853" w:rsidP="000F7853">
      <w:pPr>
        <w:spacing w:line="240" w:lineRule="auto"/>
        <w:ind w:left="720" w:hanging="720"/>
        <w:rPr>
          <w:i/>
          <w:iCs/>
        </w:rPr>
      </w:pPr>
      <w:r>
        <w:t xml:space="preserve">National Park Service. 2025b. Sitka National Historical Park. Available at: </w:t>
      </w:r>
      <w:hyperlink r:id="rId13" w:history="1">
        <w:r w:rsidRPr="00096DB2">
          <w:rPr>
            <w:rStyle w:val="Hyperlink"/>
          </w:rPr>
          <w:t>https://www.nps.gov/sitk/index.htm</w:t>
        </w:r>
      </w:hyperlink>
      <w:r>
        <w:t xml:space="preserve"> (accessed March 18, 2025)</w:t>
      </w:r>
      <w:r>
        <w:rPr>
          <w:i/>
          <w:iCs/>
        </w:rPr>
        <w:t xml:space="preserve"> </w:t>
      </w:r>
    </w:p>
    <w:p w14:paraId="491D9474" w14:textId="77777777"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D513C4" w14:textId="77777777" w:rsidR="000F7853" w:rsidRDefault="000F7853" w:rsidP="000F7853">
      <w:pPr>
        <w:spacing w:line="240" w:lineRule="auto"/>
        <w:ind w:left="720" w:hanging="720"/>
        <w:rPr>
          <w:ins w:id="132" w:author="Brian E McGreal" w:date="2026-03-27T11:26:00Z" w16du:dateUtc="2026-03-27T18:26:00Z"/>
        </w:rPr>
      </w:pPr>
      <w:r>
        <w:t xml:space="preserve">Sambaraju, K. R., D. W. Goodman. 2021. Mountain pine beetle: an example of a climate-driven eruptive insect impacting conifer forest ecosystems. </w:t>
      </w:r>
      <w:r>
        <w:rPr>
          <w:i/>
          <w:iCs/>
        </w:rPr>
        <w:t>CABI Reviews</w:t>
      </w:r>
      <w:r>
        <w:t>: 18pp.</w:t>
      </w:r>
    </w:p>
    <w:p w14:paraId="27B12705" w14:textId="5F018B2F" w:rsidR="00310948" w:rsidRDefault="00310948" w:rsidP="00310948">
      <w:pPr>
        <w:spacing w:line="240" w:lineRule="auto"/>
        <w:ind w:left="720" w:hanging="720"/>
      </w:pPr>
      <w:ins w:id="133" w:author="Brian E McGreal" w:date="2026-03-27T11:26:00Z" w16du:dateUtc="2026-03-27T18:26:00Z">
        <w:r>
          <w:t xml:space="preserve">Scheuerell, M. D., E. R. Buhle, B. X. Semmens, M. J. Ford, T. Cooney, R. W. Carmichael. 2015. Analyzing large-scale conservation interventions with Bayesian hierarchical models: a case study of supplementing threated Pacific salmon. </w:t>
        </w:r>
        <w:r>
          <w:rPr>
            <w:i/>
            <w:iCs/>
          </w:rPr>
          <w:t xml:space="preserve">Ecology and Evolution </w:t>
        </w:r>
        <w:r>
          <w:t>5(10): 2115-2125.</w:t>
        </w:r>
      </w:ins>
    </w:p>
    <w:p w14:paraId="1F63EFB7" w14:textId="77777777" w:rsidR="000F7853" w:rsidRPr="005810E6" w:rsidRDefault="000F7853" w:rsidP="000F7853">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7777777" w:rsidR="000F7853" w:rsidRDefault="000F7853" w:rsidP="000F7853">
      <w:pPr>
        <w:spacing w:line="240" w:lineRule="auto"/>
        <w:ind w:left="720" w:hanging="720"/>
      </w:pPr>
      <w:r>
        <w:t xml:space="preserve">Sergeant, C. J., J. R. Bellmore, R. A. Bellmore, J. A. Falke, F. J. Mueter, and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lastRenderedPageBreak/>
        <w:t xml:space="preserve">Thornton, T. F. 1998. </w:t>
      </w:r>
      <w:r>
        <w:rPr>
          <w:i/>
          <w:iCs/>
        </w:rPr>
        <w:t>Traditional Tlingit Use of Sitka National Historical Park</w:t>
      </w:r>
      <w:r>
        <w:t>. National Park Service, 170 pp.</w:t>
      </w:r>
    </w:p>
    <w:p w14:paraId="659843AD" w14:textId="77777777" w:rsidR="000F7853" w:rsidRDefault="000F7853" w:rsidP="000F7853">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5" w:author="Mark Scheuerell" w:date="2026-03-06T05:33:00Z" w:initials="s">
    <w:p w14:paraId="24305DAB" w14:textId="77777777" w:rsidR="00F6199D" w:rsidRDefault="00F6199D">
      <w:pPr>
        <w:pStyle w:val="CommentText"/>
      </w:pPr>
      <w:r>
        <w:rPr>
          <w:rStyle w:val="CommentReference"/>
        </w:rPr>
        <w:annotationRef/>
      </w:r>
      <w:r>
        <w:t>Please add a title page.</w:t>
      </w:r>
    </w:p>
    <w:p w14:paraId="1FF67B2E" w14:textId="77777777" w:rsidR="00F6199D" w:rsidRDefault="00F6199D">
      <w:pPr>
        <w:pStyle w:val="CommentText"/>
      </w:pPr>
    </w:p>
    <w:p w14:paraId="2FF355B0" w14:textId="77777777" w:rsidR="00F6199D" w:rsidRDefault="00F6199D">
      <w:pPr>
        <w:pStyle w:val="CommentText"/>
      </w:pPr>
      <w:r>
        <w:t>For the manuscript, you’ll also need to include the info here:</w:t>
      </w:r>
    </w:p>
    <w:p w14:paraId="2604FD2C" w14:textId="692E9F4F" w:rsidR="00F6199D" w:rsidRDefault="00F6199D">
      <w:pPr>
        <w:pStyle w:val="CommentText"/>
      </w:pPr>
      <w:r w:rsidRPr="00F6199D">
        <w:t>https://scheuerell-lab.github.io/lab-book/publications.html#usgs-fundamental-science-practices</w:t>
      </w:r>
    </w:p>
  </w:comment>
  <w:comment w:id="33"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5"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6" w:author="Mark Scheuerell" w:date="2026-03-06T06:19:00Z" w:initials="s">
    <w:p w14:paraId="44D07938" w14:textId="77777777" w:rsidR="00060EB8" w:rsidRDefault="00060EB8">
      <w:pPr>
        <w:pStyle w:val="CommentText"/>
      </w:pPr>
      <w:r>
        <w:rPr>
          <w:rStyle w:val="CommentReference"/>
        </w:rPr>
        <w:annotationRef/>
      </w:r>
      <w:r>
        <w:t>Try revising this to be in the first person (eg, “I assigned…”)</w:t>
      </w:r>
    </w:p>
  </w:comment>
  <w:comment w:id="38"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39" w:author="Mark Scheuerell" w:date="2026-03-06T06:23:00Z" w:initials="s">
    <w:p w14:paraId="3DA00D44" w14:textId="77777777" w:rsidR="00205B63" w:rsidRDefault="00205B63">
      <w:pPr>
        <w:pStyle w:val="CommentText"/>
      </w:pPr>
      <w:r>
        <w:t>(here and elsewhere) I don’t think of models as estimating things. Rather, the algorithm does the fitting/estimation</w:t>
      </w:r>
      <w:r w:rsidR="009B5B49">
        <w:t>/ So, for example, here you might say,</w:t>
      </w:r>
    </w:p>
    <w:p w14:paraId="19BABF87" w14:textId="77777777" w:rsidR="009B5B49" w:rsidRDefault="009B5B49">
      <w:pPr>
        <w:pStyle w:val="CommentText"/>
      </w:pPr>
    </w:p>
    <w:p w14:paraId="70F949E6" w14:textId="7DD04650" w:rsidR="009B5B49" w:rsidRDefault="009B5B49">
      <w:pPr>
        <w:pStyle w:val="CommentText"/>
      </w:pPr>
      <w:r>
        <w:t xml:space="preserve">“By specifying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w:t>
      </w:r>
      <w:r w:rsidR="006C6D25">
        <w:t>I estimated</w:t>
      </w:r>
      <w:r>
        <w:rPr>
          <w:rStyle w:val="CommentReference"/>
        </w:rPr>
        <w:annotationRef/>
      </w:r>
      <w:r>
        <w:t xml:space="preserve"> the effect of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w:t>
      </w:r>
      <w:r>
        <w:rPr>
          <w:rFonts w:ascii="MathJax_Math-italic" w:eastAsia="Times New Roman" w:hAnsi="MathJax_Math-italic" w:cs="Times New Roman"/>
          <w:kern w:val="0"/>
          <w:sz w:val="26"/>
          <w:szCs w:val="26"/>
          <w:bdr w:val="none" w:sz="0" w:space="0" w:color="auto" w:frame="1"/>
          <w14:ligatures w14:val="none"/>
        </w:rPr>
        <w:t>.”</w:t>
      </w:r>
    </w:p>
  </w:comment>
  <w:comment w:id="37"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41" w:author="Mark Scheuerell" w:date="2026-03-06T06:28:00Z" w:initials="s">
    <w:p w14:paraId="4DDBE27C" w14:textId="5346C979" w:rsidR="00DC2443" w:rsidRDefault="00DC2443">
      <w:pPr>
        <w:pStyle w:val="CommentText"/>
      </w:pPr>
      <w:r>
        <w:rPr>
          <w:rStyle w:val="CommentReference"/>
        </w:rPr>
        <w:annotationRef/>
      </w:r>
      <w:r>
        <w:t xml:space="preserve">I know this writing style is common in econ (based on my experiences with Bill J), but I think </w:t>
      </w:r>
      <w:r w:rsidR="006C6D25">
        <w:t>this type of sentence</w:t>
      </w:r>
      <w:r>
        <w:t xml:space="preserve"> just restate</w:t>
      </w:r>
      <w:r w:rsidR="006C6D25">
        <w:t>s</w:t>
      </w:r>
      <w:r>
        <w:t xml:space="preserve"> the figure caption. Instead, I recommend making strong statements about the results and then referencing the figures parenthetically. </w:t>
      </w:r>
    </w:p>
  </w:comment>
  <w:comment w:id="42"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43" w:author="Mark Scheuerell" w:date="2026-03-07T09:11:00Z" w:initials="s">
    <w:p w14:paraId="38DE934D" w14:textId="75BBD858" w:rsidR="00A227BE" w:rsidRDefault="00A227BE">
      <w:pPr>
        <w:pStyle w:val="CommentText"/>
      </w:pPr>
      <w:r>
        <w:rPr>
          <w:rStyle w:val="CommentReference"/>
        </w:rPr>
        <w:annotationRef/>
      </w:r>
      <w:r>
        <w:t>These statements also seem to be based on the z-scored states. If you want to stick with this, I think you’ll have to discuss differences in terms of SD’s (eg, “site 1 was ~2 SD’s greater than site 2”)</w:t>
      </w:r>
    </w:p>
  </w:comment>
  <w:comment w:id="49" w:author="Mark Scheuerell" w:date="2026-03-07T09:14:00Z" w:initials="s">
    <w:p w14:paraId="55D21155" w14:textId="099B0358" w:rsidR="00A227BE" w:rsidRDefault="00A227BE">
      <w:pPr>
        <w:pStyle w:val="CommentText"/>
      </w:pPr>
      <w:r>
        <w:rPr>
          <w:rStyle w:val="CommentReference"/>
        </w:rPr>
        <w:annotationRef/>
      </w:r>
      <w:r>
        <w:rPr>
          <w:rStyle w:val="CommentReference"/>
        </w:rPr>
        <w:t>This level of differe</w:t>
      </w:r>
      <w:r>
        <w:t>ncing is the discrete time equivalent of the 3</w:t>
      </w:r>
      <w:r w:rsidRPr="00A227BE">
        <w:rPr>
          <w:vertAlign w:val="superscript"/>
        </w:rPr>
        <w:t>rd</w:t>
      </w:r>
      <w:r>
        <w:t xml:space="preserve"> derivative and I’m wondering what that means here</w:t>
      </w:r>
      <w:r w:rsidR="00AE6A99">
        <w:t>. Are you working with log-transformed or raw data?</w:t>
      </w:r>
    </w:p>
    <w:p w14:paraId="27F1E839" w14:textId="77777777" w:rsidR="00AE6A99" w:rsidRDefault="00AE6A99">
      <w:pPr>
        <w:pStyle w:val="CommentText"/>
      </w:pPr>
    </w:p>
    <w:p w14:paraId="43491B69" w14:textId="433C14F1" w:rsidR="00AE6A99" w:rsidRDefault="00AE6A99">
      <w:pPr>
        <w:pStyle w:val="CommentText"/>
      </w:pPr>
      <w:r>
        <w:t>Why not just fit a linear trend and then use the residuals? We talked about this in FISH 550 when discussing classical decomposition</w:t>
      </w:r>
    </w:p>
  </w:comment>
  <w:comment w:id="50" w:author="Mark Scheuerell" w:date="2026-03-07T09:35:00Z" w:initials="s">
    <w:p w14:paraId="777190E0" w14:textId="0F0AFF6C" w:rsidR="00AE6A99" w:rsidRDefault="00AE6A99">
      <w:pPr>
        <w:pStyle w:val="CommentText"/>
      </w:pPr>
      <w:r>
        <w:rPr>
          <w:rStyle w:val="CommentReference"/>
        </w:rPr>
        <w:annotationRef/>
      </w:r>
      <w:r>
        <w:t>Again, you need to consider what this differencing means with respect to interpretation.</w:t>
      </w:r>
    </w:p>
  </w:comment>
  <w:comment w:id="51" w:author="Mark Scheuerell" w:date="2026-03-07T09:36:00Z" w:initials="s">
    <w:p w14:paraId="12554C08" w14:textId="24EDC607" w:rsidR="005565C2" w:rsidRDefault="005565C2">
      <w:pPr>
        <w:pStyle w:val="CommentText"/>
      </w:pPr>
      <w:r>
        <w:rPr>
          <w:rStyle w:val="CommentReference"/>
        </w:rPr>
        <w:annotationRef/>
      </w:r>
      <w:r>
        <w:t>Have you not also addressed this by comparing models where the IR is in/ex-cluded in the same state as the other sites (ie, 1- vs 2-state model)?</w:t>
      </w:r>
    </w:p>
  </w:comment>
  <w:comment w:id="52" w:author="Mark Scheuerell" w:date="2026-03-07T09:39:00Z" w:initials="s">
    <w:p w14:paraId="4DCD0072" w14:textId="11B0DD10" w:rsidR="00A21D8D" w:rsidRDefault="00A21D8D">
      <w:pPr>
        <w:pStyle w:val="CommentText"/>
      </w:pPr>
      <w:r>
        <w:rPr>
          <w:rStyle w:val="CommentReference"/>
        </w:rPr>
        <w:annotationRef/>
      </w:r>
      <w:r>
        <w:t>This is all methods, not results. There’s no reason to bring them up again here</w:t>
      </w:r>
    </w:p>
  </w:comment>
  <w:comment w:id="53" w:author="Mark Scheuerell" w:date="2026-03-07T09:40:00Z" w:initials="s">
    <w:p w14:paraId="0DDD772B" w14:textId="5A8E9BCA" w:rsidR="00A21D8D" w:rsidRDefault="00A21D8D">
      <w:pPr>
        <w:pStyle w:val="CommentText"/>
      </w:pPr>
      <w:r>
        <w:rPr>
          <w:rStyle w:val="CommentReference"/>
        </w:rPr>
        <w:annotationRef/>
      </w:r>
      <w:r>
        <w:t>This belongs in the methods, not results</w:t>
      </w:r>
    </w:p>
  </w:comment>
  <w:comment w:id="72" w:author="Mark Scheuerell" w:date="2026-03-07T09:43:00Z" w:initials="s">
    <w:p w14:paraId="580B7706" w14:textId="37409179" w:rsidR="00A21D8D" w:rsidRDefault="00A21D8D">
      <w:pPr>
        <w:pStyle w:val="CommentText"/>
      </w:pPr>
      <w:r>
        <w:rPr>
          <w:rStyle w:val="CommentReference"/>
        </w:rPr>
        <w:annotationRef/>
      </w:r>
      <w:r>
        <w:t>This all reads like methods</w:t>
      </w:r>
    </w:p>
  </w:comment>
  <w:comment w:id="73" w:author="Mark Scheuerell" w:date="2026-03-07T09:44:00Z" w:initials="s">
    <w:p w14:paraId="2159D1FF" w14:textId="054F2A1C" w:rsidR="00A21D8D" w:rsidRDefault="00A21D8D">
      <w:pPr>
        <w:pStyle w:val="CommentText"/>
      </w:pPr>
      <w:r>
        <w:rPr>
          <w:rStyle w:val="CommentReference"/>
        </w:rPr>
        <w:annotationRef/>
      </w:r>
      <w:r>
        <w:t>As mentioned, you don’t need to restate the figure captions in the text.</w:t>
      </w:r>
    </w:p>
  </w:comment>
  <w:comment w:id="74" w:author="Mark Scheuerell" w:date="2026-03-07T09:47:00Z" w:initials="s">
    <w:p w14:paraId="2045D731" w14:textId="2D9AA095" w:rsidR="00A21D8D" w:rsidRDefault="00A21D8D">
      <w:pPr>
        <w:pStyle w:val="CommentText"/>
      </w:pPr>
      <w:r>
        <w:rPr>
          <w:rStyle w:val="CommentReference"/>
        </w:rPr>
        <w:annotationRef/>
      </w:r>
      <w:r>
        <w:t xml:space="preserve">This is really cool and the stuff that the park </w:t>
      </w:r>
      <w:r w:rsidR="00D51675">
        <w:t>may</w:t>
      </w:r>
      <w:r>
        <w:t xml:space="preserve"> be most interested in.</w:t>
      </w:r>
    </w:p>
  </w:comment>
  <w:comment w:id="84" w:author="Mark Scheuerell" w:date="2026-03-07T10:13:00Z" w:initials="s">
    <w:p w14:paraId="20175822" w14:textId="1A8CC909" w:rsidR="00460B8F" w:rsidRDefault="00460B8F">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 w:id="85" w:author="Mark Scheuerell" w:date="2026-03-07T09:50:00Z" w:initials="s">
    <w:p w14:paraId="0B602A23" w14:textId="084E9895" w:rsidR="00351AE4" w:rsidRDefault="00351AE4">
      <w:pPr>
        <w:pStyle w:val="CommentText"/>
      </w:pPr>
      <w:r>
        <w:rPr>
          <w:rStyle w:val="CommentReference"/>
        </w:rPr>
        <w:annotationRef/>
      </w:r>
      <w:r>
        <w:t>I’d move this lower down</w:t>
      </w:r>
    </w:p>
  </w:comment>
  <w:comment w:id="86" w:author="Mark Scheuerell" w:date="2026-03-07T09:50:00Z" w:initials="s">
    <w:p w14:paraId="37F6BE27" w14:textId="7D89C9DF" w:rsidR="00351AE4" w:rsidRDefault="00351AE4">
      <w:pPr>
        <w:pStyle w:val="CommentText"/>
      </w:pPr>
      <w:r>
        <w:rPr>
          <w:rStyle w:val="CommentReference"/>
        </w:rPr>
        <w:annotationRef/>
      </w:r>
      <w:r>
        <w:rPr>
          <w:rStyle w:val="CommentReference"/>
        </w:rPr>
        <w:t>V</w:t>
      </w:r>
      <w:r>
        <w:t>ague statements like this don’t lend much (ie, changing how?)</w:t>
      </w:r>
    </w:p>
  </w:comment>
  <w:comment w:id="87" w:author="Mark Scheuerell" w:date="2026-03-07T09:51:00Z" w:initials="s">
    <w:p w14:paraId="72E7B414" w14:textId="0006CB0F" w:rsidR="00351AE4" w:rsidRDefault="00351AE4">
      <w:pPr>
        <w:pStyle w:val="CommentText"/>
      </w:pPr>
      <w:r>
        <w:rPr>
          <w:rStyle w:val="CommentReference"/>
        </w:rPr>
        <w:annotationRef/>
      </w:r>
      <w:r>
        <w:t>This seems like justification for the approach, which belongs in the intro and methods.</w:t>
      </w:r>
    </w:p>
  </w:comment>
  <w:comment w:id="88" w:author="Mark Scheuerell" w:date="2026-03-07T09:52:00Z" w:initials="s">
    <w:p w14:paraId="1EDB6DCA" w14:textId="0EF8056C" w:rsidR="00351AE4" w:rsidRDefault="00351AE4">
      <w:pPr>
        <w:pStyle w:val="CommentText"/>
      </w:pPr>
      <w:r>
        <w:rPr>
          <w:rStyle w:val="CommentReference"/>
        </w:rPr>
        <w:annotationRef/>
      </w:r>
      <w:r>
        <w:t>This would be a much better beginning to this section</w:t>
      </w:r>
    </w:p>
  </w:comment>
  <w:comment w:id="113" w:author="Mark Scheuerell" w:date="2026-03-07T09:59:00Z" w:initials="s">
    <w:p w14:paraId="708E6CAD" w14:textId="43497AFC" w:rsidR="00A26CD8" w:rsidRDefault="00A26CD8">
      <w:pPr>
        <w:pStyle w:val="CommentText"/>
      </w:pPr>
      <w:r>
        <w:rPr>
          <w:rStyle w:val="CommentReference"/>
        </w:rPr>
        <w:annotationRef/>
      </w:r>
      <w:r>
        <w:t>Yeah, and none of the papers that I’m a co-author on can be normative anyway… I would just begin with the phrase following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2604FD2C" w15:done="0"/>
  <w15:commentEx w15:paraId="3913DD12" w15:done="0"/>
  <w15:commentEx w15:paraId="61FC6D56" w15:done="0"/>
  <w15:commentEx w15:paraId="44D07938" w15:done="0"/>
  <w15:commentEx w15:paraId="57FEDFCD" w15:done="0"/>
  <w15:commentEx w15:paraId="70F949E6" w15:done="0"/>
  <w15:commentEx w15:paraId="1D25BEBF" w15:done="0"/>
  <w15:commentEx w15:paraId="4DDBE27C" w15:done="0"/>
  <w15:commentEx w15:paraId="462547C8" w15:done="0"/>
  <w15:commentEx w15:paraId="38DE934D" w15:done="0"/>
  <w15:commentEx w15:paraId="43491B69" w15:done="0"/>
  <w15:commentEx w15:paraId="777190E0" w15:done="0"/>
  <w15:commentEx w15:paraId="12554C08" w15:done="0"/>
  <w15:commentEx w15:paraId="4DCD0072" w15:done="0"/>
  <w15:commentEx w15:paraId="0DDD772B" w15:done="0"/>
  <w15:commentEx w15:paraId="580B7706" w15:done="0"/>
  <w15:commentEx w15:paraId="2159D1FF" w15:done="0"/>
  <w15:commentEx w15:paraId="2045D731" w15:done="0"/>
  <w15:commentEx w15:paraId="20175822" w15:done="0"/>
  <w15:commentEx w15:paraId="0B602A23" w15:done="0"/>
  <w15:commentEx w15:paraId="37F6BE27" w15:done="0"/>
  <w15:commentEx w15:paraId="72E7B414" w15:done="0"/>
  <w15:commentEx w15:paraId="1EDB6DCA" w15:done="0"/>
  <w15:commentEx w15:paraId="708E6CA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73482A45" w16cex:dateUtc="2026-03-06T13:33:00Z">
    <w16cex:extLst>
      <w16:ext w16:uri="{CE6994B0-6A32-4C9F-8C6B-6E91EDA988CE}">
        <cr:reactions xmlns:cr="http://schemas.microsoft.com/office/comments/2020/reactions">
          <cr:reaction reactionType="1">
            <cr:reactionInfo dateUtc="2026-03-09T16:05:11Z">
              <cr:user userId="S::bmcgreal@uw.edu::500ccbb3-e957-4a38-850c-c0c2fd4a68d5" userProvider="AD" userName="Brian E McGreal"/>
            </cr:reactionInfo>
          </cr:reaction>
        </cr:reactions>
      </w16:ext>
    </w16cex:extLst>
  </w16cex:commentExtensible>
  <w16cex:commentExtensible w16cex:durableId="08D800E2" w16cex:dateUtc="2026-03-09T16:23:00Z"/>
  <w16cex:commentExtensible w16cex:durableId="502D5DF3" w16cex:dateUtc="2026-03-24T23:49:00Z"/>
  <w16cex:commentExtensible w16cex:durableId="3EB6742B" w16cex:dateUtc="2026-03-06T14:19:00Z"/>
  <w16cex:commentExtensible w16cex:durableId="588C617E" w16cex:dateUtc="2026-03-06T14:22:00Z"/>
  <w16cex:commentExtensible w16cex:durableId="22A3B75A" w16cex:dateUtc="2026-03-06T14:23:00Z"/>
  <w16cex:commentExtensible w16cex:durableId="4F05BC0A" w16cex:dateUtc="2026-03-06T14:28:00Z"/>
  <w16cex:commentExtensible w16cex:durableId="1C7C2767" w16cex:dateUtc="2026-03-06T14:28:00Z"/>
  <w16cex:commentExtensible w16cex:durableId="206F53A5" w16cex:dateUtc="2026-03-07T17:07:00Z"/>
  <w16cex:commentExtensible w16cex:durableId="443E45A5" w16cex:dateUtc="2026-03-07T17:11:00Z"/>
  <w16cex:commentExtensible w16cex:durableId="767D1865" w16cex:dateUtc="2026-03-07T17:14:00Z"/>
  <w16cex:commentExtensible w16cex:durableId="12F0D0D9" w16cex:dateUtc="2026-03-07T17:35:00Z"/>
  <w16cex:commentExtensible w16cex:durableId="55A6A166" w16cex:dateUtc="2026-03-07T17:36:00Z"/>
  <w16cex:commentExtensible w16cex:durableId="57DC707A" w16cex:dateUtc="2026-03-07T17:39:00Z"/>
  <w16cex:commentExtensible w16cex:durableId="56FC5173" w16cex:dateUtc="2026-03-07T17:40:00Z"/>
  <w16cex:commentExtensible w16cex:durableId="5F013141" w16cex:dateUtc="2026-03-07T17:43:00Z"/>
  <w16cex:commentExtensible w16cex:durableId="5DB403D3" w16cex:dateUtc="2026-03-07T17:44:00Z"/>
  <w16cex:commentExtensible w16cex:durableId="4E438F2A" w16cex:dateUtc="2026-03-07T17:47:00Z"/>
  <w16cex:commentExtensible w16cex:durableId="4E6740D1" w16cex:dateUtc="2026-03-07T18:13:00Z"/>
  <w16cex:commentExtensible w16cex:durableId="168175C5" w16cex:dateUtc="2026-03-07T17:50:00Z"/>
  <w16cex:commentExtensible w16cex:durableId="36111843" w16cex:dateUtc="2026-03-07T17:50:00Z"/>
  <w16cex:commentExtensible w16cex:durableId="4D1AC833" w16cex:dateUtc="2026-03-07T17:51:00Z"/>
  <w16cex:commentExtensible w16cex:durableId="727C578C" w16cex:dateUtc="2026-03-07T17:52:00Z"/>
  <w16cex:commentExtensible w16cex:durableId="11A09FFC" w16cex:dateUtc="2026-03-07T17: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2604FD2C" w16cid:durableId="73482A45"/>
  <w16cid:commentId w16cid:paraId="3913DD12" w16cid:durableId="08D800E2"/>
  <w16cid:commentId w16cid:paraId="61FC6D56" w16cid:durableId="502D5DF3"/>
  <w16cid:commentId w16cid:paraId="44D07938" w16cid:durableId="3EB6742B"/>
  <w16cid:commentId w16cid:paraId="57FEDFCD" w16cid:durableId="588C617E"/>
  <w16cid:commentId w16cid:paraId="70F949E6" w16cid:durableId="22A3B75A"/>
  <w16cid:commentId w16cid:paraId="1D25BEBF" w16cid:durableId="4F05BC0A"/>
  <w16cid:commentId w16cid:paraId="4DDBE27C" w16cid:durableId="1C7C2767"/>
  <w16cid:commentId w16cid:paraId="462547C8" w16cid:durableId="206F53A5"/>
  <w16cid:commentId w16cid:paraId="38DE934D" w16cid:durableId="443E45A5"/>
  <w16cid:commentId w16cid:paraId="43491B69" w16cid:durableId="767D1865"/>
  <w16cid:commentId w16cid:paraId="777190E0" w16cid:durableId="12F0D0D9"/>
  <w16cid:commentId w16cid:paraId="12554C08" w16cid:durableId="55A6A166"/>
  <w16cid:commentId w16cid:paraId="4DCD0072" w16cid:durableId="57DC707A"/>
  <w16cid:commentId w16cid:paraId="0DDD772B" w16cid:durableId="56FC5173"/>
  <w16cid:commentId w16cid:paraId="580B7706" w16cid:durableId="5F013141"/>
  <w16cid:commentId w16cid:paraId="2159D1FF" w16cid:durableId="5DB403D3"/>
  <w16cid:commentId w16cid:paraId="2045D731" w16cid:durableId="4E438F2A"/>
  <w16cid:commentId w16cid:paraId="20175822" w16cid:durableId="4E6740D1"/>
  <w16cid:commentId w16cid:paraId="0B602A23" w16cid:durableId="168175C5"/>
  <w16cid:commentId w16cid:paraId="37F6BE27" w16cid:durableId="36111843"/>
  <w16cid:commentId w16cid:paraId="72E7B414" w16cid:durableId="4D1AC833"/>
  <w16cid:commentId w16cid:paraId="1EDB6DCA" w16cid:durableId="727C578C"/>
  <w16cid:commentId w16cid:paraId="708E6CAD" w16cid:durableId="11A09F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0EB8"/>
    <w:rsid w:val="0006107E"/>
    <w:rsid w:val="00062BCE"/>
    <w:rsid w:val="00070D06"/>
    <w:rsid w:val="00086DA1"/>
    <w:rsid w:val="00090DA1"/>
    <w:rsid w:val="00096995"/>
    <w:rsid w:val="00097C72"/>
    <w:rsid w:val="000A0753"/>
    <w:rsid w:val="000C6459"/>
    <w:rsid w:val="000D21FB"/>
    <w:rsid w:val="000F7853"/>
    <w:rsid w:val="00106EE6"/>
    <w:rsid w:val="001111B6"/>
    <w:rsid w:val="00114A77"/>
    <w:rsid w:val="00121CF4"/>
    <w:rsid w:val="001262D0"/>
    <w:rsid w:val="00143CB9"/>
    <w:rsid w:val="001A405D"/>
    <w:rsid w:val="001A6AA2"/>
    <w:rsid w:val="001D51EA"/>
    <w:rsid w:val="001D5683"/>
    <w:rsid w:val="001D716E"/>
    <w:rsid w:val="001E1CBF"/>
    <w:rsid w:val="001E29F4"/>
    <w:rsid w:val="001F775B"/>
    <w:rsid w:val="001F7F26"/>
    <w:rsid w:val="00205B63"/>
    <w:rsid w:val="00207CF5"/>
    <w:rsid w:val="00223722"/>
    <w:rsid w:val="00226B01"/>
    <w:rsid w:val="00232D52"/>
    <w:rsid w:val="00246989"/>
    <w:rsid w:val="00252296"/>
    <w:rsid w:val="002657D1"/>
    <w:rsid w:val="0029325E"/>
    <w:rsid w:val="002A355E"/>
    <w:rsid w:val="002B1614"/>
    <w:rsid w:val="002D28DF"/>
    <w:rsid w:val="002D76A3"/>
    <w:rsid w:val="00303024"/>
    <w:rsid w:val="00306AE3"/>
    <w:rsid w:val="00310948"/>
    <w:rsid w:val="00321B88"/>
    <w:rsid w:val="0033098E"/>
    <w:rsid w:val="00336763"/>
    <w:rsid w:val="00344905"/>
    <w:rsid w:val="00351AE4"/>
    <w:rsid w:val="003542B1"/>
    <w:rsid w:val="003633DB"/>
    <w:rsid w:val="00376A4E"/>
    <w:rsid w:val="003772FF"/>
    <w:rsid w:val="00391B74"/>
    <w:rsid w:val="003B4882"/>
    <w:rsid w:val="003B6985"/>
    <w:rsid w:val="003C5745"/>
    <w:rsid w:val="003C6E79"/>
    <w:rsid w:val="003C77AC"/>
    <w:rsid w:val="003D5D39"/>
    <w:rsid w:val="00402DA4"/>
    <w:rsid w:val="00412816"/>
    <w:rsid w:val="00414541"/>
    <w:rsid w:val="004217D3"/>
    <w:rsid w:val="00421CE7"/>
    <w:rsid w:val="00427DB5"/>
    <w:rsid w:val="004327DF"/>
    <w:rsid w:val="00460B8F"/>
    <w:rsid w:val="00494B76"/>
    <w:rsid w:val="004A1DBD"/>
    <w:rsid w:val="004B019B"/>
    <w:rsid w:val="004C58F2"/>
    <w:rsid w:val="005078EE"/>
    <w:rsid w:val="005227E4"/>
    <w:rsid w:val="005363D0"/>
    <w:rsid w:val="005565C2"/>
    <w:rsid w:val="00572D2B"/>
    <w:rsid w:val="00574432"/>
    <w:rsid w:val="005B1667"/>
    <w:rsid w:val="005B3ACD"/>
    <w:rsid w:val="005C4DB8"/>
    <w:rsid w:val="005D4C4C"/>
    <w:rsid w:val="005D5E6A"/>
    <w:rsid w:val="005F56EA"/>
    <w:rsid w:val="005F6F08"/>
    <w:rsid w:val="006002FE"/>
    <w:rsid w:val="00606257"/>
    <w:rsid w:val="00606949"/>
    <w:rsid w:val="00612D9D"/>
    <w:rsid w:val="00614E66"/>
    <w:rsid w:val="006178EC"/>
    <w:rsid w:val="00625D54"/>
    <w:rsid w:val="00626338"/>
    <w:rsid w:val="00633AFA"/>
    <w:rsid w:val="00647DF2"/>
    <w:rsid w:val="00670218"/>
    <w:rsid w:val="00675815"/>
    <w:rsid w:val="006A0FFE"/>
    <w:rsid w:val="006B1A2E"/>
    <w:rsid w:val="006B5A94"/>
    <w:rsid w:val="006C6D25"/>
    <w:rsid w:val="006D7969"/>
    <w:rsid w:val="006E6B42"/>
    <w:rsid w:val="00716B1F"/>
    <w:rsid w:val="00723599"/>
    <w:rsid w:val="00731AF8"/>
    <w:rsid w:val="00740E18"/>
    <w:rsid w:val="00741B88"/>
    <w:rsid w:val="00773DA7"/>
    <w:rsid w:val="00795151"/>
    <w:rsid w:val="007B55B0"/>
    <w:rsid w:val="007C003B"/>
    <w:rsid w:val="007C158F"/>
    <w:rsid w:val="007C46E2"/>
    <w:rsid w:val="007C5247"/>
    <w:rsid w:val="007F1518"/>
    <w:rsid w:val="007F5330"/>
    <w:rsid w:val="00802542"/>
    <w:rsid w:val="0080336B"/>
    <w:rsid w:val="0087213E"/>
    <w:rsid w:val="0087408B"/>
    <w:rsid w:val="008C0B8C"/>
    <w:rsid w:val="008C0E5E"/>
    <w:rsid w:val="008C144E"/>
    <w:rsid w:val="008D0E15"/>
    <w:rsid w:val="008D1BFB"/>
    <w:rsid w:val="008E583F"/>
    <w:rsid w:val="008E7DF4"/>
    <w:rsid w:val="008F33A8"/>
    <w:rsid w:val="009056D1"/>
    <w:rsid w:val="0091309E"/>
    <w:rsid w:val="0092693F"/>
    <w:rsid w:val="00931642"/>
    <w:rsid w:val="0093424C"/>
    <w:rsid w:val="0093781E"/>
    <w:rsid w:val="009721BE"/>
    <w:rsid w:val="00976473"/>
    <w:rsid w:val="0097710D"/>
    <w:rsid w:val="009845B1"/>
    <w:rsid w:val="009978CD"/>
    <w:rsid w:val="009A59EE"/>
    <w:rsid w:val="009B40CF"/>
    <w:rsid w:val="009B5B49"/>
    <w:rsid w:val="009C0B82"/>
    <w:rsid w:val="009C0C6B"/>
    <w:rsid w:val="009C2CB3"/>
    <w:rsid w:val="009D4DE7"/>
    <w:rsid w:val="009D55B2"/>
    <w:rsid w:val="009E0479"/>
    <w:rsid w:val="009F0991"/>
    <w:rsid w:val="009F6B38"/>
    <w:rsid w:val="00A017CB"/>
    <w:rsid w:val="00A21D8D"/>
    <w:rsid w:val="00A227BE"/>
    <w:rsid w:val="00A26CD8"/>
    <w:rsid w:val="00A368FA"/>
    <w:rsid w:val="00A43887"/>
    <w:rsid w:val="00A527C1"/>
    <w:rsid w:val="00A91C0C"/>
    <w:rsid w:val="00A93D33"/>
    <w:rsid w:val="00AD445E"/>
    <w:rsid w:val="00AE4507"/>
    <w:rsid w:val="00AE6A99"/>
    <w:rsid w:val="00B00D9B"/>
    <w:rsid w:val="00B23CD2"/>
    <w:rsid w:val="00B50797"/>
    <w:rsid w:val="00B66763"/>
    <w:rsid w:val="00B67742"/>
    <w:rsid w:val="00B96F76"/>
    <w:rsid w:val="00BB4FE2"/>
    <w:rsid w:val="00BD7B83"/>
    <w:rsid w:val="00BF04BF"/>
    <w:rsid w:val="00C16190"/>
    <w:rsid w:val="00C3066D"/>
    <w:rsid w:val="00C60F0A"/>
    <w:rsid w:val="00C61B5A"/>
    <w:rsid w:val="00C64BF8"/>
    <w:rsid w:val="00C80629"/>
    <w:rsid w:val="00C874A9"/>
    <w:rsid w:val="00CA65D7"/>
    <w:rsid w:val="00CC7AA4"/>
    <w:rsid w:val="00CD3E62"/>
    <w:rsid w:val="00CD58A3"/>
    <w:rsid w:val="00D011BB"/>
    <w:rsid w:val="00D362A0"/>
    <w:rsid w:val="00D368CD"/>
    <w:rsid w:val="00D45C26"/>
    <w:rsid w:val="00D51675"/>
    <w:rsid w:val="00D56989"/>
    <w:rsid w:val="00D57B76"/>
    <w:rsid w:val="00D801ED"/>
    <w:rsid w:val="00D9784A"/>
    <w:rsid w:val="00DA70F0"/>
    <w:rsid w:val="00DC2443"/>
    <w:rsid w:val="00DC67C0"/>
    <w:rsid w:val="00E06BFE"/>
    <w:rsid w:val="00E47684"/>
    <w:rsid w:val="00E65279"/>
    <w:rsid w:val="00E65F33"/>
    <w:rsid w:val="00E73316"/>
    <w:rsid w:val="00E82478"/>
    <w:rsid w:val="00EB0251"/>
    <w:rsid w:val="00EB1DB7"/>
    <w:rsid w:val="00ED5857"/>
    <w:rsid w:val="00ED5A07"/>
    <w:rsid w:val="00ED689D"/>
    <w:rsid w:val="00EF0488"/>
    <w:rsid w:val="00EF2ADE"/>
    <w:rsid w:val="00F12190"/>
    <w:rsid w:val="00F26C13"/>
    <w:rsid w:val="00F302DE"/>
    <w:rsid w:val="00F4350E"/>
    <w:rsid w:val="00F45152"/>
    <w:rsid w:val="00F4609B"/>
    <w:rsid w:val="00F5558B"/>
    <w:rsid w:val="00F6199D"/>
    <w:rsid w:val="00F66F22"/>
    <w:rsid w:val="00F67FB5"/>
    <w:rsid w:val="00F8028C"/>
    <w:rsid w:val="00F8072F"/>
    <w:rsid w:val="00F90233"/>
    <w:rsid w:val="00FA6A18"/>
    <w:rsid w:val="00FC2324"/>
    <w:rsid w:val="00FD27F6"/>
    <w:rsid w:val="00FD49D6"/>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sitk/index.htm%20"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grba/learn/management/organic-act-of-1916.htm%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926</TotalTime>
  <Pages>30</Pages>
  <Words>8653</Words>
  <Characters>45948</Characters>
  <Application>Microsoft Office Word</Application>
  <DocSecurity>0</DocSecurity>
  <Lines>696</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38</cp:revision>
  <dcterms:created xsi:type="dcterms:W3CDTF">2026-03-06T13:33:00Z</dcterms:created>
  <dcterms:modified xsi:type="dcterms:W3CDTF">2026-03-28T01:14:00Z</dcterms:modified>
</cp:coreProperties>
</file>