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Pr="00D9784A" w:rsidRDefault="00670218" w:rsidP="00612D9D">
      <w:pPr>
        <w:pStyle w:val="ListParagraph"/>
        <w:spacing w:after="0" w:line="480" w:lineRule="auto"/>
        <w:ind w:left="360"/>
        <w:rPr>
          <w:b/>
          <w:bCs/>
          <w:u w:val="single"/>
        </w:rPr>
      </w:pPr>
      <w:bookmarkStart w:id="0" w:name="_Hlk201667573"/>
      <w:r w:rsidRPr="00D9784A">
        <w:rPr>
          <w:b/>
          <w:bCs/>
          <w:u w:val="single"/>
        </w:rPr>
        <w:t xml:space="preserve">Introduction </w:t>
      </w:r>
    </w:p>
    <w:p w14:paraId="439291BE" w14:textId="20C3D6E0"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been to maintain abundances within a ‘natural range of variation’. Pursuant to this, park managers are often confronted with either the scarcity of native plant or animal species</w:t>
      </w:r>
      <w:r w:rsidR="005078EE">
        <w:t>,</w:t>
      </w:r>
      <w:r>
        <w:t xml:space="preserve"> or an abundance of non-native (exotic, invasive) species that may damage park ecosystems </w:t>
      </w:r>
      <w:r>
        <w:rPr>
          <w:rFonts w:cstheme="minorHAnsi"/>
          <w:color w:val="202122"/>
          <w:shd w:val="clear" w:color="auto" w:fill="FFFFFF"/>
        </w:rPr>
        <w:t>(National Park Service 2025a)</w:t>
      </w:r>
      <w:r>
        <w:t xml:space="preserve">. However, harm to ecosystems can also be driven by </w:t>
      </w:r>
      <w:r w:rsidR="005078EE">
        <w:t>the</w:t>
      </w:r>
      <w:r>
        <w:t xml:space="preserve"> hyperabundance of a native species, due either to shifting regional trends in habitat suitability, to direct (and often anthropogenic) intervention, or to a combination of these factors (Sambaraju and Goodsman 2021, Beckett et al. 2022, Moore et al. 2023). </w:t>
      </w:r>
      <w:r w:rsidR="005078EE">
        <w:t>For example, in Yellowstone National Park, native mountain pine beetles (</w:t>
      </w:r>
      <w:r w:rsidR="005078EE">
        <w:rPr>
          <w:i/>
          <w:iCs/>
        </w:rPr>
        <w:t>Dendroctonus ponderosae</w:t>
      </w:r>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 xml:space="preserve">finding themselves confronted with such issues must make careful and informed decisions based on the best </w:t>
      </w:r>
      <w:r w:rsidR="00A017CB">
        <w:lastRenderedPageBreak/>
        <w:t>scientific information available</w:t>
      </w:r>
      <w:r>
        <w:t xml:space="preserve"> as they seek to interpret and implement the mandate to preserve resources in a natural condition. </w:t>
      </w:r>
    </w:p>
    <w:p w14:paraId="0DCE0F57" w14:textId="640781DB" w:rsidR="00670218" w:rsidRDefault="00670218" w:rsidP="00A017CB">
      <w:pPr>
        <w:spacing w:after="0" w:line="480" w:lineRule="auto"/>
        <w:ind w:firstLine="360"/>
      </w:pPr>
      <w:r>
        <w:t>With these ideas in mind, my research focuses on Sitka National Historical Park (SITK) in Sitka, Alaska, a small 112-acre coastal park located in the state’s south</w:t>
      </w:r>
      <w:r w:rsidR="00A017CB">
        <w:t>east</w:t>
      </w:r>
      <w:r>
        <w:t xml:space="preserve">ern panhandle. SITK was designated a National Monument in 1910 and park in 1972, primarily </w:t>
      </w:r>
      <w:r w:rsidRPr="00A017CB">
        <w:rPr>
          <w:rFonts w:cstheme="minorHAnsi"/>
          <w:color w:val="202122"/>
          <w:shd w:val="clear" w:color="auto" w:fill="FFFFFF"/>
        </w:rPr>
        <w:t>to</w:t>
      </w:r>
      <w:r>
        <w:t xml:space="preserve"> conserve the site of an 1804 battle </w:t>
      </w:r>
      <w:r w:rsidRPr="00A017CB">
        <w:rPr>
          <w:rFonts w:cstheme="minorHAnsi"/>
          <w:color w:val="202122"/>
          <w:shd w:val="clear" w:color="auto" w:fill="FFFFFF"/>
        </w:rPr>
        <w:t xml:space="preserve">between the native Tlingit Kiks.ádi clan and Russian colonizers </w:t>
      </w:r>
      <w:r>
        <w:t>(National Park Service 2025b)</w:t>
      </w:r>
      <w:r w:rsidRPr="00A017CB">
        <w:rPr>
          <w:rFonts w:cstheme="minorHAnsi"/>
          <w:color w:val="202122"/>
          <w:shd w:val="clear" w:color="auto" w:fill="FFFFFF"/>
        </w:rPr>
        <w:t xml:space="preserve">.  The park, which </w:t>
      </w:r>
      <w:r>
        <w:t>features a series of totem poles along designated trails and active traditional totem carving activities</w:t>
      </w:r>
      <w:r w:rsidRPr="00A017CB">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A017CB">
        <w:rPr>
          <w:rFonts w:cstheme="minorHAnsi"/>
          <w:color w:val="202122"/>
          <w:shd w:val="clear" w:color="auto" w:fill="FFFFFF"/>
        </w:rPr>
        <w:t xml:space="preserve"> preserve the </w:t>
      </w:r>
      <w:r w:rsidR="00A017CB">
        <w:t>ecosystems</w:t>
      </w:r>
      <w:r w:rsidR="00A017CB" w:rsidRPr="00A017CB">
        <w:rPr>
          <w:rFonts w:cstheme="minorHAnsi"/>
          <w:color w:val="202122"/>
          <w:shd w:val="clear" w:color="auto" w:fill="FFFFFF"/>
        </w:rPr>
        <w:t xml:space="preserve"> </w:t>
      </w:r>
      <w:r w:rsidR="00A017CB">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t xml:space="preserve"> </w:t>
      </w:r>
      <w:r w:rsidR="00A017CB">
        <w:t xml:space="preserve">including </w:t>
      </w:r>
      <w:r>
        <w:t>mature spruce-hemlock forests and the Indian River, the main reach and intertidal area of which fall within park boundaries</w:t>
      </w:r>
    </w:p>
    <w:p w14:paraId="6E37A897" w14:textId="551496FE" w:rsidR="00670218" w:rsidRDefault="00670218" w:rsidP="00A017CB">
      <w:pPr>
        <w:spacing w:after="0" w:line="480" w:lineRule="auto"/>
        <w:ind w:firstLine="360"/>
      </w:pPr>
      <w:r w:rsidRPr="00A017CB">
        <w:rPr>
          <w:rFonts w:cstheme="minorHAnsi"/>
          <w:color w:val="202122"/>
          <w:shd w:val="clear" w:color="auto" w:fill="FFFFFF"/>
        </w:rPr>
        <w:t xml:space="preserve">Since time immemorial </w:t>
      </w:r>
      <w:r w:rsidRPr="00A017CB">
        <w:rPr>
          <w:rFonts w:cstheme="minorHAnsi"/>
          <w:color w:val="202122"/>
          <w:u w:val="single"/>
          <w:shd w:val="clear" w:color="auto" w:fill="FFFFFF"/>
        </w:rPr>
        <w:t>K</w:t>
      </w:r>
      <w:r w:rsidRPr="00A017CB">
        <w:rPr>
          <w:rFonts w:cstheme="minorHAnsi"/>
          <w:color w:val="202122"/>
          <w:shd w:val="clear" w:color="auto" w:fill="FFFFFF"/>
        </w:rPr>
        <w:t>aasda Héen (the Indian River)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Oncorhynchus 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w:t>
      </w:r>
      <w:r w:rsidRPr="00A017CB">
        <w:rPr>
          <w:rFonts w:cstheme="minorHAnsi"/>
          <w:i/>
          <w:iCs/>
          <w:color w:val="202122"/>
          <w:shd w:val="clear" w:color="auto" w:fill="FFFFFF"/>
        </w:rPr>
        <w:t>O. gorbuscha</w:t>
      </w:r>
      <w:r w:rsidRPr="00A017CB">
        <w:rPr>
          <w:rFonts w:cstheme="minorHAnsi"/>
          <w:color w:val="202122"/>
          <w:shd w:val="clear" w:color="auto" w:fill="FFFFFF"/>
        </w:rPr>
        <w:t>, Cháas’)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Eggs hatch in the winter and in the spring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lastRenderedPageBreak/>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 xml:space="preserve">This water is </w:t>
      </w:r>
      <w:r w:rsidRPr="00CD14B8">
        <w:lastRenderedPageBreak/>
        <w:t>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w:t>
      </w:r>
      <w:r>
        <w:lastRenderedPageBreak/>
        <w:t xml:space="preserve">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413C51F5" w14:textId="2E1AE005" w:rsidR="00B67742" w:rsidRDefault="00A368FA" w:rsidP="00B67742">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Figure</w:t>
      </w:r>
      <w:r w:rsidR="00A527C1">
        <w:t>s</w:t>
      </w:r>
      <w:r>
        <w:t xml:space="preserve"> 2 </w:t>
      </w:r>
      <w:r w:rsidR="00A527C1">
        <w:t xml:space="preserve">&amp; 3 </w:t>
      </w:r>
      <w:r>
        <w:t xml:space="preserve">describe peak escapement </w:t>
      </w:r>
      <w:r w:rsidR="00ED5857">
        <w:t>o</w:t>
      </w:r>
      <w:r w:rsidR="003C77AC">
        <w:t>f</w:t>
      </w:r>
      <w:r w:rsidR="00ED5857">
        <w:t xml:space="preserve"> salmon runs </w:t>
      </w:r>
      <w:r>
        <w:t>recorded</w:t>
      </w:r>
      <w:r w:rsidR="003C77AC">
        <w:t xml:space="preserve"> between 1960 and 202</w:t>
      </w:r>
      <w:r w:rsidR="00A527C1">
        <w:t>3</w:t>
      </w:r>
      <w:r>
        <w:t xml:space="preserve"> at </w:t>
      </w:r>
      <w:r w:rsidR="00A527C1">
        <w:t xml:space="preserve">Indian River and </w:t>
      </w:r>
      <w:r>
        <w:t>35 pink salmon streams</w:t>
      </w:r>
      <w:r w:rsidR="00A527C1">
        <w:t>, all</w:t>
      </w:r>
      <w:r w:rsidR="00ED5857">
        <w:t xml:space="preserve"> located in what ADFG designates as the ‘Northern Southeast (Outside)’ region.</w:t>
      </w:r>
      <w:r>
        <w:t xml:space="preserve"> </w:t>
      </w:r>
      <w:r w:rsidR="00F90233">
        <w:t>A cursory</w:t>
      </w:r>
      <w:r w:rsidR="00A527C1">
        <w:t xml:space="preserve"> inspection of these figures </w:t>
      </w:r>
      <w:r w:rsidR="00F90233">
        <w:lastRenderedPageBreak/>
        <w:t xml:space="preserve">suggests </w:t>
      </w:r>
      <w:r w:rsidR="00B67742">
        <w:t>that</w:t>
      </w:r>
      <w:r w:rsidR="00F90233">
        <w:t xml:space="preserve"> abundances of returning pink salmon have generally been on the rise throughout the region over the last few decades, and </w:t>
      </w:r>
      <w:r w:rsidR="00B67742">
        <w:t>that</w:t>
      </w:r>
      <w:r w:rsidR="00F90233">
        <w:t xml:space="preserve"> </w:t>
      </w:r>
      <w:r w:rsidR="00A527C1">
        <w:t xml:space="preserve">Indian River pink salmon are returning in </w:t>
      </w:r>
      <w:r w:rsidR="00B67742">
        <w:t>densities</w:t>
      </w:r>
      <w:r w:rsidR="00A527C1">
        <w:t xml:space="preserve"> </w:t>
      </w:r>
      <w:r w:rsidR="00F90233">
        <w:t xml:space="preserve">consistent with those observed in nearby </w:t>
      </w:r>
      <w:r w:rsidR="00B67742">
        <w:t xml:space="preserve">index </w:t>
      </w:r>
      <w:r w:rsidR="00F90233">
        <w:t xml:space="preserve">streams. </w:t>
      </w:r>
      <w:r w:rsidR="00606949">
        <w:t xml:space="preserve">While this is somewhat compelling, visual inspection of a few dozen time series is not sufficient to conclude whether and to what extent Sheldon Jackson Hatchery has influenced pink salmon abundance at Indian River.  </w:t>
      </w:r>
    </w:p>
    <w:p w14:paraId="2A043FF9" w14:textId="4FC49D92" w:rsidR="00670218" w:rsidRDefault="00670218" w:rsidP="00B67742">
      <w:pPr>
        <w:spacing w:after="0" w:line="480" w:lineRule="auto"/>
        <w:ind w:firstLine="360"/>
      </w:pPr>
      <w:r>
        <w:t xml:space="preserve">My research seeks to assess whether the abundances of pink salmon observed in recent decades at Indian River exist within a natural range of variation relative to pink salmon streams elsewhere in the region. </w:t>
      </w:r>
      <w:r w:rsidR="00B67742">
        <w:t>Additionally,</w:t>
      </w:r>
      <w:r>
        <w:t xml:space="preserve"> </w:t>
      </w:r>
      <w:r w:rsidR="00606949">
        <w:t>my</w:t>
      </w:r>
      <w:r>
        <w:t xml:space="preserve"> research </w:t>
      </w:r>
      <w:r w:rsidR="00B67742">
        <w:t>explore</w:t>
      </w:r>
      <w:r w:rsidR="00606949">
        <w:t>s</w:t>
      </w:r>
      <w:r w:rsidR="00B67742">
        <w:t xml:space="preserve"> whether a causal relationship exists between the operations of Sheldon Jackson Hatchery and the increased pink salmon abundances observed at Indian River since 1980</w:t>
      </w:r>
      <w:r w:rsidR="00606949">
        <w:t>, and estimates</w:t>
      </w:r>
      <w:r>
        <w:t xml:space="preserve"> the effect SJH operations have had on abundances of pink salmon at Indian River over time.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46F2249E" w:rsidR="00670218" w:rsidRDefault="00670218" w:rsidP="00A017CB">
      <w:pPr>
        <w:spacing w:after="0" w:line="480" w:lineRule="auto"/>
      </w:pPr>
      <w:r>
        <w:t xml:space="preserve">Data supporting this research are chiefly sourced from ADFG.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 xml:space="preserve">in the vicinity </w:t>
      </w:r>
      <w:r>
        <w:lastRenderedPageBreak/>
        <w:t>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77777777" w:rsidR="007F1518" w:rsidRDefault="00670218" w:rsidP="00A017CB">
      <w:pPr>
        <w:spacing w:after="0" w:line="480" w:lineRule="auto"/>
        <w:ind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r>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estimates of the hatchery’s contributions to common</w:t>
      </w:r>
      <w:r w:rsidR="004217D3">
        <w:t xml:space="preserve"> </w:t>
      </w:r>
      <w:r w:rsidR="00C64BF8">
        <w:t xml:space="preserve">property </w:t>
      </w:r>
      <w:r w:rsidR="001D51EA">
        <w:t xml:space="preserve">commercial </w:t>
      </w:r>
      <w:r w:rsidR="00C64BF8">
        <w:t>fisheries</w:t>
      </w:r>
      <w:r w:rsidR="001D51EA">
        <w:t xml:space="preserve"> (as well as sport and 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p>
    <w:p w14:paraId="5339CDA4" w14:textId="38222593" w:rsidR="0006107E" w:rsidRDefault="0006107E" w:rsidP="00A017CB">
      <w:pPr>
        <w:spacing w:after="0" w:line="480" w:lineRule="auto"/>
        <w:ind w:firstLine="360"/>
      </w:pPr>
      <w:r>
        <w:t xml:space="preserve">This research also leverages data on </w:t>
      </w:r>
      <w:r w:rsidR="0091309E">
        <w:t xml:space="preserve">relevant </w:t>
      </w:r>
      <w:r>
        <w:t xml:space="preserve">ocean climate in the form of the Pacific Decadal Oscillation (PDO) as recorded by the US National Oceanic and Atmospheric Administration. </w:t>
      </w:r>
      <w:r w:rsidR="0091309E">
        <w:t>This recurring pattern of North Pacific sea surface temperature has been shown to be robustly correlated with salmon production regimes off the coast of Alaska (Mantua et al.</w:t>
      </w:r>
      <w:r w:rsidR="004C58F2">
        <w:t xml:space="preserve"> 1997)</w:t>
      </w:r>
      <w:r w:rsidR="002A355E">
        <w:t>.</w:t>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r>
        <w:t xml:space="preserve">Multivariate autoregressive state-space (MARSS) models are well suited for parsing long running time series survey </w:t>
      </w:r>
      <w:r w:rsidR="00A017CB">
        <w:t>data and</w:t>
      </w:r>
      <w:r>
        <w:t xml:space="preserve"> designed to mathematically distinguish observation error from error arising from stochasticity in the underlying state of a system. This feature is useful when parsing data collected by different observers operating in differing conditions (weather, time of day, 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B3AAC17" w14:textId="77777777" w:rsidR="00143CB9" w:rsidRDefault="00143CB9" w:rsidP="00612D9D">
      <w:pPr>
        <w:pStyle w:val="ListParagraph"/>
        <w:spacing w:after="0" w:line="480" w:lineRule="auto"/>
        <w:ind w:left="360"/>
      </w:pPr>
    </w:p>
    <w:p w14:paraId="0E4FB76A" w14:textId="3EB09B15" w:rsidR="00670218" w:rsidRDefault="0067021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w:t>
      </w:r>
      <w:r>
        <w:lastRenderedPageBreak/>
        <w:t xml:space="preserve">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w:t>
      </w:r>
      <w:r w:rsidR="00232D52">
        <w:t xml:space="preserve"> </w:t>
      </w:r>
      <w:r>
        <w:t xml:space="preserve">is defined by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w:t>
      </w:r>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46C60B32" w:rsidR="00670218" w:rsidRDefault="00670218" w:rsidP="00C64BF8">
      <w:pPr>
        <w:spacing w:after="0" w:line="480" w:lineRule="auto"/>
      </w:pPr>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r w:rsidR="00FC2324">
        <w:t xml:space="preserve">Data is standardized at the stream level so that streams of varying available pink salmon habitat may be directly compared. </w:t>
      </w:r>
      <w:r>
        <w:t xml:space="preserve">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w:t>
      </w:r>
      <w:r>
        <w:lastRenderedPageBreak/>
        <w:t>against which Indian River pink salmon abundances will be compared. T</w:t>
      </w:r>
      <w:r w:rsidR="00F8028C">
        <w:t xml:space="preserve">he </w:t>
      </w:r>
      <w:r>
        <w:t>most parsimonious model as defined by AIC</w:t>
      </w:r>
      <w:r w:rsidR="00572D2B">
        <w:t>c</w:t>
      </w:r>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(AICc is chosen here due to the relatively small number of Indian River observations)</w:t>
      </w:r>
      <w:r>
        <w:t>. This is consistent with non-quantitative intuition if indeed the presence of SJH creates conditions that differ from a “natural” state. No trends are estimated for the observation process, but the 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00376A4E">
        <w:t xml:space="preserve">the prior year’s </w:t>
      </w:r>
      <w:r>
        <w:t>ocean climate</w:t>
      </w:r>
      <w:r w:rsidR="007B55B0">
        <w:t xml:space="preserve"> via lagged PDO</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08EB7337" w14:textId="4FD0B48D" w:rsidR="00344905"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w:t>
      </w:r>
      <w:r w:rsidR="00FC2324">
        <w:t xml:space="preserve">These two resulting time series are comparable due to the model being trained on standardized data. </w:t>
      </w:r>
      <w:r>
        <w:t xml:space="preserve">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r w:rsidR="006B5A94">
        <w:t xml:space="preserve"> </w:t>
      </w:r>
    </w:p>
    <w:p w14:paraId="4426ED39" w14:textId="6D5D47FF" w:rsidR="00670218" w:rsidRDefault="006B5A94" w:rsidP="003C6E79">
      <w:pPr>
        <w:spacing w:after="0" w:line="480" w:lineRule="auto"/>
        <w:ind w:firstLine="720"/>
      </w:pPr>
      <w:r>
        <w:lastRenderedPageBreak/>
        <w:t xml:space="preserve">While there is no single statistical test that evaluates </w:t>
      </w:r>
      <w:r w:rsidR="00344905">
        <w:t>whether</w:t>
      </w:r>
      <w:r>
        <w:t xml:space="preserve">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w:t>
      </w:r>
      <w:r w:rsidR="00344905">
        <w:t>requires</w:t>
      </w:r>
      <w:r>
        <w:t xml:space="preserve"> that both time series be stationary, meaning that the variance, mean, and autocorrelation are not changing over time (i.e. the data’s behavior is independent of </w:t>
      </w:r>
      <w:r w:rsidR="00344905">
        <w:t xml:space="preserve">time). </w:t>
      </w:r>
      <w:r w:rsidR="0080336B">
        <w:t xml:space="preserve">This property </w:t>
      </w:r>
      <w:r w:rsidR="00731AF8">
        <w:t>is</w:t>
      </w:r>
      <w:r w:rsidR="0080336B">
        <w:t xml:space="preserve">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w:t>
      </w:r>
      <w:r w:rsidR="00344905">
        <w:t>Any time series which includes some long-term trend or seasonality is likely not stationary, and so it is commonplace to difference time series data by taking the difference between successive observations to “detrend” the data (</w:t>
      </w:r>
      <w:r w:rsidR="00344905">
        <w:rPr>
          <w:rFonts w:cstheme="minorHAnsi"/>
        </w:rPr>
        <w:t>Δ</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ascii="MathJax_Math-italic" w:eastAsia="Times New Roman" w:hAnsi="MathJax_Math-italic" w:cs="Times New Roman"/>
          <w:kern w:val="0"/>
          <w:sz w:val="26"/>
          <w:szCs w:val="26"/>
          <w:bdr w:val="none" w:sz="0" w:space="0" w:color="auto" w:frame="1"/>
          <w:vertAlign w:val="subscript"/>
          <w14:ligatures w14:val="none"/>
        </w:rPr>
        <w:t>-1</w:t>
      </w:r>
      <w:r w:rsidR="00344905">
        <w:t xml:space="preserve">). </w:t>
      </w:r>
      <w:r w:rsidR="00731AF8">
        <w:t xml:space="preserve">Once differenced, </w:t>
      </w:r>
      <w:r w:rsidR="00344905">
        <w:t>mean</w:t>
      </w:r>
      <w:r w:rsidR="00731AF8">
        <w:t>s</w:t>
      </w:r>
      <w:r w:rsidR="00344905">
        <w:t xml:space="preserve"> and variance</w:t>
      </w:r>
      <w:r w:rsidR="00731AF8">
        <w:t>s</w:t>
      </w:r>
      <w:r w:rsidR="00344905">
        <w:t xml:space="preserve"> of t</w:t>
      </w:r>
      <w:r w:rsidR="00731AF8">
        <w:t>hese time series may</w:t>
      </w:r>
      <w:r w:rsidR="00344905">
        <w:t xml:space="preserve"> then </w:t>
      </w:r>
      <w:r w:rsidR="00731AF8">
        <w:t>be</w:t>
      </w:r>
      <w:r w:rsidR="00344905">
        <w:t xml:space="preserve"> compared</w:t>
      </w:r>
      <w:r w:rsidR="000D21FB">
        <w:t xml:space="preserve"> using a t-test and F-test respectively</w:t>
      </w:r>
      <w:r w:rsidR="00344905">
        <w:t>.</w:t>
      </w:r>
      <w:r w:rsidR="000D21FB">
        <w:t xml:space="preserve"> The trends can likewise be estimated using simple linear regression and compared using Welch’s t-test.</w:t>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w:t>
      </w:r>
      <w:r>
        <w:lastRenderedPageBreak/>
        <w:t xml:space="preserve">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670E76FF" w14:textId="77777777" w:rsidR="00670218" w:rsidRDefault="00670218" w:rsidP="00C64BF8">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6CAEED60" w14:textId="77777777" w:rsidR="00143CB9" w:rsidRDefault="00143CB9" w:rsidP="00612D9D">
      <w:pPr>
        <w:pStyle w:val="ListParagraph"/>
        <w:spacing w:after="0" w:line="480" w:lineRule="auto"/>
        <w:ind w:left="360"/>
      </w:pPr>
    </w:p>
    <w:p w14:paraId="5706F059" w14:textId="25EA506F" w:rsidR="00670218" w:rsidRDefault="00670218" w:rsidP="00C64BF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w:t>
      </w:r>
      <w:r w:rsidR="003C5745">
        <w:t>,</w:t>
      </w:r>
      <w:r>
        <w:t xml:space="preserve">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Additional control covariates may be included to further isolate the effects of interest. Crucially, input data must cover both a control and treatment group, as well </w:t>
      </w:r>
      <w:r>
        <w:lastRenderedPageBreak/>
        <w:t xml:space="preserve">as time periods before and after the intervention of interest. It is important to note that in this case, and indeed in almost every application of DD modeling, true controls in </w:t>
      </w:r>
      <w:r w:rsidR="00773DA7">
        <w:t xml:space="preserve">the </w:t>
      </w:r>
      <w:r>
        <w:t>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w:t>
      </w:r>
      <w:r w:rsidR="008E7DF4">
        <w:t>, known as the parallel trends assumption,</w:t>
      </w:r>
      <w:r>
        <w:t xml:space="preserve">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r>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w:t>
      </w:r>
      <w:r w:rsidR="00C16190">
        <w:t xml:space="preserve">As with the MARSS models of regional abundance, covariate data relating to observers and ocean climate are included in model specifications, with model fit evaluated using AIC. </w:t>
      </w:r>
      <w:r w:rsidR="00572D2B">
        <w:t xml:space="preserve">The best fit models are then evaluated to ensure that treatment and control groups </w:t>
      </w:r>
      <w:r w:rsidR="00572D2B">
        <w:lastRenderedPageBreak/>
        <w:t>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7777777" w:rsidR="00F4350E" w:rsidRDefault="004B019B" w:rsidP="00C64BF8">
      <w:pPr>
        <w:spacing w:after="0" w:line="480" w:lineRule="auto"/>
      </w:pPr>
      <w:r>
        <w:t>Finally</w:t>
      </w:r>
      <w:r w:rsidR="00670218">
        <w:t xml:space="preserve">,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model will estimate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 xml:space="preserve">covariate data relating to smolts reared by the hatchery from eggs taken </w:t>
      </w:r>
      <w:r w:rsidR="00F4350E">
        <w:lastRenderedPageBreak/>
        <w:t>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5"/>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1"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r>
        <w:t>Figures 4 &amp; 5 describe the underlying state of Indian River pink salmon abundance relative to the underlying state representing an average pink salmon index stream in the surrounding region (even- and odd-year runs respectively). 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xml:space="preserve">, although odd-year Indian River runs take some years to </w:t>
      </w:r>
      <w:r w:rsidR="001A405D">
        <w:lastRenderedPageBreak/>
        <w:t>accomplish this and do not exceed this statistical average until 1997. From the middle 1990s onward, both runs are closely aligned with the average index stream, exceeding the average in some years and falling short in others, but in either case not by an amount that appears drastic when visually appraised.</w:t>
      </w:r>
    </w:p>
    <w:p w14:paraId="11C443BF" w14:textId="28C8E6F0" w:rsidR="001A405D" w:rsidRDefault="006A0FFE" w:rsidP="00F4350E">
      <w:pPr>
        <w:spacing w:after="0" w:line="480" w:lineRule="auto"/>
      </w:pPr>
      <w:r>
        <w:tab/>
        <w:t xml:space="preserve">Figures 4 &amp; 5 would seem to indicate that in pink salmon abundances observed in recent years at Indian River have not been out of the ordinary (and indeed, odd-year runs may have been considerably below average density from the 1960s until about 1995). However, plotting these time series is not enough to conclusively state that abundances at Indian River do not differ from those that would be expected of an average pink salmon index stream in the region in a statistically significant way. </w:t>
      </w:r>
      <w:r w:rsidR="00344905">
        <w:t xml:space="preserve">Table 1 describes the results of various statistical tests performed to evaluate the difference between these two time series for both even- and odd-year runs. </w:t>
      </w:r>
      <w:r w:rsidR="0080336B">
        <w:t xml:space="preserve">All time series were found to be non-stationary when evaluated using ADF tests, but passed KPSS tests, suggesting they were each stationary around some trend (since these are annually observed data, seasonality was not considered).  </w:t>
      </w:r>
      <w:r w:rsidR="00C61B5A">
        <w:t xml:space="preserve">When differenced, time series describing even-year runs were found stationary by both statistical tests. However, time series describing odd-year runs required </w:t>
      </w:r>
      <w:r w:rsidR="000D21FB">
        <w:t>third</w:t>
      </w:r>
      <w:r w:rsidR="00C61B5A">
        <w:t xml:space="preserve"> order differencing</w:t>
      </w:r>
      <w:r w:rsidR="00421CE7">
        <w:t xml:space="preserve"> (</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Δ(Δ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-1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r w:rsidR="000D21FB">
        <w:t xml:space="preserve">While initial (first order) differencing of the odd-year time series did not yield statistically stationary results, ADF tests estimated test statistics within 20% of the significance thresholds (i.e., &gt;80% </w:t>
      </w:r>
      <w:r w:rsidR="000D21FB">
        <w:lastRenderedPageBreak/>
        <w:t>confidence these time series are stationary). Both sets of differenced odd-year time series (first order and third order) are compared in Table 1.</w:t>
      </w:r>
    </w:p>
    <w:p w14:paraId="09E780EF" w14:textId="6B920B1A" w:rsidR="00FC2324" w:rsidRPr="00C3066D" w:rsidRDefault="000D21FB" w:rsidP="00F4350E">
      <w:pPr>
        <w:spacing w:after="0" w:line="480" w:lineRule="auto"/>
      </w:pPr>
      <w:r>
        <w:tab/>
        <w:t>For even-year runs, no significant lags are observed once the time series are differenced to compensate for linear trends. The means and variances of these differenced time series are not found to significantly differ</w:t>
      </w:r>
      <w:r w:rsidR="00FC2324">
        <w:t>, and Welch’s t-test finds that the trends are likewise not statistically different</w:t>
      </w:r>
      <w:r>
        <w:t>.</w:t>
      </w:r>
      <w:r w:rsidR="00FC2324">
        <w:t xml:space="preserve"> 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The picture is much less clear for odd-year runs. </w:t>
      </w:r>
      <w:r w:rsidR="00B50797">
        <w:t xml:space="preserve">While both the first and third order differenced time series show no significant difference in terms of mean or variance, the trends estimated in both cases are not the same. Additionally, both sets of time series show significant first lags, meaning there is likely some persistent autocorrelation, even despite the third order differencing! It is therefore impossible to conclude that odd-year pink salmon abundances observed at Indian River are in line with regional expectations. Returning to Figure 5, this may 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7EF4F367" w14:textId="0291F4BD" w:rsidR="00376A4E" w:rsidRDefault="00773DA7" w:rsidP="00F4350E">
      <w:pPr>
        <w:spacing w:after="0" w:line="480" w:lineRule="auto"/>
      </w:pPr>
      <w:r>
        <w:t xml:space="preserve">Difference-in-difference </w:t>
      </w:r>
      <w:r w:rsidR="008E7DF4">
        <w:t xml:space="preserve">studies </w:t>
      </w:r>
      <w:r>
        <w:t xml:space="preserve">were undertaken to evaluate both the effect of SJH operations on pink salmon abundances at Indian River (treatment year = 1980), as well as the effect of SJH’s expansion of permitted pink salmon releases from 1 million to 3 million (treatment year = 2010). </w:t>
      </w:r>
      <w:r w:rsidR="00BB4FE2">
        <w:t>M</w:t>
      </w:r>
      <w:r w:rsidR="00376A4E">
        <w:t xml:space="preserve">odels pertaining to each run </w:t>
      </w:r>
      <w:r w:rsidR="007B55B0">
        <w:t xml:space="preserve">(even- and odd-year) </w:t>
      </w:r>
      <w:r w:rsidR="002A355E">
        <w:t xml:space="preserve">and </w:t>
      </w:r>
      <w:r w:rsidR="00376A4E">
        <w:t xml:space="preserve">treatment period </w:t>
      </w:r>
      <w:r w:rsidR="007B55B0">
        <w:t xml:space="preserve">(1980 and </w:t>
      </w:r>
      <w:r w:rsidR="007B55B0">
        <w:lastRenderedPageBreak/>
        <w:t xml:space="preserve">2010) </w:t>
      </w:r>
      <w:r w:rsidR="00376A4E">
        <w:t>were specified</w:t>
      </w:r>
      <w:r w:rsidR="00BB4FE2">
        <w:t xml:space="preserve"> in four ways:</w:t>
      </w:r>
      <w:r w:rsidR="00376A4E">
        <w:t xml:space="preserve"> control</w:t>
      </w:r>
      <w:r w:rsidR="00BB4FE2">
        <w:t>ling</w:t>
      </w:r>
      <w:r w:rsidR="00376A4E">
        <w:t xml:space="preserve"> for the prior year’s ocean climate</w:t>
      </w:r>
      <w:r w:rsidR="007B55B0">
        <w:t xml:space="preserve"> via lagged PDO</w:t>
      </w:r>
      <w:r w:rsidR="00376A4E">
        <w:t xml:space="preserve">, </w:t>
      </w:r>
      <w:r w:rsidR="00BB4FE2">
        <w:t xml:space="preserve">controlling for </w:t>
      </w:r>
      <w:r w:rsidR="00376A4E">
        <w:t xml:space="preserve">the </w:t>
      </w:r>
      <w:r w:rsidR="002A355E">
        <w:t xml:space="preserve">biologist conducting each observation, </w:t>
      </w:r>
      <w:r w:rsidR="00BB4FE2">
        <w:t xml:space="preserve">controlling for </w:t>
      </w:r>
      <w:r w:rsidR="002A355E">
        <w:t xml:space="preserve">both of these sets of covariates, and no </w:t>
      </w:r>
      <w:r w:rsidR="00BB4FE2">
        <w:t xml:space="preserve">including no </w:t>
      </w:r>
      <w:r w:rsidR="002A355E">
        <w:t xml:space="preserve">covariates (only dummy indicators of time period and treatment group). From these, the </w:t>
      </w:r>
      <w:r w:rsidR="007B55B0">
        <w:t>best fit model was selected using AIC, with the most parsimonious model being chosen in cases where AIC values were within 2 of one another.</w:t>
      </w:r>
    </w:p>
    <w:p w14:paraId="19D43027" w14:textId="21EF8CDD" w:rsidR="008E7DF4" w:rsidRDefault="008E7DF4" w:rsidP="00376A4E">
      <w:pPr>
        <w:spacing w:after="0" w:line="480" w:lineRule="auto"/>
        <w:ind w:firstLine="720"/>
      </w:pPr>
      <w:r>
        <w:t>As mentioned above, a necessary pre-condition of difference-in-difference models is the satisfaction of the parallel trends assumption, which asserts that treatment and control groups</w:t>
      </w:r>
      <w:r w:rsidR="009C0C6B">
        <w:t xml:space="preserve"> must be</w:t>
      </w:r>
      <w:r>
        <w:t xml:space="preserve"> mathematically similar in the pre-treatment period.</w:t>
      </w:r>
      <w:r w:rsidR="008F33A8">
        <w:t xml:space="preserve"> Event studies in the form of simple linear models were undertaken to support this assumption. These models are structured to isolate the effect of Indian River on pink salmon abundances during pre-treatment periods, as illustrated below:</w:t>
      </w:r>
    </w:p>
    <w:p w14:paraId="2875F5A1" w14:textId="77777777" w:rsidR="008F33A8" w:rsidRDefault="008F33A8" w:rsidP="00F4350E">
      <w:pPr>
        <w:spacing w:after="0" w:line="480" w:lineRule="auto"/>
      </w:pPr>
    </w:p>
    <w:p w14:paraId="3104ABB3" w14:textId="1BCE0C3D" w:rsidR="008F33A8" w:rsidRPr="008F33A8" w:rsidRDefault="008F33A8" w:rsidP="008F33A8">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0C54D086" w14:textId="77777777" w:rsidR="008F33A8" w:rsidRDefault="008F33A8" w:rsidP="00F4350E">
      <w:pPr>
        <w:spacing w:after="0" w:line="480" w:lineRule="auto"/>
      </w:pPr>
    </w:p>
    <w:p w14:paraId="4A2F5397" w14:textId="1BBE242F" w:rsidR="00C3066D" w:rsidRPr="00C3066D" w:rsidRDefault="00647DF2" w:rsidP="00F4350E">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1)</w:t>
      </w:r>
      <w:r>
        <w:t xml:space="preserve"> or elsewhere in the </w:t>
      </w:r>
      <w:r w:rsidRPr="003C6E79">
        <w:rPr>
          <w:i/>
          <w:iCs/>
        </w:rPr>
        <w:t>north southeast (outside)</w:t>
      </w:r>
      <w:r>
        <w:t xml:space="preserve"> region</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0)</w:t>
      </w:r>
      <w:r>
        <w:t xml:space="preserve">. </w:t>
      </w:r>
      <w:r w:rsidR="006B1A2E">
        <w:t>If indeed treatment and control groups are similar during the pre-treatment period, then the effect of Indian River on pink salmon abundances (</w:t>
      </w:r>
      <w:r w:rsidR="006B1A2E" w:rsidRPr="00530885">
        <w:rPr>
          <w:rFonts w:ascii="MathJax_Math-italic" w:eastAsia="Times New Roman" w:hAnsi="MathJax_Math-italic" w:cs="Times New Roman"/>
          <w:kern w:val="0"/>
          <w:sz w:val="26"/>
          <w:szCs w:val="26"/>
          <w:bdr w:val="none" w:sz="0" w:space="0" w:color="auto" w:frame="1"/>
          <w14:ligatures w14:val="none"/>
        </w:rPr>
        <w:t>β</w:t>
      </w:r>
      <w:r w:rsidR="006B1A2E">
        <w:rPr>
          <w:rFonts w:ascii="MathJax_Math-italic" w:eastAsia="Times New Roman" w:hAnsi="MathJax_Math-italic" w:cs="Times New Roman"/>
          <w:kern w:val="0"/>
          <w:sz w:val="26"/>
          <w:szCs w:val="26"/>
          <w:bdr w:val="none" w:sz="0" w:space="0" w:color="auto" w:frame="1"/>
          <w:vertAlign w:val="subscript"/>
          <w14:ligatures w14:val="none"/>
        </w:rPr>
        <w:t>1</w:t>
      </w:r>
      <w:r w:rsidR="006B1A2E">
        <w:t xml:space="preserve">) should </w:t>
      </w:r>
      <w:r w:rsidR="00D45C26">
        <w:t xml:space="preserve">not </w:t>
      </w:r>
      <w:r w:rsidR="006B1A2E">
        <w:t xml:space="preserve">be statistically significant. </w:t>
      </w:r>
      <w:r>
        <w:t>T</w:t>
      </w:r>
      <w:r w:rsidR="00773DA7">
        <w:t xml:space="preserve">able 2 describes the effect of </w:t>
      </w:r>
      <w:r w:rsidR="00376A4E">
        <w:t xml:space="preserve">Indian River </w:t>
      </w:r>
      <w:r w:rsidR="00BB4FE2">
        <w:t xml:space="preserve">in the pre-treatment period in all four models. </w:t>
      </w:r>
      <w:r w:rsidR="0033098E">
        <w:t xml:space="preserve">For even-year runs there exists some significant difference between trends at Indian River and elsewhere in the region prior to 1980. Due to this difference, a synthetic control group time series was </w:t>
      </w:r>
      <w:r w:rsidR="0033098E">
        <w:lastRenderedPageBreak/>
        <w:t>constructed for comparison with the treatment group. All other models satisfy the parallel trends assumption.</w:t>
      </w:r>
    </w:p>
    <w:p w14:paraId="6D6BBACD" w14:textId="61BB68E0" w:rsidR="00C3066D" w:rsidRDefault="00CD3E62" w:rsidP="00F4350E">
      <w:pPr>
        <w:spacing w:after="0" w:line="480" w:lineRule="auto"/>
        <w:rPr>
          <w:b/>
          <w:bCs/>
        </w:rPr>
      </w:pPr>
      <w:r>
        <w:tab/>
        <w:t>Table 3 describes the results of these difference-in-difference studies. The effect of SJH operations commencing in 1980 is shown to have driven a significant increase in odd-year pink salmon abundances at Indian River</w:t>
      </w:r>
      <w:r w:rsidR="00DC67C0">
        <w:t>, while no significant impact is found affecting even-year runs</w:t>
      </w:r>
      <w:r>
        <w:t xml:space="preserve">. </w:t>
      </w:r>
      <w:r w:rsidR="00DC67C0">
        <w:t>T</w:t>
      </w:r>
      <w:r>
        <w:t xml:space="preserve">he expansion of permitted pink salmon releases from 1 million to 3 million in 2010 is shown to have driven significant increases in both even- and odd-year abundances. </w:t>
      </w:r>
      <w:r w:rsidR="00DC67C0">
        <w:t>The difference in time periods (pre- and post</w:t>
      </w:r>
      <w:r w:rsidR="00E73316">
        <w:t>-</w:t>
      </w:r>
      <w:r w:rsidR="00DC67C0">
        <w:t xml:space="preserve">1980, and pre- and post-2010) is found to be a significant driver of pink salmon abundances both at Indian River and throughout </w:t>
      </w:r>
      <w:r w:rsidR="00E73316">
        <w:t xml:space="preserve">the </w:t>
      </w:r>
      <w:r w:rsidR="00E73316" w:rsidRPr="003C6E79">
        <w:rPr>
          <w:i/>
          <w:iCs/>
        </w:rPr>
        <w:t>north southeast (outside)</w:t>
      </w:r>
      <w:r w:rsidR="00E73316">
        <w:t xml:space="preserve"> region. This result is consistent with trends seen in ADFG’s survey data (Figures 2 &amp; 3), as well as the estimated states of pink salmon abundance depicted in Figures 4 &amp; 5. </w:t>
      </w:r>
    </w:p>
    <w:p w14:paraId="0E88E592" w14:textId="77777777"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080F073D" w:rsidR="00C3066D" w:rsidRDefault="00976473" w:rsidP="008C144E">
      <w:pPr>
        <w:spacing w:after="0" w:line="480" w:lineRule="auto"/>
      </w:pPr>
      <w:r>
        <w:t>With difference-in-difference studies suggesting that hatchery operations are having some influence on Indian River pink salmon abundances, the last stage of this research seeks to directly evaluate the effect o</w:t>
      </w:r>
      <w:r w:rsidR="005227E4">
        <w:t>f the volume of pink salmon coming from each source (the river and the hatchery) in brood year t-1 has on the other in brood year t</w:t>
      </w:r>
      <w:r>
        <w:t xml:space="preserve">. </w:t>
      </w:r>
      <w:r w:rsidR="005227E4">
        <w:t xml:space="preserve">For this purpose, MARSS models are employed with </w:t>
      </w:r>
      <w:r w:rsidR="005227E4" w:rsidRPr="00C64BF8">
        <w:rPr>
          <w:rFonts w:ascii="MathJax_Math-italic" w:eastAsia="Times New Roman" w:hAnsi="MathJax_Math-italic" w:cs="Times New Roman"/>
          <w:b/>
          <w:bCs/>
          <w:kern w:val="0"/>
          <w:sz w:val="26"/>
          <w:szCs w:val="26"/>
          <w:bdr w:val="none" w:sz="0" w:space="0" w:color="auto" w:frame="1"/>
          <w14:ligatures w14:val="none"/>
        </w:rPr>
        <w:t>B</w:t>
      </w:r>
      <w:r w:rsidR="005227E4">
        <w:t xml:space="preserve"> specified specifically to capture these cross effects.</w:t>
      </w:r>
      <w:r w:rsidR="00090DA1">
        <w:t xml:space="preserve"> As mentioned above, the element of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that would capture the influence of hatchery returns in brood year t-1 on hatchery returns in brood year t is set at zero, due to hatchery releases in year t not being the direct result of returns in the previous brood year. Figure 6 describes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parameter estimates </w:t>
      </w:r>
      <w:r w:rsidR="00090DA1">
        <w:lastRenderedPageBreak/>
        <w:t>from these MARSS models,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xml:space="preserve">, and the effect of prior brood year Indian River abundance on current brood year Indian River abundance. Parametric bootstrapping is employed to construct confidence intervals around these parameter estimates. </w:t>
      </w:r>
    </w:p>
    <w:p w14:paraId="40ADB905" w14:textId="6E9DBB7C" w:rsidR="00675815" w:rsidRDefault="00090DA1" w:rsidP="008C144E">
      <w:pPr>
        <w:spacing w:after="0" w:line="480" w:lineRule="auto"/>
      </w:pPr>
      <w:r>
        <w:tab/>
        <w:t>The parameter of interest</w:t>
      </w:r>
      <w:r w:rsidR="006D7969">
        <w:t xml:space="preserve"> (the e</w:t>
      </w:r>
      <w:r w:rsidR="006D7969" w:rsidRPr="00090DA1">
        <w:t>ffect of prior brood year hatchery returns on current brood year Indian River abundance</w:t>
      </w:r>
      <w:r w:rsidR="006D7969">
        <w:t>) i</w:t>
      </w:r>
      <w:r w:rsidR="009F6B38">
        <w:t>s</w:t>
      </w:r>
      <w:r w:rsidR="006D7969">
        <w:t xml:space="preserve"> found to be </w:t>
      </w:r>
      <w:r w:rsidR="009F6B38">
        <w:t xml:space="preserve">positive and </w:t>
      </w:r>
      <w:r w:rsidR="006D7969">
        <w:t>significant 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 xml:space="preserve">greater than Indian River abundance much more often than not. This means that despite the difference in effect, the overall numbers of fish returning to a site different from that of their origin </w:t>
      </w:r>
      <w:r w:rsidR="00625D54">
        <w:t>could be roughly equal or even skewed towards hatchery-born fish returning to Indian River. In those brood years where Indian River abundances exceed hatchery returns, the sizes of these effects imply that the following brood year will see more fish from Indian River returning to the hatchery than vice versa.</w:t>
      </w:r>
    </w:p>
    <w:p w14:paraId="791283B6" w14:textId="77777777" w:rsidR="00344905" w:rsidRDefault="00344905" w:rsidP="008C144E">
      <w:pPr>
        <w:spacing w:after="0" w:line="480" w:lineRule="auto"/>
      </w:pPr>
    </w:p>
    <w:bookmarkEnd w:id="1"/>
    <w:p w14:paraId="79B6696A" w14:textId="78F6E4BB" w:rsidR="00670218" w:rsidRPr="008C144E" w:rsidRDefault="0093781E" w:rsidP="008C144E">
      <w:pPr>
        <w:spacing w:after="0" w:line="480" w:lineRule="auto"/>
        <w:rPr>
          <w:b/>
          <w:bCs/>
          <w:u w:val="single"/>
        </w:rPr>
      </w:pPr>
      <w:r w:rsidRPr="008C144E">
        <w:rPr>
          <w:b/>
          <w:bCs/>
          <w:u w:val="single"/>
        </w:rPr>
        <w:lastRenderedPageBreak/>
        <w:t>Discussion</w:t>
      </w:r>
    </w:p>
    <w:p w14:paraId="798BA1B1" w14:textId="242F26D3" w:rsidR="003B6985" w:rsidRDefault="00716B1F" w:rsidP="008C144E">
      <w:pPr>
        <w:spacing w:after="0" w:line="480" w:lineRule="auto"/>
      </w:pPr>
      <w:r>
        <w:t xml:space="preserve">The results of this work are intended first and foremost to provide management at SITK with a comprehensive description of both the impacts of SJH operations and of the population dynamics of pink salmon throughout the broader region. </w:t>
      </w:r>
      <w:r>
        <w:t xml:space="preserve"> </w:t>
      </w:r>
      <w:r>
        <w:t xml:space="preserve">The state of pink salmon </w:t>
      </w:r>
      <w:r>
        <w:t xml:space="preserve">abundances </w:t>
      </w:r>
      <w:r>
        <w:t xml:space="preserve">in </w:t>
      </w:r>
      <w:r>
        <w:t xml:space="preserve">northern </w:t>
      </w:r>
      <w:r>
        <w:t>southeast Alaska</w:t>
      </w:r>
      <w:r>
        <w:t xml:space="preserve"> is changing, as evidenced by Figures 2 &amp; 3. </w:t>
      </w:r>
      <w:r>
        <w:t xml:space="preserve">Understanding whether pink salmon at Indian River exist within a natural range of variation requires </w:t>
      </w:r>
      <w:r>
        <w:t xml:space="preserve">parsing this </w:t>
      </w:r>
      <w:r>
        <w:t>context</w:t>
      </w:r>
      <w:r>
        <w:t xml:space="preserve">. While pink salmon densities observed at Indian River in recent decades are high compared to those that were recorded decades ago, a statistical comparison of Indian River to ADFG’s pinks salmon index streams in </w:t>
      </w:r>
      <w:r>
        <w:t xml:space="preserve">the </w:t>
      </w:r>
      <w:r w:rsidRPr="003C6E79">
        <w:rPr>
          <w:i/>
          <w:iCs/>
        </w:rPr>
        <w:t>north southeast (outside)</w:t>
      </w:r>
      <w:r>
        <w:t xml:space="preserve"> region</w:t>
      </w:r>
      <w:r>
        <w:t xml:space="preserve"> shows that only odd-year runs are not in line with regional expectations. </w:t>
      </w:r>
      <w:r w:rsidR="007C5247">
        <w:t xml:space="preserve">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w:t>
      </w:r>
      <w:r w:rsidR="00C80629">
        <w:t xml:space="preserve">That effect is found through time series modeling of Indian River abundances and hatchery returns, and while this work finds a significant effect of hatchery releases on Indian River abundances, it also appears that Indian River fish are </w:t>
      </w:r>
      <w:r w:rsidR="00C80629">
        <w:t>returning to the hatchery</w:t>
      </w:r>
      <w:r w:rsidR="00C80629">
        <w:t xml:space="preserve"> at significant rates.</w:t>
      </w:r>
    </w:p>
    <w:p w14:paraId="27DF658A" w14:textId="0556C104" w:rsidR="00716B1F" w:rsidRDefault="001F7F26" w:rsidP="008C144E">
      <w:pPr>
        <w:spacing w:after="0" w:line="480" w:lineRule="auto"/>
      </w:pPr>
      <w:r>
        <w:tab/>
        <w:t xml:space="preserve">While it is not the aim of this work to be prescriptive, it is worth considering the implications of these findings and how they might inform the duties of </w:t>
      </w:r>
      <w:r>
        <w:t>park officials with re</w:t>
      </w:r>
      <w:r>
        <w:t>spect</w:t>
      </w:r>
      <w:r>
        <w:t xml:space="preserve"> to </w:t>
      </w:r>
      <w:r>
        <w:t xml:space="preserve">conservation. </w:t>
      </w:r>
      <w:r w:rsidR="00062BCE">
        <w:t xml:space="preserve">In even years, Indian River salmon are not out of the ordinary relative </w:t>
      </w:r>
      <w:r w:rsidR="00062BCE">
        <w:lastRenderedPageBreak/>
        <w:t xml:space="preserve">to the wider region. While the expansion of hatchery releases in 2010 is statistically shown to coincide an increase in the numbers of spawning pink salmon at Indian River, the effect of hatchery returns in the previous brood year on even-year pink salmon abundances are much lower than the effect of fish moving in the other direction. Taken together, this suite of evidence makes it seem likely that even-year runs at Indian River are well within the natural range of variation for the wider region. </w:t>
      </w:r>
      <w:r w:rsidR="00CC7AA4">
        <w:t xml:space="preserve">However, the analysis of odd-year runs tells a different story. Odd-year runs at Indian River are found differ significantly from the expectation drawn from the wider region. The effect both the commencement and expansion of hatchery operations (1980 and 2010) are shown to have coincided with increases in the numbers of pink salmon at Indian River, above and beyond what was happening elsewhere in the region during those periods. Finally, while (like even-year runs), </w:t>
      </w:r>
      <w:r w:rsidR="00CC7AA4">
        <w:t>the effect of hatchery returns in the previous brood year on even-year pink salmon abundances are lower than the effect of fish moving in the other direction</w:t>
      </w:r>
      <w:r w:rsidR="00CC7AA4">
        <w:t>, the difference in these effects is not as great, meaning it is more likely that more fish from the hatchery might be returning to Indian River in a given year than vice versa.</w:t>
      </w:r>
    </w:p>
    <w:p w14:paraId="7D8B9470" w14:textId="7DFAD994" w:rsidR="00F302DE" w:rsidRDefault="00F302DE" w:rsidP="008C144E">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w:t>
      </w:r>
      <w:r w:rsidR="005B3ACD">
        <w:t xml:space="preserve">This is not to say that the hatchery is the main driver of high pink salmon densities in odd years (as Figure 3 shows, spawning abundances </w:t>
      </w:r>
      <w:r w:rsidR="005B3ACD">
        <w:lastRenderedPageBreak/>
        <w:t>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 although how this might be accomplished is another question all together which falls outside the scope of this work.</w:t>
      </w:r>
    </w:p>
    <w:p w14:paraId="4C795B1D" w14:textId="752215D5" w:rsidR="009C2CB3" w:rsidRDefault="009C2CB3" w:rsidP="008C144E">
      <w:pPr>
        <w:spacing w:after="0" w:line="480" w:lineRule="auto"/>
      </w:pPr>
      <w:r>
        <w:tab/>
        <w:t xml:space="preserve">It is clear from this research that determining the point at which </w:t>
      </w:r>
      <w:r>
        <w:t>a native species</w:t>
      </w:r>
      <w:r>
        <w:t xml:space="preserve"> becomes overabundant is not a simple task. In the case of pink salmon at Indian River, this task is made additionally complicated by the fact there two populations </w:t>
      </w:r>
      <w:r w:rsidR="002B1614">
        <w:t>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bookmarkEnd w:id="0"/>
    </w:p>
    <w:sectPr w:rsidR="009C2CB3" w:rsidSect="001E1CBF">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107E"/>
    <w:rsid w:val="00062BCE"/>
    <w:rsid w:val="00086DA1"/>
    <w:rsid w:val="00090DA1"/>
    <w:rsid w:val="000D21FB"/>
    <w:rsid w:val="00106EE6"/>
    <w:rsid w:val="00114A77"/>
    <w:rsid w:val="00121CF4"/>
    <w:rsid w:val="00143CB9"/>
    <w:rsid w:val="001A405D"/>
    <w:rsid w:val="001A6AA2"/>
    <w:rsid w:val="001D51EA"/>
    <w:rsid w:val="001D5683"/>
    <w:rsid w:val="001E1CBF"/>
    <w:rsid w:val="001E29F4"/>
    <w:rsid w:val="001F775B"/>
    <w:rsid w:val="001F7F26"/>
    <w:rsid w:val="00232D52"/>
    <w:rsid w:val="00252296"/>
    <w:rsid w:val="002A355E"/>
    <w:rsid w:val="002B1614"/>
    <w:rsid w:val="0033098E"/>
    <w:rsid w:val="00344905"/>
    <w:rsid w:val="003633DB"/>
    <w:rsid w:val="00376A4E"/>
    <w:rsid w:val="003B4882"/>
    <w:rsid w:val="003B6985"/>
    <w:rsid w:val="003C5745"/>
    <w:rsid w:val="003C6E79"/>
    <w:rsid w:val="003C77AC"/>
    <w:rsid w:val="00412816"/>
    <w:rsid w:val="004217D3"/>
    <w:rsid w:val="00421CE7"/>
    <w:rsid w:val="004B019B"/>
    <w:rsid w:val="004C58F2"/>
    <w:rsid w:val="005078EE"/>
    <w:rsid w:val="005227E4"/>
    <w:rsid w:val="005363D0"/>
    <w:rsid w:val="00572D2B"/>
    <w:rsid w:val="005B1667"/>
    <w:rsid w:val="005B3ACD"/>
    <w:rsid w:val="00606949"/>
    <w:rsid w:val="00612D9D"/>
    <w:rsid w:val="00614E66"/>
    <w:rsid w:val="00625D54"/>
    <w:rsid w:val="00633AFA"/>
    <w:rsid w:val="00647DF2"/>
    <w:rsid w:val="00670218"/>
    <w:rsid w:val="00675815"/>
    <w:rsid w:val="006A0FFE"/>
    <w:rsid w:val="006B1A2E"/>
    <w:rsid w:val="006B5A94"/>
    <w:rsid w:val="006D7969"/>
    <w:rsid w:val="00716B1F"/>
    <w:rsid w:val="00731AF8"/>
    <w:rsid w:val="00741B88"/>
    <w:rsid w:val="00773DA7"/>
    <w:rsid w:val="00795151"/>
    <w:rsid w:val="007B55B0"/>
    <w:rsid w:val="007C5247"/>
    <w:rsid w:val="007F1518"/>
    <w:rsid w:val="00802542"/>
    <w:rsid w:val="0080336B"/>
    <w:rsid w:val="0087408B"/>
    <w:rsid w:val="008C0B8C"/>
    <w:rsid w:val="008C0E5E"/>
    <w:rsid w:val="008C144E"/>
    <w:rsid w:val="008D0E15"/>
    <w:rsid w:val="008E7DF4"/>
    <w:rsid w:val="008F33A8"/>
    <w:rsid w:val="0091309E"/>
    <w:rsid w:val="0093781E"/>
    <w:rsid w:val="009721BE"/>
    <w:rsid w:val="00976473"/>
    <w:rsid w:val="009978CD"/>
    <w:rsid w:val="009A59EE"/>
    <w:rsid w:val="009C0C6B"/>
    <w:rsid w:val="009C2CB3"/>
    <w:rsid w:val="009D4DE7"/>
    <w:rsid w:val="009F6B38"/>
    <w:rsid w:val="00A017CB"/>
    <w:rsid w:val="00A368FA"/>
    <w:rsid w:val="00A527C1"/>
    <w:rsid w:val="00A93D33"/>
    <w:rsid w:val="00AE4507"/>
    <w:rsid w:val="00B00D9B"/>
    <w:rsid w:val="00B23CD2"/>
    <w:rsid w:val="00B50797"/>
    <w:rsid w:val="00B67742"/>
    <w:rsid w:val="00BB4FE2"/>
    <w:rsid w:val="00BF04BF"/>
    <w:rsid w:val="00C16190"/>
    <w:rsid w:val="00C3066D"/>
    <w:rsid w:val="00C61B5A"/>
    <w:rsid w:val="00C64BF8"/>
    <w:rsid w:val="00C80629"/>
    <w:rsid w:val="00C874A9"/>
    <w:rsid w:val="00CA65D7"/>
    <w:rsid w:val="00CC7AA4"/>
    <w:rsid w:val="00CD3E62"/>
    <w:rsid w:val="00D011BB"/>
    <w:rsid w:val="00D362A0"/>
    <w:rsid w:val="00D368CD"/>
    <w:rsid w:val="00D45C26"/>
    <w:rsid w:val="00D56989"/>
    <w:rsid w:val="00D57B76"/>
    <w:rsid w:val="00D801ED"/>
    <w:rsid w:val="00D9784A"/>
    <w:rsid w:val="00DC67C0"/>
    <w:rsid w:val="00E47684"/>
    <w:rsid w:val="00E65279"/>
    <w:rsid w:val="00E65F33"/>
    <w:rsid w:val="00E73316"/>
    <w:rsid w:val="00EB0251"/>
    <w:rsid w:val="00ED5857"/>
    <w:rsid w:val="00ED689D"/>
    <w:rsid w:val="00EF2ADE"/>
    <w:rsid w:val="00F12190"/>
    <w:rsid w:val="00F302DE"/>
    <w:rsid w:val="00F4350E"/>
    <w:rsid w:val="00F5558B"/>
    <w:rsid w:val="00F66F22"/>
    <w:rsid w:val="00F67FB5"/>
    <w:rsid w:val="00F8028C"/>
    <w:rsid w:val="00F8072F"/>
    <w:rsid w:val="00F90233"/>
    <w:rsid w:val="00FA6A18"/>
    <w:rsid w:val="00FC2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1190</TotalTime>
  <Pages>23</Pages>
  <Words>6050</Words>
  <Characters>35398</Characters>
  <Application>Microsoft Office Word</Application>
  <DocSecurity>0</DocSecurity>
  <Lines>694</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66</cp:revision>
  <dcterms:created xsi:type="dcterms:W3CDTF">2026-01-12T21:48:00Z</dcterms:created>
  <dcterms:modified xsi:type="dcterms:W3CDTF">2026-02-28T00:49:00Z</dcterms:modified>
</cp:coreProperties>
</file>