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A6A07" w14:textId="77777777" w:rsidR="00670218" w:rsidRPr="00D9784A" w:rsidRDefault="00670218" w:rsidP="00612D9D">
      <w:pPr>
        <w:pStyle w:val="ListParagraph"/>
        <w:spacing w:after="0" w:line="480" w:lineRule="auto"/>
        <w:ind w:left="360"/>
        <w:rPr>
          <w:b/>
          <w:bCs/>
          <w:u w:val="single"/>
        </w:rPr>
      </w:pPr>
      <w:bookmarkStart w:id="0" w:name="_Hlk201667573"/>
      <w:r w:rsidRPr="00D9784A">
        <w:rPr>
          <w:b/>
          <w:bCs/>
          <w:u w:val="single"/>
        </w:rPr>
        <w:t xml:space="preserve">Introduction </w:t>
      </w:r>
    </w:p>
    <w:p w14:paraId="439291BE" w14:textId="20C3D6E0"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w:t>
      </w:r>
      <w:proofErr w:type="gramStart"/>
      <w:r>
        <w:t>variation’.</w:t>
      </w:r>
      <w:proofErr w:type="gramEnd"/>
      <w:r>
        <w:t xml:space="preserve"> Pursuant to this, park managers are often confronted with either the scarcity of native plant or animal species</w:t>
      </w:r>
      <w:r w:rsidR="005078EE">
        <w:t>,</w:t>
      </w:r>
      <w:r>
        <w:t xml:space="preserve"> or an abundance of non-native (exotic, invasive) species that may damage park ecosystems </w:t>
      </w:r>
      <w:r>
        <w:rPr>
          <w:rFonts w:cstheme="minorHAnsi"/>
          <w:color w:val="202122"/>
          <w:shd w:val="clear" w:color="auto" w:fill="FFFFFF"/>
        </w:rPr>
        <w:t>(National Park Service 2025a)</w:t>
      </w:r>
      <w:r>
        <w:t xml:space="preserve">. However, harm to ecosystems can also be driven by </w:t>
      </w:r>
      <w:r w:rsidR="005078EE">
        <w:t>the</w:t>
      </w:r>
      <w:r>
        <w:t xml:space="preserve"> hyperabundance of a native species, due either to shifting regional trends in habitat suitability, to direct (and often anthropogenic) intervention, or to a combination of these factors (</w:t>
      </w:r>
      <w:proofErr w:type="spellStart"/>
      <w:r>
        <w:t>Sambaraju</w:t>
      </w:r>
      <w:proofErr w:type="spellEnd"/>
      <w:r>
        <w:t xml:space="preserve"> and </w:t>
      </w:r>
      <w:proofErr w:type="spellStart"/>
      <w:r>
        <w:t>Goodsman</w:t>
      </w:r>
      <w:proofErr w:type="spellEnd"/>
      <w:r>
        <w:t xml:space="preserve"> 2021, Beckett et al. 2022, Moore et al. 2023). </w:t>
      </w:r>
      <w:r w:rsidR="005078EE">
        <w:t>For example, in Yellowstone National Park, native mountain pine beetles (</w:t>
      </w:r>
      <w:r w:rsidR="005078EE">
        <w:rPr>
          <w:i/>
          <w:iCs/>
        </w:rPr>
        <w:t xml:space="preserve">Dendroctonus </w:t>
      </w:r>
      <w:proofErr w:type="spellStart"/>
      <w:r w:rsidR="005078EE">
        <w:rPr>
          <w:i/>
          <w:iCs/>
        </w:rPr>
        <w:t>ponderosae</w:t>
      </w:r>
      <w:proofErr w:type="spellEnd"/>
      <w:r w:rsidR="005078EE">
        <w:t>) have recently decimated coniferous forests due to a lack of cold winter temperatures, which have traditionally limited the insects’ numbers and, by extension, their impacts on forests (Gibson et al. 2008).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w:t>
      </w:r>
      <w:r w:rsidR="00A017CB">
        <w:lastRenderedPageBreak/>
        <w:t>scientific information available</w:t>
      </w:r>
      <w:r>
        <w:t xml:space="preserve"> as they seek to interpret and implement the mandate to preserve resources in a natural condition. </w:t>
      </w:r>
    </w:p>
    <w:p w14:paraId="0DCE0F57" w14:textId="640781DB" w:rsidR="00670218" w:rsidRDefault="00670218" w:rsidP="00A017CB">
      <w:pPr>
        <w:spacing w:after="0" w:line="480" w:lineRule="auto"/>
        <w:ind w:firstLine="360"/>
      </w:pPr>
      <w:r>
        <w:t>With these ideas in mind, my research focuses on Sitka National Historical Park (SITK) in Sitka, Alaska, a small 112-acre coastal park located in the state’s south</w:t>
      </w:r>
      <w:r w:rsidR="00A017CB">
        <w:t>east</w:t>
      </w:r>
      <w:r>
        <w:t xml:space="preserve">ern panhandle. SITK was designated a National Monument in 1910 and park in 1972, primarily </w:t>
      </w:r>
      <w:r w:rsidRPr="00A017CB">
        <w:rPr>
          <w:rFonts w:cstheme="minorHAnsi"/>
          <w:color w:val="202122"/>
          <w:shd w:val="clear" w:color="auto" w:fill="FFFFFF"/>
        </w:rPr>
        <w:t>to</w:t>
      </w:r>
      <w:r>
        <w:t xml:space="preserve"> conserve the site of an 1804 battle </w:t>
      </w:r>
      <w:r w:rsidRPr="00A017CB">
        <w:rPr>
          <w:rFonts w:cstheme="minorHAnsi"/>
          <w:color w:val="202122"/>
          <w:shd w:val="clear" w:color="auto" w:fill="FFFFFF"/>
        </w:rPr>
        <w:t xml:space="preserve">between the native Tlingit Kiks.ádi clan and Russian colonizers </w:t>
      </w:r>
      <w:r>
        <w:t>(National Park Service 2025b)</w:t>
      </w:r>
      <w:r w:rsidRPr="00A017CB">
        <w:rPr>
          <w:rFonts w:cstheme="minorHAnsi"/>
          <w:color w:val="202122"/>
          <w:shd w:val="clear" w:color="auto" w:fill="FFFFFF"/>
        </w:rPr>
        <w:t xml:space="preserve">.  The park, which </w:t>
      </w:r>
      <w:r>
        <w:t>features a series of totem poles along designated trails and active traditional totem carving activities</w:t>
      </w:r>
      <w:r w:rsidRPr="00A017CB">
        <w:rPr>
          <w:rFonts w:cstheme="minorHAnsi"/>
          <w:color w:val="202122"/>
          <w:shd w:val="clear" w:color="auto" w:fill="FFFFFF"/>
        </w:rPr>
        <w:t xml:space="preserve">, is visited by tens of thousands of tourists each year </w:t>
      </w:r>
      <w:r>
        <w:t>who learn about the history of Sitka and Tlingit culture. While its foundational purpose is the preservation of a historical event, today the park is managed to</w:t>
      </w:r>
      <w:r w:rsidRPr="00A017CB">
        <w:rPr>
          <w:rFonts w:cstheme="minorHAnsi"/>
          <w:color w:val="202122"/>
          <w:shd w:val="clear" w:color="auto" w:fill="FFFFFF"/>
        </w:rPr>
        <w:t xml:space="preserve"> preserve the </w:t>
      </w:r>
      <w:r w:rsidR="00A017CB">
        <w:t>ecosystems</w:t>
      </w:r>
      <w:r w:rsidR="00A017CB" w:rsidRPr="00A017CB">
        <w:rPr>
          <w:rFonts w:cstheme="minorHAnsi"/>
          <w:color w:val="202122"/>
          <w:shd w:val="clear" w:color="auto" w:fill="FFFFFF"/>
        </w:rPr>
        <w:t xml:space="preserve"> </w:t>
      </w:r>
      <w:r w:rsidR="00A017CB">
        <w:rPr>
          <w:rFonts w:cstheme="minorHAnsi"/>
          <w:color w:val="202122"/>
          <w:shd w:val="clear" w:color="auto" w:fill="FFFFFF"/>
        </w:rPr>
        <w:t xml:space="preserve">and </w:t>
      </w:r>
      <w:r w:rsidRPr="00A017CB">
        <w:rPr>
          <w:rFonts w:cstheme="minorHAnsi"/>
          <w:color w:val="202122"/>
          <w:shd w:val="clear" w:color="auto" w:fill="FFFFFF"/>
        </w:rPr>
        <w:t>natural resources present in the surrounding area,</w:t>
      </w:r>
      <w:r>
        <w:t xml:space="preserve"> </w:t>
      </w:r>
      <w:r w:rsidR="00A017CB">
        <w:t xml:space="preserve">including </w:t>
      </w:r>
      <w:r>
        <w:t>mature spruce-hemlock forests and the Indian River, the main reach and intertidal area of which fall within park boundaries</w:t>
      </w:r>
    </w:p>
    <w:p w14:paraId="6E37A897" w14:textId="551496FE" w:rsidR="00670218" w:rsidRDefault="00670218" w:rsidP="00A017CB">
      <w:pPr>
        <w:spacing w:after="0" w:line="480" w:lineRule="auto"/>
        <w:ind w:firstLine="360"/>
      </w:pPr>
      <w:r w:rsidRPr="00A017CB">
        <w:rPr>
          <w:rFonts w:cstheme="minorHAnsi"/>
          <w:color w:val="202122"/>
          <w:shd w:val="clear" w:color="auto" w:fill="FFFFFF"/>
        </w:rPr>
        <w:t xml:space="preserve">Since time immemorial </w:t>
      </w:r>
      <w:proofErr w:type="spellStart"/>
      <w:r w:rsidRPr="00A017CB">
        <w:rPr>
          <w:rFonts w:cstheme="minorHAnsi"/>
          <w:color w:val="202122"/>
          <w:u w:val="single"/>
          <w:shd w:val="clear" w:color="auto" w:fill="FFFFFF"/>
        </w:rPr>
        <w:t>K</w:t>
      </w:r>
      <w:r w:rsidRPr="00A017CB">
        <w:rPr>
          <w:rFonts w:cstheme="minorHAnsi"/>
          <w:color w:val="202122"/>
          <w:shd w:val="clear" w:color="auto" w:fill="FFFFFF"/>
        </w:rPr>
        <w:t>aasda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Héen</w:t>
      </w:r>
      <w:proofErr w:type="spellEnd"/>
      <w:r w:rsidRPr="00A017CB">
        <w:rPr>
          <w:rFonts w:cstheme="minorHAnsi"/>
          <w:color w:val="202122"/>
          <w:shd w:val="clear" w:color="auto" w:fill="FFFFFF"/>
        </w:rPr>
        <w:t xml:space="preserve"> (the Indian River) has been the location of a fishing camp and harvesting site for the Kiks.ádi clan, and particularly valued for its close proximity to the clan’s winter villages, as well as for hosting runs of a variety of Pacific salmon species, including chum (</w:t>
      </w:r>
      <w:r w:rsidRPr="00A017CB">
        <w:rPr>
          <w:i/>
          <w:iCs/>
        </w:rPr>
        <w:t xml:space="preserve">Oncorhynchus keta, </w:t>
      </w:r>
      <w:proofErr w:type="spellStart"/>
      <w:r w:rsidRPr="00A017CB">
        <w:rPr>
          <w:i/>
          <w:iCs/>
        </w:rPr>
        <w:t>T</w:t>
      </w:r>
      <w:r w:rsidRPr="00EB397D">
        <w:t>éel</w:t>
      </w:r>
      <w:proofErr w:type="spellEnd"/>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L’ook</w:t>
      </w:r>
      <w:proofErr w:type="spellEnd"/>
      <w:r w:rsidRPr="00A017CB">
        <w:rPr>
          <w:rFonts w:cstheme="minorHAnsi"/>
          <w:color w:val="202122"/>
          <w:shd w:val="clear" w:color="auto" w:fill="FFFFFF"/>
        </w:rPr>
        <w:t>), Chinook (</w:t>
      </w:r>
      <w:r w:rsidRPr="00A017CB">
        <w:rPr>
          <w:rFonts w:cstheme="minorHAnsi"/>
          <w:i/>
          <w:iCs/>
          <w:color w:val="202122"/>
          <w:shd w:val="clear" w:color="auto" w:fill="FFFFFF"/>
        </w:rPr>
        <w:t>O. tshawytscha</w:t>
      </w:r>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T’a</w:t>
      </w:r>
      <w:proofErr w:type="spellEnd"/>
      <w:r w:rsidRPr="00A017CB">
        <w:rPr>
          <w:rFonts w:cstheme="minorHAnsi"/>
          <w:color w:val="202122"/>
          <w:shd w:val="clear" w:color="auto" w:fill="FFFFFF"/>
        </w:rPr>
        <w:t>́), and pink salmon (</w:t>
      </w:r>
      <w:r w:rsidRPr="00A017CB">
        <w:rPr>
          <w:rFonts w:cstheme="minorHAnsi"/>
          <w:i/>
          <w:iCs/>
          <w:color w:val="202122"/>
          <w:shd w:val="clear" w:color="auto" w:fill="FFFFFF"/>
        </w:rPr>
        <w:t xml:space="preserve">O. </w:t>
      </w:r>
      <w:proofErr w:type="spellStart"/>
      <w:r w:rsidRPr="00A017CB">
        <w:rPr>
          <w:rFonts w:cstheme="minorHAnsi"/>
          <w:i/>
          <w:iCs/>
          <w:color w:val="202122"/>
          <w:shd w:val="clear" w:color="auto" w:fill="FFFFFF"/>
        </w:rPr>
        <w:t>gorbuscha</w:t>
      </w:r>
      <w:proofErr w:type="spellEnd"/>
      <w:r w:rsidRPr="00A017CB">
        <w:rPr>
          <w:rFonts w:cstheme="minorHAnsi"/>
          <w:color w:val="202122"/>
          <w:shd w:val="clear" w:color="auto" w:fill="FFFFFF"/>
        </w:rPr>
        <w:t xml:space="preserve">, </w:t>
      </w:r>
      <w:proofErr w:type="spellStart"/>
      <w:r w:rsidRPr="00A017CB">
        <w:rPr>
          <w:rFonts w:cstheme="minorHAnsi"/>
          <w:color w:val="202122"/>
          <w:shd w:val="clear" w:color="auto" w:fill="FFFFFF"/>
        </w:rPr>
        <w:t>Cháas</w:t>
      </w:r>
      <w:proofErr w:type="spellEnd"/>
      <w:r w:rsidRPr="00A017CB">
        <w:rPr>
          <w:rFonts w:cstheme="minorHAnsi"/>
          <w:color w:val="202122"/>
          <w:shd w:val="clear" w:color="auto" w:fill="FFFFFF"/>
        </w:rPr>
        <w:t>’)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Eggs hatch in the winter and in the </w:t>
      </w:r>
      <w:proofErr w:type="gramStart"/>
      <w:r w:rsidRPr="00A017CB">
        <w:rPr>
          <w:rFonts w:cstheme="minorHAnsi"/>
          <w:color w:val="202122"/>
          <w:shd w:val="clear" w:color="auto" w:fill="FFFFFF"/>
        </w:rPr>
        <w:t>spring</w:t>
      </w:r>
      <w:proofErr w:type="gramEnd"/>
      <w:r w:rsidRPr="00A017CB">
        <w:rPr>
          <w:rFonts w:cstheme="minorHAnsi"/>
          <w:color w:val="202122"/>
          <w:shd w:val="clear" w:color="auto" w:fill="FFFFFF"/>
        </w:rPr>
        <w:t xml:space="preserve"> </w:t>
      </w:r>
      <w:r>
        <w:t xml:space="preserve">juveniles immediately </w:t>
      </w:r>
      <w:r w:rsidRPr="00CD14B8">
        <w:t xml:space="preserve">enter the ocean, </w:t>
      </w:r>
      <w:r>
        <w:t>with all members of a brood</w:t>
      </w:r>
      <w:r w:rsidRPr="00CD14B8">
        <w:t xml:space="preserve"> return</w:t>
      </w:r>
      <w:r>
        <w:t>ing</w:t>
      </w:r>
      <w:r w:rsidRPr="00CD14B8">
        <w:t xml:space="preserve"> to spawn</w:t>
      </w:r>
      <w:r>
        <w:t xml:space="preserve"> the following fall, at two years of age</w:t>
      </w:r>
      <w:r w:rsidRPr="00CD14B8">
        <w:t xml:space="preserve">. This leads to two genetically distinct runs </w:t>
      </w:r>
      <w:r>
        <w:t xml:space="preserve">of salmon inhabiting the same stream </w:t>
      </w:r>
      <w:r w:rsidRPr="00CD14B8">
        <w:t>in even numbered and odd numbered years</w:t>
      </w:r>
      <w:r>
        <w:t>. U</w:t>
      </w:r>
      <w:r w:rsidRPr="00CD14B8">
        <w:t xml:space="preserve">nlike </w:t>
      </w:r>
      <w:r>
        <w:t xml:space="preserve">in </w:t>
      </w:r>
      <w:r w:rsidRPr="00CD14B8">
        <w:t>regions</w:t>
      </w:r>
      <w:r>
        <w:t xml:space="preserve"> further north or south</w:t>
      </w:r>
      <w:r w:rsidRPr="00CD14B8">
        <w:t>, the rivers of northern southeast Alaska see even</w:t>
      </w:r>
      <w:r>
        <w:t>-</w:t>
      </w:r>
      <w:r w:rsidRPr="00CD14B8">
        <w:t xml:space="preserve"> and odd</w:t>
      </w:r>
      <w:r>
        <w:t>-</w:t>
      </w:r>
      <w:r w:rsidRPr="00CD14B8">
        <w:lastRenderedPageBreak/>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regularly exceeding 100,000 fish annually (</w:t>
      </w:r>
      <w:proofErr w:type="spellStart"/>
      <w:r>
        <w:t>Stopha</w:t>
      </w:r>
      <w:proofErr w:type="spellEnd"/>
      <w:r>
        <w:t xml:space="preserve">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w:t>
      </w:r>
      <w:proofErr w:type="spellStart"/>
      <w:r>
        <w:t>Stopha</w:t>
      </w:r>
      <w:proofErr w:type="spellEnd"/>
      <w:r>
        <w:t xml:space="preserve">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w:t>
      </w:r>
      <w:proofErr w:type="spellStart"/>
      <w:r>
        <w:t>Stopha</w:t>
      </w:r>
      <w:proofErr w:type="spellEnd"/>
      <w:r>
        <w:t xml:space="preserve"> 2</w:t>
      </w:r>
      <w:r w:rsidR="0087408B">
        <w:t>01</w:t>
      </w:r>
      <w:r>
        <w:t>5).</w:t>
      </w:r>
    </w:p>
    <w:p w14:paraId="3F008B98" w14:textId="0B81ECC4"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(proximity illustrated in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w:t>
      </w:r>
      <w:r>
        <w:lastRenderedPageBreak/>
        <w:t>fishes are marked with a distinct pattern. This pattern is produced during incubation, when salmon eggs are exposed to a carefully controlled regime of dry periods and periods submerged in water, leaving a pattern on the otoliths of each fish reflecting a specific hatchery of origin (</w:t>
      </w:r>
      <w:proofErr w:type="spellStart"/>
      <w:r>
        <w:t>Stopha</w:t>
      </w:r>
      <w:proofErr w:type="spellEnd"/>
      <w:r>
        <w:t xml:space="preserve">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413C51F5" w14:textId="2E1AE005" w:rsidR="00B67742" w:rsidRDefault="00A368FA" w:rsidP="00B67742">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Figure</w:t>
      </w:r>
      <w:r w:rsidR="00A527C1">
        <w:t>s</w:t>
      </w:r>
      <w:r>
        <w:t xml:space="preserve"> 2 </w:t>
      </w:r>
      <w:r w:rsidR="00A527C1">
        <w:t xml:space="preserve">&amp; 3 </w:t>
      </w:r>
      <w:r>
        <w:t xml:space="preserve">describe peak escapement </w:t>
      </w:r>
      <w:r w:rsidR="00ED5857">
        <w:t>o</w:t>
      </w:r>
      <w:r w:rsidR="003C77AC">
        <w:t>f</w:t>
      </w:r>
      <w:r w:rsidR="00ED5857">
        <w:t xml:space="preserve"> salmon runs </w:t>
      </w:r>
      <w:r>
        <w:t>recorded</w:t>
      </w:r>
      <w:r w:rsidR="003C77AC">
        <w:t xml:space="preserve"> between 1960 and 202</w:t>
      </w:r>
      <w:r w:rsidR="00A527C1">
        <w:t>3</w:t>
      </w:r>
      <w:r>
        <w:t xml:space="preserve"> at </w:t>
      </w:r>
      <w:r w:rsidR="00A527C1">
        <w:t xml:space="preserve">Indian River and </w:t>
      </w:r>
      <w:r>
        <w:t>35 pink salmon streams</w:t>
      </w:r>
      <w:r w:rsidR="00A527C1">
        <w:t>, all</w:t>
      </w:r>
      <w:r w:rsidR="00ED5857">
        <w:t xml:space="preserve"> located in what ADFG designates as the ‘Northern Southeast (Outside)’ region.</w:t>
      </w:r>
      <w:r>
        <w:t xml:space="preserve"> </w:t>
      </w:r>
      <w:r w:rsidR="00F90233">
        <w:t>A cursory</w:t>
      </w:r>
      <w:r w:rsidR="00A527C1">
        <w:t xml:space="preserve"> inspection of these figures </w:t>
      </w:r>
      <w:r w:rsidR="00F90233">
        <w:lastRenderedPageBreak/>
        <w:t xml:space="preserve">suggests </w:t>
      </w:r>
      <w:r w:rsidR="00B67742">
        <w:t>that</w:t>
      </w:r>
      <w:r w:rsidR="00F90233">
        <w:t xml:space="preserve"> abundances of returning pink salmon have generally been on the rise throughout the region over the last few decades, and </w:t>
      </w:r>
      <w:r w:rsidR="00B67742">
        <w:t>that</w:t>
      </w:r>
      <w:r w:rsidR="00F90233">
        <w:t xml:space="preserve"> </w:t>
      </w:r>
      <w:r w:rsidR="00A527C1">
        <w:t xml:space="preserve">Indian River pink salmon are returning in </w:t>
      </w:r>
      <w:r w:rsidR="00B67742">
        <w:t>densities</w:t>
      </w:r>
      <w:r w:rsidR="00A527C1">
        <w:t xml:space="preserve"> </w:t>
      </w:r>
      <w:r w:rsidR="00F90233">
        <w:t xml:space="preserve">consistent with those observed in nearby </w:t>
      </w:r>
      <w:r w:rsidR="00B67742">
        <w:t xml:space="preserve">index </w:t>
      </w:r>
      <w:r w:rsidR="00F90233">
        <w:t xml:space="preserve">streams. </w:t>
      </w:r>
      <w:r w:rsidR="00606949">
        <w:t xml:space="preserve">While this is somewhat compelling, visual inspection of a few dozen time series is not sufficient to conclude whether and to what extent Sheldon Jackson Hatchery has influenced pink salmon abundance at Indian River.  </w:t>
      </w:r>
    </w:p>
    <w:p w14:paraId="2A043FF9" w14:textId="4FC49D92" w:rsidR="00670218" w:rsidRDefault="00670218" w:rsidP="00B67742">
      <w:pPr>
        <w:spacing w:after="0" w:line="480" w:lineRule="auto"/>
        <w:ind w:firstLine="360"/>
      </w:pPr>
      <w:r>
        <w:t xml:space="preserve">My research seeks to assess whether the abundances of pink salmon observed in recent decades at Indian River exist within a natural range of variation relative to pink salmon streams elsewhere in the region. </w:t>
      </w:r>
      <w:r w:rsidR="00B67742">
        <w:t>Additionally,</w:t>
      </w:r>
      <w:r>
        <w:t xml:space="preserve"> </w:t>
      </w:r>
      <w:r w:rsidR="00606949">
        <w:t>my</w:t>
      </w:r>
      <w:r>
        <w:t xml:space="preserve"> research </w:t>
      </w:r>
      <w:r w:rsidR="00B67742">
        <w:t>explore</w:t>
      </w:r>
      <w:r w:rsidR="00606949">
        <w:t>s</w:t>
      </w:r>
      <w:r w:rsidR="00B67742">
        <w:t xml:space="preserve"> whether a causal relationship exists between the operations of Sheldon Jackson Hatchery and the increased pink salmon abundances observed at Indian River since 1980</w:t>
      </w:r>
      <w:r w:rsidR="00606949">
        <w:t>, and estimates</w:t>
      </w:r>
      <w:r>
        <w:t xml:space="preserve"> the effect SJH operations have had on abundances of pink salmon at Indian River over time.  </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1F05EAAE" w:rsidR="00670218" w:rsidRDefault="00670218" w:rsidP="00A017CB">
      <w:pPr>
        <w:spacing w:after="0" w:line="480" w:lineRule="auto"/>
      </w:pPr>
      <w:r>
        <w:t xml:space="preserve">Data supporting this research </w:t>
      </w:r>
      <w:proofErr w:type="gramStart"/>
      <w:r>
        <w:t>are</w:t>
      </w:r>
      <w:proofErr w:type="gramEnd"/>
      <w:r>
        <w:t xml:space="preserve"> chiefly sourced from ADFG. ADFG conducts annual aerial surveys of approximately 700 streams in southeast Alaska to monitor pink salmon escapement commercial fisheries management (Van Alen 2000). Survey data used in this study covers the period from 1960 to 2023.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 xml:space="preserve">in the vicinity </w:t>
      </w:r>
      <w:r>
        <w:lastRenderedPageBreak/>
        <w:t xml:space="preserve">of Sitka and the Indian River along the ocean-facing coasts of Baranof and Chichagof islands and a few smaller islands in the area. Surveys are conducted via fixed-wing aircraft throughout the late summer pink salmon spawning season.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p>
    <w:p w14:paraId="3BA8B996" w14:textId="77777777" w:rsidR="007F1518" w:rsidRDefault="00670218" w:rsidP="00A017CB">
      <w:pPr>
        <w:spacing w:after="0" w:line="480" w:lineRule="auto"/>
        <w:ind w:firstLine="360"/>
      </w:pPr>
      <w:r>
        <w:t xml:space="preserve">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1993-2024 (n = 45 annual observations). </w:t>
      </w:r>
    </w:p>
    <w:p w14:paraId="1B42280F" w14:textId="69D56C4D" w:rsidR="00670218" w:rsidRDefault="00670218" w:rsidP="00A017CB">
      <w:pPr>
        <w:spacing w:after="0" w:line="480" w:lineRule="auto"/>
        <w:ind w:firstLine="360"/>
      </w:pPr>
      <w:r>
        <w:t xml:space="preserve">SJH also must provide ADFG with publicly available hatchery operation reports each year. These annual reports provide the number of </w:t>
      </w:r>
      <w:r w:rsidR="004217D3">
        <w:t>salmon</w:t>
      </w:r>
      <w:r>
        <w:t xml:space="preserve"> juveniles </w:t>
      </w:r>
      <w:r w:rsidR="004217D3">
        <w:t xml:space="preserve">reared and </w:t>
      </w:r>
      <w:r>
        <w:t>released, estimates of the number of hatchery-raised adult salmon which survive the marine environment</w:t>
      </w:r>
      <w:r w:rsidR="00C64BF8">
        <w:t>, estimates of the hatchery’s contributions to common</w:t>
      </w:r>
      <w:r w:rsidR="004217D3">
        <w:t xml:space="preserve"> </w:t>
      </w:r>
      <w:r w:rsidR="00C64BF8">
        <w:t xml:space="preserve">property </w:t>
      </w:r>
      <w:r w:rsidR="001D51EA">
        <w:t xml:space="preserve">commercial </w:t>
      </w:r>
      <w:r w:rsidR="00C64BF8">
        <w:t>fisheries</w:t>
      </w:r>
      <w:r w:rsidR="001D51EA">
        <w:t xml:space="preserve"> (as well as sport and subsistence fisheries)</w:t>
      </w:r>
      <w:r w:rsidR="00C64BF8">
        <w:t>,</w:t>
      </w:r>
      <w:r>
        <w:t xml:space="preserve"> and </w:t>
      </w:r>
      <w:r w:rsidR="00C64BF8">
        <w:t xml:space="preserve">estimates of numbers of adult fish which </w:t>
      </w:r>
      <w:r>
        <w:t>return to the hatchery</w:t>
      </w:r>
      <w:r w:rsidR="001D51EA">
        <w:t xml:space="preserve"> and are taken as cost recovery or as broodstock</w:t>
      </w:r>
      <w:r>
        <w:t>.</w:t>
      </w:r>
    </w:p>
    <w:p w14:paraId="41E95660" w14:textId="77777777" w:rsidR="00143CB9" w:rsidRPr="00C64BF8" w:rsidRDefault="00143CB9" w:rsidP="00C64BF8">
      <w:pPr>
        <w:spacing w:after="0" w:line="480" w:lineRule="auto"/>
        <w:rPr>
          <w:b/>
          <w:bCs/>
        </w:rPr>
      </w:pPr>
    </w:p>
    <w:p w14:paraId="79048D7D" w14:textId="6F12DE5C" w:rsidR="00670218" w:rsidRPr="00C64BF8" w:rsidRDefault="00670218" w:rsidP="00C64BF8">
      <w:pPr>
        <w:spacing w:after="0" w:line="480" w:lineRule="auto"/>
        <w:rPr>
          <w:b/>
          <w:bCs/>
        </w:rPr>
      </w:pPr>
      <w:r w:rsidRPr="00C64BF8">
        <w:rPr>
          <w:b/>
          <w:bCs/>
        </w:rPr>
        <w:t>MARSS Models</w:t>
      </w:r>
    </w:p>
    <w:p w14:paraId="3EB4F13E" w14:textId="2259B979" w:rsidR="00670218" w:rsidRDefault="00670218" w:rsidP="00C64BF8">
      <w:pPr>
        <w:spacing w:after="0" w:line="480" w:lineRule="auto"/>
      </w:pPr>
      <w:r>
        <w:t xml:space="preserve">Multivariate autoregressive state-space (MARSS) models are well suited for parsing long running time series survey </w:t>
      </w:r>
      <w:r w:rsidR="00A017CB">
        <w:t>data and</w:t>
      </w:r>
      <w:r>
        <w:t xml:space="preserve"> designed to mathematically distinguish observation error from error arising from stochasticity in the underlying state of a system. This feature is useful when parsing data collected by different observers operating in differing conditions (weather, time of day, </w:t>
      </w:r>
      <w:r>
        <w:lastRenderedPageBreak/>
        <w:t xml:space="preserve">time of year, etc.), where those conditions </w:t>
      </w:r>
      <w:r w:rsidR="001F775B">
        <w:t>could potentially</w:t>
      </w:r>
      <w:r>
        <w:t xml:space="preserve"> bias the observations being made. Furthermore, MARSS models allow for gaps in the observed time series, like those present in the Indian River data, while retaining the ability to make inferences about the underlying state (Holmes et al. 2012). </w:t>
      </w:r>
    </w:p>
    <w:p w14:paraId="5A48A7CE" w14:textId="77777777" w:rsidR="00670218" w:rsidRPr="00C64BF8" w:rsidRDefault="00670218" w:rsidP="00C64BF8">
      <w:pPr>
        <w:spacing w:after="0" w:line="480" w:lineRule="auto"/>
        <w:ind w:firstLine="720"/>
        <w:rPr>
          <w:rStyle w:val="mi"/>
          <w:rFonts w:cstheme="minorHAnsi"/>
          <w:bdr w:val="none" w:sz="0" w:space="0" w:color="auto" w:frame="1"/>
          <w:shd w:val="clear" w:color="auto" w:fill="FFFFFF"/>
        </w:rPr>
      </w:pPr>
      <w:r w:rsidRPr="00C64BF8">
        <w:rPr>
          <w:rStyle w:val="mi"/>
          <w:rFonts w:cstheme="minorHAnsi"/>
          <w:bdr w:val="none" w:sz="0" w:space="0" w:color="auto" w:frame="1"/>
          <w:shd w:val="clear" w:color="auto" w:fill="FFFFFF"/>
        </w:rPr>
        <w:t>MARSS models are composed of a process (or state) equation and an observation equation, generically formulated as follows:</w:t>
      </w:r>
    </w:p>
    <w:p w14:paraId="305A6553" w14:textId="77777777" w:rsidR="00670218" w:rsidRDefault="00670218" w:rsidP="00612D9D">
      <w:pPr>
        <w:pStyle w:val="ListParagraph"/>
        <w:spacing w:after="0" w:line="480" w:lineRule="auto"/>
        <w:ind w:left="360"/>
        <w:rPr>
          <w:rStyle w:val="mi"/>
          <w:rFonts w:ascii="MathJax_Math-italic" w:hAnsi="MathJax_Math-italic"/>
          <w:color w:val="333333"/>
          <w:sz w:val="19"/>
          <w:szCs w:val="19"/>
          <w:bdr w:val="none" w:sz="0" w:space="0" w:color="auto" w:frame="1"/>
          <w:shd w:val="clear" w:color="auto" w:fill="FFFFFF"/>
        </w:rPr>
      </w:pPr>
    </w:p>
    <w:p w14:paraId="16EDF2A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4183A24D"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2B3AAC17" w14:textId="77777777" w:rsidR="00143CB9" w:rsidRDefault="00143CB9" w:rsidP="00612D9D">
      <w:pPr>
        <w:pStyle w:val="ListParagraph"/>
        <w:spacing w:after="0" w:line="480" w:lineRule="auto"/>
        <w:ind w:left="360"/>
      </w:pPr>
    </w:p>
    <w:p w14:paraId="0E4FB76A" w14:textId="3EB09B15" w:rsidR="00670218" w:rsidRDefault="00670218" w:rsidP="00C64BF8">
      <w:pPr>
        <w:spacing w:after="0" w:line="480" w:lineRule="auto"/>
      </w:pPr>
      <w:r>
        <w:t xml:space="preserve">In the above, observed data </w:t>
      </w:r>
      <w:proofErr w:type="gramStart"/>
      <w:r>
        <w:t>in a given</w:t>
      </w:r>
      <w:proofErr w:type="gramEnd"/>
      <w:r>
        <w:t xml:space="preserve"> </w:t>
      </w:r>
      <w:proofErr w:type="gramStart"/>
      <w:r>
        <w:t>time period</w:t>
      </w:r>
      <w:proofErr w:type="gramEnd"/>
      <w:r>
        <w:t xml:space="preserv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are used to estimate the underlying state of a system of interest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In the observation equation,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in the observation equation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w:t>
      </w:r>
      <w:r w:rsidR="00612D9D">
        <w:t>all-time</w:t>
      </w:r>
      <w:r>
        <w:t xml:space="preserv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trends in the observation process to be asserted or captured (depending on whether </w:t>
      </w:r>
      <w:r w:rsidRPr="00C64BF8">
        <w:rPr>
          <w:rFonts w:ascii="MathJax_Math-italic" w:eastAsia="Times New Roman" w:hAnsi="MathJax_Math-italic" w:cs="Times New Roman"/>
          <w:kern w:val="0"/>
          <w:sz w:val="26"/>
          <w:szCs w:val="26"/>
          <w:bdr w:val="none" w:sz="0" w:space="0" w:color="auto" w:frame="1"/>
          <w14:ligatures w14:val="none"/>
        </w:rPr>
        <w:t>a</w:t>
      </w:r>
      <w:r>
        <w:t xml:space="preserve"> is specified or estimated), and any correlation in observation error between time series</w:t>
      </w:r>
      <w:r w:rsidR="00232D52">
        <w:t xml:space="preserve"> </w:t>
      </w:r>
      <w:r>
        <w:t xml:space="preserve">is defined by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 xml:space="preserve">the variance-covariance matrix. In the process equation,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w:t>
      </w:r>
      <w:r>
        <w:lastRenderedPageBreak/>
        <w:t xml:space="preserve">underlying mean and how quickly the time series would return to the mean following some perturbation. </w:t>
      </w:r>
      <w:r w:rsidR="00232D52">
        <w:t>T</w:t>
      </w:r>
      <w:r>
        <w:t>he correlation of process error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are covariate data related to the state or sampling procedure respectively, with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D</w:t>
      </w:r>
      <w:r>
        <w:t xml:space="preserve"> capturing the effect of said covariates.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202321FB" w14:textId="3B170FD2" w:rsidR="00670218" w:rsidRDefault="00670218" w:rsidP="00C64BF8">
      <w:pPr>
        <w:spacing w:after="0" w:line="480" w:lineRule="auto"/>
      </w:pPr>
      <w:r>
        <w:t xml:space="preserve">The first stage of this research will attempt to assess whether abundances of pink salmon observed at Indian River are consistent with those abundances seen elsewhere in the region, with no attention paid to the existence of the hatchery. This is accomplished by comparing MARSS model estimates of the underlying population of Indian River pink salmon to populations estimated in ADFG’s 35 </w:t>
      </w:r>
      <w:r w:rsidRPr="003C6E79">
        <w:rPr>
          <w:i/>
          <w:iCs/>
        </w:rPr>
        <w:t>north southeast (outside)</w:t>
      </w:r>
      <w:r>
        <w:t xml:space="preserve"> index streams. </w:t>
      </w:r>
      <w:r w:rsidR="00FC2324">
        <w:t xml:space="preserve">Data is standardized at the stream level so that streams of varying available pink salmon habitat may be directly compared. </w:t>
      </w:r>
      <w:r>
        <w:t xml:space="preserve">These models include covariate controls for ocean climate and the observer of record for each time series observation (in </w:t>
      </w:r>
      <w:r w:rsidRPr="003C6E79">
        <w:rPr>
          <w:i/>
          <w:iCs/>
        </w:rPr>
        <w:t>north southeast (outside)</w:t>
      </w:r>
      <w:r>
        <w:t xml:space="preserve"> index streams the observer was recorded in 77% of observations, with the rest being assigned an unknown observer). The specification of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is of particular importance to this work, as it defines the state against which Indian River pink salmon abundances will be compared. T</w:t>
      </w:r>
      <w:r w:rsidR="00F8028C">
        <w:t xml:space="preserve">he </w:t>
      </w:r>
      <w:r>
        <w:t xml:space="preserve">most parsimonious model as defined by </w:t>
      </w:r>
      <w:proofErr w:type="spellStart"/>
      <w:r>
        <w:t>AIC</w:t>
      </w:r>
      <w:r w:rsidR="00572D2B">
        <w:t>c</w:t>
      </w:r>
      <w:proofErr w:type="spellEnd"/>
      <w:r>
        <w:t xml:space="preserve"> includes a 36x2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matrix, which selects the Indian River as representative of one state and all other streams in the sub-region as representative of a second state</w:t>
      </w:r>
      <w:r w:rsidR="00572D2B">
        <w:t xml:space="preserve"> (</w:t>
      </w:r>
      <w:proofErr w:type="spellStart"/>
      <w:r w:rsidR="00572D2B">
        <w:t>AICc</w:t>
      </w:r>
      <w:proofErr w:type="spellEnd"/>
      <w:r w:rsidR="00572D2B">
        <w:t xml:space="preserve"> is chosen here due to the relatively small number of Indian River observations)</w:t>
      </w:r>
      <w:r>
        <w:t xml:space="preserve">. This is consistent with non-quantitative intuition if indeed the presence of SJH creates conditions that differ from a “natural” state. No trends are estimated for the observation process, but the </w:t>
      </w:r>
      <w:r>
        <w:lastRenderedPageBreak/>
        <w:t>model allows for distinct trends in both underlying states. Covariate data relating to observers (</w:t>
      </w:r>
      <w:r w:rsidRPr="00C64BF8">
        <w:rPr>
          <w:rFonts w:ascii="MathJax_Math-italic" w:eastAsia="Times New Roman" w:hAnsi="MathJax_Math-italic" w:cs="Times New Roman"/>
          <w:b/>
          <w:bCs/>
          <w:kern w:val="0"/>
          <w:sz w:val="26"/>
          <w:szCs w:val="26"/>
          <w:bdr w:val="none" w:sz="0" w:space="0" w:color="auto" w:frame="1"/>
          <w14:ligatures w14:val="none"/>
        </w:rPr>
        <w:t>d</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and ocean climate (</w:t>
      </w:r>
      <w:proofErr w:type="spellStart"/>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t xml:space="preserve">) are included, resulting in the model described below. </w:t>
      </w:r>
    </w:p>
    <w:p w14:paraId="7EDB4CD5" w14:textId="77777777" w:rsidR="00670218" w:rsidRDefault="00670218" w:rsidP="00612D9D">
      <w:pPr>
        <w:pStyle w:val="ListParagraph"/>
        <w:spacing w:after="0" w:line="480" w:lineRule="auto"/>
        <w:ind w:left="360"/>
      </w:pPr>
    </w:p>
    <w:p w14:paraId="3E1F7F7D" w14:textId="77777777"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t xml:space="preserve">Observation equation: </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proofErr w:type="gramEnd"/>
      <w:r w:rsidRPr="00530885">
        <w:rPr>
          <w:rFonts w:ascii="MathJax_Main" w:eastAsia="Times New Roman" w:hAnsi="MathJax_Main" w:cs="Times New Roman"/>
          <w:kern w:val="0"/>
          <w:sz w:val="26"/>
          <w:szCs w:val="26"/>
          <w:bdr w:val="none" w:sz="0" w:space="0" w:color="auto" w:frame="1"/>
          <w14:ligatures w14:val="none"/>
        </w:rPr>
        <w:t>)</w:t>
      </w:r>
    </w:p>
    <w:p w14:paraId="596ABED7" w14:textId="77777777"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t>Process/state equation:</w:t>
      </w:r>
      <w:r>
        <w:tab/>
      </w:r>
      <w:r>
        <w:tab/>
      </w:r>
      <w:proofErr w:type="spellStart"/>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1747E">
        <w:rPr>
          <w:rFonts w:ascii="MathJax_Math-italic" w:eastAsia="Times New Roman" w:hAnsi="MathJax_Math-italic" w:cs="Times New Roman"/>
          <w:kern w:val="0"/>
          <w:sz w:val="20"/>
          <w:szCs w:val="20"/>
          <w:bdr w:val="none" w:sz="0" w:space="0" w:color="auto" w:frame="1"/>
          <w14:ligatures w14:val="none"/>
        </w:rPr>
        <w:t xml:space="preserve">, where </w:t>
      </w:r>
      <w:proofErr w:type="spellStart"/>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proofErr w:type="spellEnd"/>
      <w:r w:rsidRPr="00530885">
        <w:rPr>
          <w:rFonts w:ascii="MathJax_Main" w:eastAsia="Times New Roman" w:hAnsi="MathJax_Main" w:cs="Times New Roman"/>
          <w:kern w:val="0"/>
          <w:sz w:val="26"/>
          <w:szCs w:val="26"/>
          <w:bdr w:val="none" w:sz="0" w:space="0" w:color="auto" w:frame="1"/>
          <w14:ligatures w14:val="none"/>
        </w:rPr>
        <w:t>(</w:t>
      </w:r>
      <w:proofErr w:type="gramStart"/>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proofErr w:type="gramEnd"/>
      <w:r w:rsidRPr="00530885">
        <w:rPr>
          <w:rFonts w:ascii="MathJax_Main" w:eastAsia="Times New Roman" w:hAnsi="MathJax_Main" w:cs="Times New Roman"/>
          <w:kern w:val="0"/>
          <w:sz w:val="26"/>
          <w:szCs w:val="26"/>
          <w:bdr w:val="none" w:sz="0" w:space="0" w:color="auto" w:frame="1"/>
          <w14:ligatures w14:val="none"/>
        </w:rPr>
        <w:t>)</w:t>
      </w:r>
    </w:p>
    <w:p w14:paraId="6F28358A" w14:textId="77777777" w:rsidR="00670218" w:rsidRDefault="00670218" w:rsidP="00612D9D">
      <w:pPr>
        <w:pStyle w:val="ListParagraph"/>
        <w:spacing w:after="0" w:line="480" w:lineRule="auto"/>
        <w:ind w:left="360"/>
      </w:pPr>
    </w:p>
    <w:p w14:paraId="08EB7337" w14:textId="4FD0B48D" w:rsidR="00344905" w:rsidRDefault="003C6E79" w:rsidP="003C6E79">
      <w:pPr>
        <w:spacing w:after="0" w:line="480" w:lineRule="auto"/>
        <w:ind w:firstLine="720"/>
      </w:pPr>
      <w:r>
        <w:t xml:space="preserve">Once fitted, this model estimates two time series representing underlying states of pink salmon abundance, one representing Indian River, and the other representing a regional average state of pink salmon abundance in index streams (recall that index streams are selected by ADFG due to their not being heavily influenced by human activity). </w:t>
      </w:r>
      <w:r w:rsidR="00FC2324">
        <w:t xml:space="preserve">These two resulting time series are comparable due to the model being trained on standardized data. </w:t>
      </w:r>
      <w:r>
        <w:t xml:space="preserve">These two time series are then compared both visually and statistically, to assess whether pink salmon abundances at Indian River show significant statistical differences from an average </w:t>
      </w:r>
      <w:r w:rsidRPr="003C6E79">
        <w:rPr>
          <w:i/>
          <w:iCs/>
        </w:rPr>
        <w:t>north southeast (outside)</w:t>
      </w:r>
      <w:r>
        <w:t xml:space="preserve"> index stream.</w:t>
      </w:r>
      <w:r w:rsidR="006B5A94">
        <w:t xml:space="preserve"> </w:t>
      </w:r>
    </w:p>
    <w:p w14:paraId="4426ED39" w14:textId="6D5D47FF" w:rsidR="00670218" w:rsidRDefault="006B5A94" w:rsidP="003C6E79">
      <w:pPr>
        <w:spacing w:after="0" w:line="480" w:lineRule="auto"/>
        <w:ind w:firstLine="720"/>
      </w:pPr>
      <w:r>
        <w:t xml:space="preserve">While there is no single statistical test that evaluates </w:t>
      </w:r>
      <w:r w:rsidR="00344905">
        <w:t>whether</w:t>
      </w:r>
      <w:r>
        <w:t xml:space="preserve"> two time series differ significantly, characteristics of time series that may be statistically compared include long-term trends, variance, mean value, as well as the number of lagged time steps displaying autocorrelation with any given observation.</w:t>
      </w:r>
      <w:r>
        <w:t xml:space="preserve"> Comparing the variances and means of two time series in a meaningful way </w:t>
      </w:r>
      <w:r w:rsidR="00344905">
        <w:t>requires</w:t>
      </w:r>
      <w:r>
        <w:t xml:space="preserve"> that both time series be stationary, meaning that the variance, mean, and autocorrelation are not changing over time (i.e. the data’s behavior is independent of </w:t>
      </w:r>
      <w:r w:rsidR="00344905">
        <w:t xml:space="preserve">time). </w:t>
      </w:r>
      <w:r w:rsidR="0080336B">
        <w:t xml:space="preserve">This property </w:t>
      </w:r>
      <w:r w:rsidR="00731AF8">
        <w:t>is</w:t>
      </w:r>
      <w:r w:rsidR="0080336B">
        <w:t xml:space="preserve"> evaluated using an Augmented Dickey-Fuller (ADF) test, which determines if a time series is stationary by evaluating the null hypothesis of a unit root </w:t>
      </w:r>
      <w:r w:rsidR="0080336B">
        <w:lastRenderedPageBreak/>
        <w:t xml:space="preserve">being present, or by using a Kwiatkowski-Phillips-Schmidt-Shin (KPSS) test, which determines if a time series is stationary around a linear trend. </w:t>
      </w:r>
      <w:r w:rsidR="00344905">
        <w:t>Any time series which includes some long-term trend or seasonality is likely not stationary, and so it is commonplace to difference time series data by taking the difference between successive observations to “detrend” the data (</w:t>
      </w:r>
      <w:proofErr w:type="spellStart"/>
      <w:r w:rsidR="00344905">
        <w:rPr>
          <w:rFonts w:cstheme="minorHAnsi"/>
        </w:rPr>
        <w:t>Δ</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proofErr w:type="spellEnd"/>
      <w:r w:rsidR="00344905">
        <w:rPr>
          <w:rFonts w:cstheme="minorHAnsi"/>
        </w:rPr>
        <w:t xml:space="preserve"> = </w:t>
      </w:r>
      <w:proofErr w:type="spellStart"/>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proofErr w:type="spellEnd"/>
      <w:r w:rsidR="00344905">
        <w:rPr>
          <w:rFonts w:cstheme="minorHAnsi"/>
        </w:rPr>
        <w:t xml:space="preserve"> - </w:t>
      </w:r>
      <w:r w:rsidR="00344905" w:rsidRPr="00344905">
        <w:rPr>
          <w:rFonts w:ascii="MathJax_Math-italic" w:eastAsia="Times New Roman" w:hAnsi="MathJax_Math-italic" w:cs="Times New Roman"/>
          <w:kern w:val="0"/>
          <w:sz w:val="26"/>
          <w:szCs w:val="26"/>
          <w:bdr w:val="none" w:sz="0" w:space="0" w:color="auto" w:frame="1"/>
          <w14:ligatures w14:val="none"/>
        </w:rPr>
        <w:t>y</w:t>
      </w:r>
      <w:r w:rsidR="00344905"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344905">
        <w:rPr>
          <w:rFonts w:ascii="MathJax_Math-italic" w:eastAsia="Times New Roman" w:hAnsi="MathJax_Math-italic" w:cs="Times New Roman"/>
          <w:kern w:val="0"/>
          <w:sz w:val="26"/>
          <w:szCs w:val="26"/>
          <w:bdr w:val="none" w:sz="0" w:space="0" w:color="auto" w:frame="1"/>
          <w:vertAlign w:val="subscript"/>
          <w14:ligatures w14:val="none"/>
        </w:rPr>
        <w:t>-1</w:t>
      </w:r>
      <w:r w:rsidR="00344905">
        <w:t xml:space="preserve">). </w:t>
      </w:r>
      <w:r w:rsidR="00731AF8">
        <w:t xml:space="preserve">Once differenced, </w:t>
      </w:r>
      <w:r w:rsidR="00344905">
        <w:t>mean</w:t>
      </w:r>
      <w:r w:rsidR="00731AF8">
        <w:t>s</w:t>
      </w:r>
      <w:r w:rsidR="00344905">
        <w:t xml:space="preserve"> and variance</w:t>
      </w:r>
      <w:r w:rsidR="00731AF8">
        <w:t>s</w:t>
      </w:r>
      <w:r w:rsidR="00344905">
        <w:t xml:space="preserve"> of t</w:t>
      </w:r>
      <w:r w:rsidR="00731AF8">
        <w:t>hese time series may</w:t>
      </w:r>
      <w:r w:rsidR="00344905">
        <w:t xml:space="preserve"> then </w:t>
      </w:r>
      <w:r w:rsidR="00731AF8">
        <w:t>be</w:t>
      </w:r>
      <w:r w:rsidR="00344905">
        <w:t xml:space="preserve"> compared</w:t>
      </w:r>
      <w:r w:rsidR="000D21FB">
        <w:t xml:space="preserve"> using a t-test and F-test respectively</w:t>
      </w:r>
      <w:r w:rsidR="00344905">
        <w:t>.</w:t>
      </w:r>
      <w:r w:rsidR="000D21FB">
        <w:t xml:space="preserve"> The trends can likewise be estimated using simple linear regression and compared using Welch’s t-test.</w:t>
      </w:r>
    </w:p>
    <w:p w14:paraId="24677741" w14:textId="77777777" w:rsidR="00670218" w:rsidRDefault="00670218" w:rsidP="00612D9D">
      <w:pPr>
        <w:pStyle w:val="ListParagraph"/>
        <w:spacing w:after="0" w:line="480" w:lineRule="auto"/>
        <w:ind w:left="360"/>
      </w:pPr>
    </w:p>
    <w:p w14:paraId="3056C065" w14:textId="77777777" w:rsidR="00670218" w:rsidRPr="00C64BF8" w:rsidRDefault="00670218" w:rsidP="00C64BF8">
      <w:pPr>
        <w:spacing w:after="0" w:line="480" w:lineRule="auto"/>
        <w:rPr>
          <w:b/>
          <w:bCs/>
        </w:rPr>
      </w:pPr>
      <w:r w:rsidRPr="00C64BF8">
        <w:rPr>
          <w:b/>
          <w:bCs/>
        </w:rPr>
        <w:t>Effect of Hatchery Operations</w:t>
      </w:r>
    </w:p>
    <w:p w14:paraId="0B1FBCFC" w14:textId="77777777" w:rsidR="00670218" w:rsidRDefault="00670218" w:rsidP="00C64BF8">
      <w:pPr>
        <w:spacing w:after="0" w:line="480" w:lineRule="auto"/>
      </w:pPr>
      <w:r>
        <w:t>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w:t>
      </w:r>
      <w:proofErr w:type="spellStart"/>
      <w:r>
        <w:t>Stopha</w:t>
      </w:r>
      <w:proofErr w:type="spellEnd"/>
      <w:r>
        <w:t xml:space="preserve"> 2015). </w:t>
      </w:r>
    </w:p>
    <w:p w14:paraId="670E76FF" w14:textId="77777777" w:rsidR="00670218" w:rsidRDefault="00670218" w:rsidP="00C64BF8">
      <w:pPr>
        <w:spacing w:after="0" w:line="480" w:lineRule="auto"/>
        <w:ind w:firstLine="720"/>
      </w:pPr>
      <w:r>
        <w:t xml:space="preserve">This research seeks to take advantage of these distinct time periods by utilizing a difference-in-difference (DD) framework. This quasi-experimental approach is designed to assess the impact of an intervention (in this case the operations of SJH) on an outcome of interest (pink salmon abundance at Indian River). DD modeling compares a treatment group to </w:t>
      </w:r>
      <w:r>
        <w:lastRenderedPageBreak/>
        <w:t>a control group across two time periods, pre- and post- intervention. The general structure of a difference-in-difference model is as follows:</w:t>
      </w:r>
    </w:p>
    <w:p w14:paraId="30F80B79" w14:textId="77777777" w:rsidR="00670218" w:rsidRDefault="00670218" w:rsidP="00612D9D">
      <w:pPr>
        <w:pStyle w:val="ListParagraph"/>
        <w:spacing w:after="0" w:line="480" w:lineRule="auto"/>
        <w:ind w:left="360"/>
      </w:pPr>
    </w:p>
    <w:p w14:paraId="36DCFDF2" w14:textId="77777777" w:rsidR="00670218" w:rsidRPr="00530885" w:rsidRDefault="00670218" w:rsidP="00612D9D">
      <w:pPr>
        <w:spacing w:after="0" w:line="480" w:lineRule="auto"/>
        <w:jc w:val="center"/>
        <w:rPr>
          <w:rFonts w:ascii="Times New Roman" w:eastAsia="Times New Roman" w:hAnsi="Times New Roman" w:cs="Times New Roman"/>
          <w:kern w:val="0"/>
          <w:sz w:val="26"/>
          <w:szCs w:val="26"/>
          <w14:ligatures w14:val="none"/>
        </w:rPr>
      </w:pPr>
      <w:proofErr w:type="spellStart"/>
      <w:proofErr w:type="gramStart"/>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proofErr w:type="gram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proofErr w:type="gramEnd"/>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w:t>
      </w:r>
      <w:proofErr w:type="spellStart"/>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rPr>
          <w:rFonts w:ascii="MathJax_Math-italic" w:eastAsia="Times New Roman" w:hAnsi="MathJax_Math-italic" w:cs="Times New Roman"/>
          <w:kern w:val="0"/>
          <w:sz w:val="26"/>
          <w:szCs w:val="26"/>
          <w:bdr w:val="none" w:sz="0" w:space="0" w:color="auto" w:frame="1"/>
          <w:vertAlign w:val="subscript"/>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proofErr w:type="spellStart"/>
      <w:proofErr w:type="gramStart"/>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p>
    <w:p w14:paraId="6CAEED60" w14:textId="77777777" w:rsidR="00143CB9" w:rsidRDefault="00143CB9" w:rsidP="00612D9D">
      <w:pPr>
        <w:pStyle w:val="ListParagraph"/>
        <w:spacing w:after="0" w:line="480" w:lineRule="auto"/>
        <w:ind w:left="360"/>
      </w:pPr>
    </w:p>
    <w:p w14:paraId="5706F059" w14:textId="04E8A92E" w:rsidR="00670218" w:rsidRDefault="00670218" w:rsidP="00C64BF8">
      <w:pPr>
        <w:spacing w:after="0" w:line="480" w:lineRule="auto"/>
      </w:pPr>
      <w:r>
        <w:t xml:space="preserve">In the above, </w:t>
      </w:r>
      <w:proofErr w:type="spellStart"/>
      <w:r w:rsidRPr="00C64BF8">
        <w:rPr>
          <w:rFonts w:ascii="MathJax_Math-italic" w:eastAsia="Times New Roman" w:hAnsi="MathJax_Math-italic" w:cs="Times New Roman"/>
          <w:kern w:val="0"/>
          <w:sz w:val="26"/>
          <w:szCs w:val="26"/>
          <w:bdr w:val="none" w:sz="0" w:space="0" w:color="auto" w:frame="1"/>
          <w14:ligatures w14:val="none"/>
        </w:rPr>
        <w:t>i</w:t>
      </w:r>
      <w:proofErr w:type="spellEnd"/>
      <w:r>
        <w:t xml:space="preserve"> indexes whether an observation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part of the treatment group and equal to 0 otherwise. Similarly</w:t>
      </w:r>
      <w:r w:rsidR="003C5745">
        <w:t>,</w:t>
      </w:r>
      <w:r>
        <w:t xml:space="preserve"> </w:t>
      </w:r>
      <w:proofErr w:type="spellStart"/>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proofErr w:type="spellEnd"/>
      <w:r>
        <w:t xml:space="preserve"> is equal to 1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after treatment is applied, and equal to 0 when </w:t>
      </w:r>
      <w:proofErr w:type="spellStart"/>
      <w:proofErr w:type="gramStart"/>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proofErr w:type="spellEnd"/>
      <w:proofErr w:type="gramEnd"/>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Additional control covariates may be included to further isolate the effects of interest. Crucially, input data must cover both a control and treatment group, as well as time periods before and after the intervention of interest. It is important to note that in this case, and indeed in almost every application of DD modeling, true controls in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is bolstered through the application of event studies which evaluate whether trends in control and treatment groups are mathematically similar in the pre-treatment period (Cunningham 2021).</w:t>
      </w:r>
    </w:p>
    <w:p w14:paraId="5D16AA19" w14:textId="431A9869" w:rsidR="00670218" w:rsidRDefault="00670218" w:rsidP="00C64BF8">
      <w:pPr>
        <w:spacing w:after="0" w:line="480" w:lineRule="auto"/>
        <w:ind w:firstLine="360"/>
      </w:pPr>
      <w:r>
        <w:lastRenderedPageBreak/>
        <w:t>Applying a DD framework to this research, observations of pink salmon abundances at Indian River are assigned to the treatment group while observations at</w:t>
      </w:r>
      <w:r w:rsidR="00044435">
        <w:t xml:space="preserve"> ADFG</w:t>
      </w:r>
      <w:r w:rsidR="00C874A9">
        <w:t xml:space="preserve">’s other </w:t>
      </w:r>
      <w:r w:rsidR="00C874A9" w:rsidRPr="003C6E79">
        <w:rPr>
          <w:i/>
          <w:iCs/>
        </w:rPr>
        <w:t>north southeast (outside)</w:t>
      </w:r>
      <w:r w:rsidR="00C874A9">
        <w:t xml:space="preserve"> </w:t>
      </w:r>
      <w:r w:rsidR="00044435">
        <w:t xml:space="preserve">index streams </w:t>
      </w:r>
      <w:r>
        <w:t xml:space="preserve">form the control group. Such a framework will also be used to evaluate pre- and post-treatment variance in year-to-year abundances. Pre- and post-1980 will be evaluated to indicate the treatment period (allowing a couple of years for hatchery operations to ramp up). A statistically significant estimate of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xml:space="preserve"> greater than 0 would indicate that SJH operations are exerting upward pressure on Indian River pink salmon abundance. However, even if an estimate is found to be statistically significant, the size of the effect must also be considered, as even a significant effect may not be responsible for a large impact on salmon abundance. A separate specification of the DD model will include an indicator variable related to periods pre- and post-2010, to assess the impact of heightened pink salmon production. </w:t>
      </w:r>
      <w:r w:rsidR="00C16190">
        <w:t xml:space="preserve">As with the MARSS models of regional abundance, covariate data relating to observers and ocean climate are included in model specifications, with model fit evaluated using AIC. </w:t>
      </w:r>
      <w:r w:rsidR="00572D2B">
        <w:t>The best fit models are then evaluated to ensure that treatment and control groups are mathematically similar during the pre-treatment period</w:t>
      </w:r>
      <w:r w:rsidR="009721BE">
        <w:t xml:space="preserve"> (if these groups significantly differ, a synthetic control group may be constructed using a weighted average of untreated streams </w:t>
      </w:r>
      <w:r w:rsidR="00F12190">
        <w:t>to</w:t>
      </w:r>
      <w:r w:rsidR="009721BE">
        <w:t xml:space="preserve"> match the Indian River’s pre-treatment trend)</w:t>
      </w:r>
      <w:r w:rsidR="00572D2B">
        <w:t>.</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7777777" w:rsidR="00F4350E" w:rsidRDefault="004B019B" w:rsidP="00C64BF8">
      <w:pPr>
        <w:spacing w:after="0" w:line="480" w:lineRule="auto"/>
      </w:pPr>
      <w:r>
        <w:t>Finally</w:t>
      </w:r>
      <w:r w:rsidR="00670218">
        <w:t xml:space="preserve">, this research will move beyond the effect of SJH hatchery operations and focus on the effect of the number of fish released by the hatchery each year. While scarcity of available stray rate data makes a direct analysis of the impacts of straying impossible, MARSS models can </w:t>
      </w:r>
      <w:r w:rsidR="00670218">
        <w:lastRenderedPageBreak/>
        <w:t xml:space="preserve">estimate the impacts of hatchery releases on pink salmon abundance at Indian River (as well as the inverse). It is important to consider the effect of straying both to and from Indian River, as both would influence the abundances observed in stream. This can be accomplished using a MARSS model which incorporates observations of Indian River escapement, as well as estimates of adult spawners returning to SJH. 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model will estimate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670218">
        <w:t>.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 </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proofErr w:type="spellStart"/>
      <w:proofErr w:type="gramStart"/>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proofErr w:type="spellEnd"/>
      <w:proofErr w:type="gramEnd"/>
      <w:r w:rsidR="00D56989">
        <w:t xml:space="preserve">) to be composed of smolts reared from the previous 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5"/>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lastRenderedPageBreak/>
        <w:t xml:space="preserve">Of particular interest </w:t>
      </w:r>
      <w:r w:rsidR="00E65F33">
        <w:t>is the</w:t>
      </w:r>
      <w:r>
        <w:t xml:space="preserve"> term </w:t>
      </w:r>
      <w:proofErr w:type="spellStart"/>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proofErr w:type="spellEnd"/>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1"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2D97819" w:rsidR="00C3066D" w:rsidRDefault="00C3066D" w:rsidP="00F4350E">
      <w:pPr>
        <w:spacing w:after="0" w:line="480" w:lineRule="auto"/>
      </w:pPr>
      <w:r>
        <w:t>Figures 4 &amp; 5 describe the underlying state of Indian River pink salmon abundance relative to the underlying state representing an average pink salmon index stream in the surrounding region (even- and odd-year runs respectively). In each case, Indian River abundances at the beginning of the time series are below the regional average abundance. Over the course of the time series, Indian River abundances for both runs “catch-up” to what would be expected of an average pink salmon index stream</w:t>
      </w:r>
      <w:r w:rsidR="001A405D">
        <w:t>, although odd-year Indian River runs take some years to accomplish this and do not exceed this statistical average until 1997. From the middle 1990s onward, both runs are closely aligned with the average index stream, exceeding the average in some years and falling short in others, but in either case not by an amount that appears drastic when visually appraised.</w:t>
      </w:r>
    </w:p>
    <w:p w14:paraId="11C443BF" w14:textId="28C8E6F0" w:rsidR="001A405D" w:rsidRDefault="006A0FFE" w:rsidP="00F4350E">
      <w:pPr>
        <w:spacing w:after="0" w:line="480" w:lineRule="auto"/>
      </w:pPr>
      <w:r>
        <w:tab/>
        <w:t xml:space="preserve">Figures 4 &amp; 5 would seem to indicate that in pink salmon abundances observed in recent years at Indian River have not been out of the ordinary (and indeed, odd-year runs may have been considerably below average density from the 1960s until about 1995). However, plotting these time series is not enough to conclusively state that abundances at Indian River do not </w:t>
      </w:r>
      <w:r>
        <w:lastRenderedPageBreak/>
        <w:t xml:space="preserve">differ from those that would be expected of an average pink salmon index stream in the region in a statistically significant way. </w:t>
      </w:r>
      <w:r w:rsidR="00344905">
        <w:t xml:space="preserve">Table 1 describes the results of various statistical tests performed to evaluate the difference between these two time series for both even- and odd-year runs. </w:t>
      </w:r>
      <w:r w:rsidR="0080336B">
        <w:t xml:space="preserve">All time series were found to be non-stationary when evaluated using ADF tests, but passed KPSS tests, suggesting they were each stationary around some trend (since these are annually observed data, seasonality was not considered).  </w:t>
      </w:r>
      <w:r w:rsidR="00C61B5A">
        <w:t xml:space="preserve">When differenced, time series describing even-year runs were found stationary by both statistical tests. However, time series describing odd-year runs required </w:t>
      </w:r>
      <w:r w:rsidR="000D21FB">
        <w:t>third</w:t>
      </w:r>
      <w:r w:rsidR="00C61B5A">
        <w:t xml:space="preserve"> order differencing</w:t>
      </w:r>
      <w:r w:rsidR="00421CE7">
        <w:t xml:space="preserve"> </w:t>
      </w:r>
      <w:r w:rsidR="00421CE7">
        <w:t>(</w:t>
      </w:r>
      <w:r w:rsidR="00421CE7">
        <w:rPr>
          <w:rFonts w:cstheme="minorHAnsi"/>
        </w:rPr>
        <w:t>Δ</w:t>
      </w:r>
      <w:r w:rsidR="00421CE7" w:rsidRPr="00421CE7">
        <w:rPr>
          <w:rFonts w:cstheme="minorHAnsi"/>
          <w:vertAlign w:val="superscript"/>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w:t>
      </w:r>
      <w:r w:rsidR="00421CE7">
        <w:rPr>
          <w:rFonts w:cstheme="minorHAnsi"/>
        </w:rPr>
        <w:t xml:space="preserve">= </w:t>
      </w:r>
      <w:r w:rsidR="00421CE7">
        <w:rPr>
          <w:rFonts w:cstheme="minorHAnsi"/>
        </w:rPr>
        <w:t>Δ</w:t>
      </w:r>
      <w:r w:rsidR="00421CE7">
        <w:rPr>
          <w:rFonts w:cstheme="minorHAnsi"/>
        </w:rPr>
        <w:t>(</w:t>
      </w:r>
      <w:r w:rsidR="00421CE7">
        <w:rPr>
          <w:rFonts w:cstheme="minorHAnsi"/>
        </w:rPr>
        <w:t>Δ</w:t>
      </w:r>
      <w:r w:rsidR="00421CE7">
        <w:rPr>
          <w:rFonts w:cstheme="minorHAnsi"/>
          <w:vertAlign w:val="superscript"/>
        </w:rPr>
        <w:t>2</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cstheme="minorHAnsi"/>
        </w:rPr>
        <w:t xml:space="preserve">) </w:t>
      </w:r>
      <w:r w:rsidR="00421CE7">
        <w:rPr>
          <w:rFonts w:cstheme="minorHAnsi"/>
        </w:rPr>
        <w:t xml:space="preserve">= </w:t>
      </w:r>
      <w:proofErr w:type="spellStart"/>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proofErr w:type="spellEnd"/>
      <w:r w:rsidR="00421CE7">
        <w:rPr>
          <w:rFonts w:cstheme="minorHAnsi"/>
        </w:rPr>
        <w:t xml:space="preserve"> - </w:t>
      </w:r>
      <w:r w:rsidR="00421CE7">
        <w:rPr>
          <w:rFonts w:cstheme="minorHAnsi"/>
        </w:rPr>
        <w:t>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-1</w:t>
      </w:r>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 </w:t>
      </w:r>
      <w:r w:rsidR="00421CE7">
        <w:rPr>
          <w:rFonts w:cstheme="minorHAnsi"/>
        </w:rPr>
        <w:t>- 3</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w:t>
      </w:r>
      <w:r w:rsidR="00421CE7">
        <w:rPr>
          <w:rFonts w:ascii="MathJax_Math-italic" w:eastAsia="Times New Roman" w:hAnsi="MathJax_Math-italic" w:cs="Times New Roman"/>
          <w:kern w:val="0"/>
          <w:sz w:val="26"/>
          <w:szCs w:val="26"/>
          <w:bdr w:val="none" w:sz="0" w:space="0" w:color="auto" w:frame="1"/>
          <w:vertAlign w:val="subscript"/>
          <w14:ligatures w14:val="none"/>
        </w:rPr>
        <w:t>2</w:t>
      </w:r>
      <w:r w:rsidR="00C61B5A">
        <w:t xml:space="preserve"> </w:t>
      </w:r>
      <w:r w:rsidR="00421CE7">
        <w:t xml:space="preserve">- </w:t>
      </w:r>
      <w:r w:rsidR="00421CE7" w:rsidRPr="00344905">
        <w:rPr>
          <w:rFonts w:ascii="MathJax_Math-italic" w:eastAsia="Times New Roman" w:hAnsi="MathJax_Math-italic" w:cs="Times New Roman"/>
          <w:kern w:val="0"/>
          <w:sz w:val="26"/>
          <w:szCs w:val="26"/>
          <w:bdr w:val="none" w:sz="0" w:space="0" w:color="auto" w:frame="1"/>
          <w14:ligatures w14:val="none"/>
        </w:rPr>
        <w:t>y</w:t>
      </w:r>
      <w:r w:rsidR="00421CE7" w:rsidRPr="00344905">
        <w:rPr>
          <w:rFonts w:ascii="MathJax_Math-italic" w:eastAsia="Times New Roman" w:hAnsi="MathJax_Math-italic" w:cs="Times New Roman"/>
          <w:kern w:val="0"/>
          <w:sz w:val="26"/>
          <w:szCs w:val="26"/>
          <w:bdr w:val="none" w:sz="0" w:space="0" w:color="auto" w:frame="1"/>
          <w:vertAlign w:val="subscript"/>
          <w14:ligatures w14:val="none"/>
        </w:rPr>
        <w:t>t</w:t>
      </w:r>
      <w:r w:rsidR="00421CE7">
        <w:rPr>
          <w:rFonts w:ascii="MathJax_Math-italic" w:eastAsia="Times New Roman" w:hAnsi="MathJax_Math-italic" w:cs="Times New Roman"/>
          <w:kern w:val="0"/>
          <w:sz w:val="26"/>
          <w:szCs w:val="26"/>
          <w:bdr w:val="none" w:sz="0" w:space="0" w:color="auto" w:frame="1"/>
          <w:vertAlign w:val="subscript"/>
          <w14:ligatures w14:val="none"/>
        </w:rPr>
        <w:t>-</w:t>
      </w:r>
      <w:proofErr w:type="gramStart"/>
      <w:r w:rsidR="00421CE7">
        <w:rPr>
          <w:rFonts w:ascii="MathJax_Math-italic" w:eastAsia="Times New Roman" w:hAnsi="MathJax_Math-italic" w:cs="Times New Roman"/>
          <w:kern w:val="0"/>
          <w:sz w:val="26"/>
          <w:szCs w:val="26"/>
          <w:bdr w:val="none" w:sz="0" w:space="0" w:color="auto" w:frame="1"/>
          <w:vertAlign w:val="subscript"/>
          <w14:ligatures w14:val="none"/>
        </w:rPr>
        <w:t xml:space="preserve">3 </w:t>
      </w:r>
      <w:r w:rsidR="00421CE7">
        <w:t>)</w:t>
      </w:r>
      <w:proofErr w:type="gramEnd"/>
      <w:r w:rsidR="00421CE7">
        <w:t xml:space="preserve"> before ADF tests determined them to be stationary. </w:t>
      </w:r>
      <w:r w:rsidR="00F66F22">
        <w:t xml:space="preserve">This level of differencing indicates the need to compensate for some complex cubic trend in the time series and risks over-differencing, which may introduce noise and dampen information related to long-term trends. </w:t>
      </w:r>
      <w:r w:rsidR="000D21FB">
        <w:t>While initial (first order) differencing of the odd-year time series did not yield statistically stationary results, ADF tests estimated test statistics within 20% of the significance thresholds (i.e., &gt;80% confidence these time series are stationary). Both sets of differenced odd-year time series (first order and third order) are compared in Table 1.</w:t>
      </w:r>
    </w:p>
    <w:p w14:paraId="09E780EF" w14:textId="65486A43" w:rsidR="00FC2324" w:rsidRPr="00C3066D" w:rsidRDefault="000D21FB" w:rsidP="00F4350E">
      <w:pPr>
        <w:spacing w:after="0" w:line="480" w:lineRule="auto"/>
      </w:pPr>
      <w:r>
        <w:tab/>
        <w:t>For even-year runs, no significant lags are observed once the time series are differenced to compensate for linear trends. The means and variances of these differenced time series are not found to significantly differ</w:t>
      </w:r>
      <w:r w:rsidR="00FC2324">
        <w:t>, and Welch’s t-test finds that the trends are likewise not statistically different</w:t>
      </w:r>
      <w:r>
        <w:t>.</w:t>
      </w:r>
      <w:r w:rsidR="00FC2324">
        <w:t xml:space="preserve"> Based on these four characteristics it may be said with some confidence that even-year pink salmon abundances observed at Indian River are very much in line with those that might be expected of an average stream in the </w:t>
      </w:r>
      <w:r w:rsidR="00FC2324" w:rsidRPr="003C6E79">
        <w:rPr>
          <w:i/>
          <w:iCs/>
        </w:rPr>
        <w:t>north southeast (outside)</w:t>
      </w:r>
      <w:r w:rsidR="00FC2324">
        <w:t xml:space="preserve"> region. The picture is much less clear for odd-year runs. </w:t>
      </w:r>
      <w:r w:rsidR="00B50797">
        <w:t xml:space="preserve">While both the first and third order differenced </w:t>
      </w:r>
      <w:r w:rsidR="00B50797">
        <w:lastRenderedPageBreak/>
        <w:t xml:space="preserve">time series show no significant difference in terms of mean or variance, the trends estimated in both cases are not the same. Additionally, both sets of time series show significant first lags, meaning there is likely some persistent autocorrelation, even despite the third order differencing! It is therefore impossible to conclude that odd-year pink salmon abundances observed at Indian River are in line with regional expectations. Returning to Figure 5, this may be due to the </w:t>
      </w:r>
      <w:r w:rsidR="005B1667">
        <w:t xml:space="preserve">large </w:t>
      </w:r>
      <w:r w:rsidR="00B50797">
        <w:t xml:space="preserve">differences between time series observed during the period from 1961-1995. </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4A2F5397" w14:textId="77777777" w:rsidR="00C3066D" w:rsidRPr="00C3066D" w:rsidRDefault="00C3066D" w:rsidP="00F4350E">
      <w:pPr>
        <w:spacing w:after="0" w:line="480" w:lineRule="auto"/>
      </w:pPr>
    </w:p>
    <w:p w14:paraId="6D6BBACD" w14:textId="77777777" w:rsidR="00C3066D" w:rsidRPr="00C64BF8" w:rsidRDefault="00C3066D"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77777777" w:rsidR="00C3066D" w:rsidRDefault="00C3066D" w:rsidP="008C144E">
      <w:pPr>
        <w:spacing w:after="0" w:line="480" w:lineRule="auto"/>
      </w:pPr>
    </w:p>
    <w:p w14:paraId="791283B6" w14:textId="77777777" w:rsidR="00344905" w:rsidRDefault="00344905" w:rsidP="008C144E">
      <w:pPr>
        <w:spacing w:after="0" w:line="480" w:lineRule="auto"/>
      </w:pPr>
    </w:p>
    <w:p w14:paraId="77A05E8D" w14:textId="702D8848" w:rsidR="00670218" w:rsidRDefault="00670218" w:rsidP="008C144E">
      <w:pPr>
        <w:spacing w:after="0" w:line="480" w:lineRule="auto"/>
      </w:pPr>
      <w:r>
        <w:t xml:space="preserve">The numbers of pink salmon returning to Indian River are higher in most years than what might be expected for a stream of a given length in the </w:t>
      </w:r>
      <w:r w:rsidRPr="003C6E79">
        <w:rPr>
          <w:i/>
          <w:iCs/>
        </w:rPr>
        <w:t>north southeast (outside)</w:t>
      </w:r>
      <w:r>
        <w:t xml:space="preserve"> sub-region (Figure 3). This does not necessarily mean that SJH is driving this behavior, and indeed, if all streams were modeled as representative of individual underlying states, there will likely be a range of behaviors distributed around some general trend. Estimating </w:t>
      </w:r>
      <w:r w:rsidRPr="008C144E">
        <w:rPr>
          <w:rFonts w:ascii="MathJax_Math-italic" w:eastAsia="Times New Roman" w:hAnsi="MathJax_Math-italic" w:cs="Times New Roman"/>
          <w:kern w:val="0"/>
          <w:sz w:val="26"/>
          <w:szCs w:val="26"/>
          <w:bdr w:val="none" w:sz="0" w:space="0" w:color="auto" w:frame="1"/>
          <w14:ligatures w14:val="none"/>
        </w:rPr>
        <w:t>β</w:t>
      </w:r>
      <w:r w:rsidRPr="008C144E">
        <w:rPr>
          <w:rFonts w:ascii="MathJax_Math-italic" w:eastAsia="Times New Roman" w:hAnsi="MathJax_Math-italic" w:cs="Times New Roman"/>
          <w:kern w:val="0"/>
          <w:sz w:val="26"/>
          <w:szCs w:val="26"/>
          <w:bdr w:val="none" w:sz="0" w:space="0" w:color="auto" w:frame="1"/>
          <w:vertAlign w:val="subscript"/>
          <w14:ligatures w14:val="none"/>
        </w:rPr>
        <w:t>3</w:t>
      </w:r>
      <w:r>
        <w:t xml:space="preserve"> in a DD framework will provide more conclusive evidence of the impact of SJH operations. Additionally, evaluating the impact of the 2010 increase in SJH pink salmon production may provide insight as to how the impact of hatchery operations on wild populations scales. Finally, evaluation of the impact of returning </w:t>
      </w:r>
      <w:r>
        <w:lastRenderedPageBreak/>
        <w:t>SJH pink salmon on the subsequent generation of Indian River pink salmon</w:t>
      </w:r>
      <w:r w:rsidR="00614E66">
        <w:t xml:space="preserve"> </w:t>
      </w:r>
      <w:r>
        <w:t>will</w:t>
      </w:r>
      <w:r w:rsidR="00614E66">
        <w:t xml:space="preserve"> illustrate the extent to which hatchery releases are driving abundances observed within the park. Taken together, these results should</w:t>
      </w:r>
      <w:r>
        <w:t xml:space="preserve"> </w:t>
      </w:r>
      <w:r w:rsidR="00614E66">
        <w:t xml:space="preserve">describe whether pink salmon abundances seen in recent decades at Indian River </w:t>
      </w:r>
      <w:r>
        <w:t xml:space="preserve">are </w:t>
      </w:r>
      <w:r w:rsidR="00614E66">
        <w:t xml:space="preserve">indeed </w:t>
      </w:r>
      <w:r>
        <w:t>unnatural</w:t>
      </w:r>
      <w:r w:rsidR="00614E66">
        <w:t xml:space="preserve"> or within some natural range of variation relative to the wider region</w:t>
      </w:r>
      <w:r>
        <w:t>.</w:t>
      </w:r>
    </w:p>
    <w:bookmarkEnd w:id="1"/>
    <w:p w14:paraId="5E583A03" w14:textId="77777777" w:rsidR="00670218" w:rsidRPr="00C3066D" w:rsidRDefault="00670218" w:rsidP="00C3066D">
      <w:pPr>
        <w:spacing w:after="0" w:line="480" w:lineRule="auto"/>
        <w:rPr>
          <w:b/>
          <w:bCs/>
        </w:rPr>
      </w:pPr>
    </w:p>
    <w:p w14:paraId="79B6696A" w14:textId="78F6E4BB" w:rsidR="00670218" w:rsidRPr="008C144E" w:rsidRDefault="0093781E" w:rsidP="008C144E">
      <w:pPr>
        <w:spacing w:after="0" w:line="480" w:lineRule="auto"/>
        <w:rPr>
          <w:b/>
          <w:bCs/>
          <w:u w:val="single"/>
        </w:rPr>
      </w:pPr>
      <w:r w:rsidRPr="008C144E">
        <w:rPr>
          <w:b/>
          <w:bCs/>
          <w:u w:val="single"/>
        </w:rPr>
        <w:t>Discussion</w:t>
      </w:r>
    </w:p>
    <w:p w14:paraId="4C8C71F7" w14:textId="6C1B0AED" w:rsidR="00BF04BF" w:rsidRDefault="00670218" w:rsidP="008C144E">
      <w:pPr>
        <w:spacing w:after="0" w:line="480" w:lineRule="auto"/>
      </w:pPr>
      <w:r>
        <w:t xml:space="preserve">The results of this work are intended first and foremost to provide management at SITK with a comprehensive description of both the impacts of SJH operations and of the population dynamics of pink salmon throughout the broader region. Understanding whether pink salmon at Indian River exist within a ‘natural range of variation’ requires context, and placing Indian River within this context will enable park officials to better understand their duties </w:t>
      </w:r>
      <w:proofErr w:type="gramStart"/>
      <w:r>
        <w:t>with regard to</w:t>
      </w:r>
      <w:proofErr w:type="gramEnd"/>
      <w:r>
        <w:t xml:space="preserve"> a potential overabundance of these fish. Additionally, estimating the effects of various levels of straying on pink salmon abundance may enable park officials to better understand when abundances are being driven by hatchery strays and when they are reflecting regional trends (although this would require more robust monitoring of stray rates).</w:t>
      </w:r>
      <w:bookmarkEnd w:id="0"/>
    </w:p>
    <w:sectPr w:rsidR="00BF04BF" w:rsidSect="001E1CBF">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44435"/>
    <w:rsid w:val="000D21FB"/>
    <w:rsid w:val="00106EE6"/>
    <w:rsid w:val="00114A77"/>
    <w:rsid w:val="00121CF4"/>
    <w:rsid w:val="00143CB9"/>
    <w:rsid w:val="001A405D"/>
    <w:rsid w:val="001D51EA"/>
    <w:rsid w:val="001D5683"/>
    <w:rsid w:val="001E1CBF"/>
    <w:rsid w:val="001E29F4"/>
    <w:rsid w:val="001F775B"/>
    <w:rsid w:val="00232D52"/>
    <w:rsid w:val="00252296"/>
    <w:rsid w:val="00344905"/>
    <w:rsid w:val="003B4882"/>
    <w:rsid w:val="003C5745"/>
    <w:rsid w:val="003C6E79"/>
    <w:rsid w:val="003C77AC"/>
    <w:rsid w:val="00412816"/>
    <w:rsid w:val="004217D3"/>
    <w:rsid w:val="00421CE7"/>
    <w:rsid w:val="004B019B"/>
    <w:rsid w:val="005078EE"/>
    <w:rsid w:val="005363D0"/>
    <w:rsid w:val="00572D2B"/>
    <w:rsid w:val="005B1667"/>
    <w:rsid w:val="00606949"/>
    <w:rsid w:val="00612D9D"/>
    <w:rsid w:val="00614E66"/>
    <w:rsid w:val="00633AFA"/>
    <w:rsid w:val="00670218"/>
    <w:rsid w:val="006A0FFE"/>
    <w:rsid w:val="006B5A94"/>
    <w:rsid w:val="00731AF8"/>
    <w:rsid w:val="00741B88"/>
    <w:rsid w:val="00795151"/>
    <w:rsid w:val="007F1518"/>
    <w:rsid w:val="00802542"/>
    <w:rsid w:val="0080336B"/>
    <w:rsid w:val="0087408B"/>
    <w:rsid w:val="008C0B8C"/>
    <w:rsid w:val="008C0E5E"/>
    <w:rsid w:val="008C144E"/>
    <w:rsid w:val="008D0E15"/>
    <w:rsid w:val="0093781E"/>
    <w:rsid w:val="009721BE"/>
    <w:rsid w:val="009A59EE"/>
    <w:rsid w:val="009D4DE7"/>
    <w:rsid w:val="00A017CB"/>
    <w:rsid w:val="00A368FA"/>
    <w:rsid w:val="00A527C1"/>
    <w:rsid w:val="00A93D33"/>
    <w:rsid w:val="00B23CD2"/>
    <w:rsid w:val="00B50797"/>
    <w:rsid w:val="00B67742"/>
    <w:rsid w:val="00BF04BF"/>
    <w:rsid w:val="00C16190"/>
    <w:rsid w:val="00C3066D"/>
    <w:rsid w:val="00C61B5A"/>
    <w:rsid w:val="00C64BF8"/>
    <w:rsid w:val="00C874A9"/>
    <w:rsid w:val="00D011BB"/>
    <w:rsid w:val="00D368CD"/>
    <w:rsid w:val="00D56989"/>
    <w:rsid w:val="00D57B76"/>
    <w:rsid w:val="00D801ED"/>
    <w:rsid w:val="00D9784A"/>
    <w:rsid w:val="00E47684"/>
    <w:rsid w:val="00E65279"/>
    <w:rsid w:val="00E65F33"/>
    <w:rsid w:val="00ED5857"/>
    <w:rsid w:val="00ED689D"/>
    <w:rsid w:val="00F12190"/>
    <w:rsid w:val="00F4350E"/>
    <w:rsid w:val="00F66F22"/>
    <w:rsid w:val="00F67FB5"/>
    <w:rsid w:val="00F8028C"/>
    <w:rsid w:val="00F8072F"/>
    <w:rsid w:val="00F90233"/>
    <w:rsid w:val="00FC2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832</TotalTime>
  <Pages>18</Pages>
  <Words>5030</Words>
  <Characters>26760</Characters>
  <Application>Microsoft Office Word</Application>
  <DocSecurity>0</DocSecurity>
  <Lines>399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44</cp:revision>
  <dcterms:created xsi:type="dcterms:W3CDTF">2026-01-12T21:48:00Z</dcterms:created>
  <dcterms:modified xsi:type="dcterms:W3CDTF">2026-02-25T16:14:00Z</dcterms:modified>
</cp:coreProperties>
</file>