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5004B" w14:textId="77777777" w:rsidR="001D65E6" w:rsidRPr="001D65E6" w:rsidRDefault="001D65E6" w:rsidP="004B5260">
      <w:pPr>
        <w:spacing w:after="0" w:line="480" w:lineRule="auto"/>
        <w:rPr>
          <w:b/>
          <w:bCs/>
        </w:rPr>
      </w:pPr>
      <w:r w:rsidRPr="001D65E6">
        <w:rPr>
          <w:b/>
          <w:bCs/>
        </w:rPr>
        <w:t>Effect of Hatchery Operations</w:t>
      </w:r>
    </w:p>
    <w:p w14:paraId="24FAC470" w14:textId="38FA8FD5" w:rsidR="004B5260" w:rsidRDefault="001D65E6" w:rsidP="004B5260">
      <w:pPr>
        <w:spacing w:after="0" w:line="480" w:lineRule="auto"/>
      </w:pPr>
      <w:r>
        <w:t>For both the post-1975 and post-2010 treatment periods, m</w:t>
      </w:r>
      <w:r w:rsidRPr="001D65E6">
        <w:t>odels</w:t>
      </w:r>
      <w:r>
        <w:t xml:space="preserve"> which best fit the data were those</w:t>
      </w:r>
      <w:r w:rsidRPr="001D65E6">
        <w:t xml:space="preserve"> </w:t>
      </w:r>
      <w:r>
        <w:t>specified to assert one region wide effect of treatment period for each run across all sites (including Indian River)</w:t>
      </w:r>
      <w:r w:rsidR="007E16ED">
        <w:t xml:space="preserve">, implying </w:t>
      </w:r>
      <w:r w:rsidR="00402EB6">
        <w:t>that</w:t>
      </w:r>
      <w:r w:rsidR="0005558B">
        <w:t xml:space="preserve"> in both treatment periods,</w:t>
      </w:r>
      <w:r w:rsidR="00402EB6">
        <w:t xml:space="preserve"> any effect hatchery releases may be having on Indian River pink salmon abundances is not as impactful as the effect of the t</w:t>
      </w:r>
      <w:r w:rsidR="0005558B">
        <w:t>reatment</w:t>
      </w:r>
      <w:r w:rsidR="00402EB6">
        <w:t xml:space="preserve"> period itself. </w:t>
      </w:r>
      <w:r w:rsidR="00064143">
        <w:t xml:space="preserve">For the post-1975 treatment, over 75% of models within 2 </w:t>
      </w:r>
      <w:proofErr w:type="spellStart"/>
      <w:r w:rsidR="00064143">
        <w:t>AICc</w:t>
      </w:r>
      <w:proofErr w:type="spellEnd"/>
      <w:r w:rsidR="007E16ED">
        <w:t xml:space="preserve"> </w:t>
      </w:r>
      <w:r w:rsidR="00064143">
        <w:t xml:space="preserve">of </w:t>
      </w:r>
      <w:r w:rsidR="007E16ED">
        <w:t xml:space="preserve">the best fit model were specified with the same </w:t>
      </w:r>
      <w:r w:rsidR="00064143">
        <w:t xml:space="preserve">region wide </w:t>
      </w:r>
      <w:r w:rsidR="007E16ED">
        <w:t>effect structure</w:t>
      </w:r>
      <w:r w:rsidR="00064143">
        <w:t>.</w:t>
      </w:r>
      <w:r w:rsidR="007E16ED">
        <w:t xml:space="preserve"> </w:t>
      </w:r>
      <w:r w:rsidR="00064143">
        <w:t xml:space="preserve">Conversely, while the </w:t>
      </w:r>
      <w:r w:rsidR="00064143">
        <w:t xml:space="preserve">post-2010 treatment </w:t>
      </w:r>
      <w:r w:rsidR="00064143">
        <w:t xml:space="preserve">best fit model was specified with the same region </w:t>
      </w:r>
      <w:r w:rsidR="00064143">
        <w:t>wide effect structure</w:t>
      </w:r>
      <w:r w:rsidR="00064143">
        <w:t xml:space="preserve">, fully half of the models that fell within 2 </w:t>
      </w:r>
      <w:proofErr w:type="spellStart"/>
      <w:r w:rsidR="00064143">
        <w:t>AICc</w:t>
      </w:r>
      <w:proofErr w:type="spellEnd"/>
      <w:r w:rsidR="00064143">
        <w:t xml:space="preserve"> of best fit were specified to only estimate an effect of treatment at Indian River</w:t>
      </w:r>
      <w:r w:rsidR="008737C4">
        <w:t xml:space="preserve"> (Table 2)</w:t>
      </w:r>
      <w:r w:rsidR="00064143">
        <w:t xml:space="preserve">.  </w:t>
      </w:r>
    </w:p>
    <w:p w14:paraId="48E48E8A" w14:textId="77777777" w:rsidR="00064143" w:rsidRDefault="00064143" w:rsidP="004B5260">
      <w:pPr>
        <w:spacing w:after="0" w:line="480" w:lineRule="auto"/>
      </w:pPr>
    </w:p>
    <w:p w14:paraId="2157B60F" w14:textId="64FF6333" w:rsidR="004B5260" w:rsidRDefault="004B5260" w:rsidP="004B5260">
      <w:pPr>
        <w:spacing w:after="0" w:line="240" w:lineRule="auto"/>
        <w:rPr>
          <w:i/>
          <w:iCs/>
          <w:sz w:val="20"/>
          <w:szCs w:val="20"/>
        </w:rPr>
      </w:pPr>
      <w:r w:rsidRPr="004B5260">
        <w:rPr>
          <w:noProof/>
        </w:rPr>
        <w:drawing>
          <wp:inline distT="0" distB="0" distL="0" distR="0" wp14:anchorId="78A82EBD" wp14:editId="73208257">
            <wp:extent cx="5943600" cy="3278505"/>
            <wp:effectExtent l="0" t="0" r="0" b="0"/>
            <wp:docPr id="1614438269" name="Picture 1" descr="The diagram presents a statistical comparison of different models, specifically the AICc (Akaike Information Criterion corrected) values and the number of models for various configurations across different years, including two-state and three-state models for regions and odd/even catego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438269" name="Picture 1" descr="The diagram presents a statistical comparison of different models, specifically the AICc (Akaike Information Criterion corrected) values and the number of models for various configurations across different years, including two-state and three-state models for regions and odd/even categories.&#10;&#10;AI-generated content may be incorrect."/>
                    <pic:cNvPicPr/>
                  </pic:nvPicPr>
                  <pic:blipFill>
                    <a:blip r:embed="rId4"/>
                    <a:stretch>
                      <a:fillRect/>
                    </a:stretch>
                  </pic:blipFill>
                  <pic:spPr>
                    <a:xfrm>
                      <a:off x="0" y="0"/>
                      <a:ext cx="5943600" cy="3278505"/>
                    </a:xfrm>
                    <a:prstGeom prst="rect">
                      <a:avLst/>
                    </a:prstGeom>
                  </pic:spPr>
                </pic:pic>
              </a:graphicData>
            </a:graphic>
          </wp:inline>
        </w:drawing>
      </w:r>
      <w:r w:rsidRPr="001159C6">
        <w:rPr>
          <w:i/>
          <w:iCs/>
          <w:sz w:val="20"/>
          <w:szCs w:val="20"/>
        </w:rPr>
        <w:t xml:space="preserve">Table </w:t>
      </w:r>
      <w:r>
        <w:rPr>
          <w:i/>
          <w:iCs/>
          <w:sz w:val="20"/>
          <w:szCs w:val="20"/>
        </w:rPr>
        <w:t xml:space="preserve">2: Difference-in-difference results estimating the impact of Sheldon Jackson Hatchery operations on Indian River pink salmon abundances. </w:t>
      </w:r>
      <w:r w:rsidR="008737C4">
        <w:rPr>
          <w:i/>
          <w:iCs/>
          <w:sz w:val="20"/>
          <w:szCs w:val="20"/>
        </w:rPr>
        <w:t>Best fit model effect structure in bold. The lowest (best) A</w:t>
      </w:r>
      <w:proofErr w:type="spellStart"/>
      <w:r w:rsidR="008737C4">
        <w:rPr>
          <w:i/>
          <w:iCs/>
          <w:sz w:val="20"/>
          <w:szCs w:val="20"/>
        </w:rPr>
        <w:t>ICc</w:t>
      </w:r>
      <w:proofErr w:type="spellEnd"/>
      <w:r w:rsidR="008737C4">
        <w:rPr>
          <w:i/>
          <w:iCs/>
          <w:sz w:val="20"/>
          <w:szCs w:val="20"/>
        </w:rPr>
        <w:t xml:space="preserve"> value for each effect structure is included, along with the number of models featuring said effect structure within 2 </w:t>
      </w:r>
      <w:proofErr w:type="spellStart"/>
      <w:r w:rsidR="008737C4">
        <w:rPr>
          <w:i/>
          <w:iCs/>
          <w:sz w:val="20"/>
          <w:szCs w:val="20"/>
        </w:rPr>
        <w:t>AICc</w:t>
      </w:r>
      <w:proofErr w:type="spellEnd"/>
      <w:r w:rsidR="008737C4">
        <w:rPr>
          <w:i/>
          <w:iCs/>
          <w:sz w:val="20"/>
          <w:szCs w:val="20"/>
        </w:rPr>
        <w:t xml:space="preserve"> of the best fit model. </w:t>
      </w:r>
    </w:p>
    <w:p w14:paraId="0DCAB827" w14:textId="77777777" w:rsidR="004B5260" w:rsidRDefault="004B5260" w:rsidP="004B5260">
      <w:pPr>
        <w:spacing w:after="0" w:line="240" w:lineRule="auto"/>
        <w:rPr>
          <w:i/>
          <w:iCs/>
          <w:sz w:val="20"/>
          <w:szCs w:val="20"/>
        </w:rPr>
      </w:pPr>
    </w:p>
    <w:p w14:paraId="326382BE" w14:textId="56ED015D" w:rsidR="008737C4" w:rsidRDefault="008737C4" w:rsidP="008737C4">
      <w:pPr>
        <w:spacing w:after="0" w:line="480" w:lineRule="auto"/>
        <w:ind w:firstLine="720"/>
      </w:pPr>
      <w:r>
        <w:lastRenderedPageBreak/>
        <w:t>Event studies conducted to validate the parallel trends assumption revealed that, in both pre-treatment periods, best fit models were those specified with a 3-state structure, treating odd-year Indian River pink salmon runs as separate state from odd-year runs throughout the region</w:t>
      </w:r>
      <w:r w:rsidR="008E6F05">
        <w:t xml:space="preserve"> (Table 3)</w:t>
      </w:r>
      <w:r>
        <w:t>. This then means that the parallel trends assumption is not supported for</w:t>
      </w:r>
      <w:r w:rsidR="008E6F05">
        <w:t xml:space="preserve"> odd-year abundances at Indian River and throughout the region, a very interesting finding when considered in conjunction with the best fit models described above (Table 2). These findings are consistent with the idea that the statistically significant difference observed between odd-year Indian River and regional abundances discussed in the last section is being driven by the Indian River falling below regional expectations in the pre-treatment period (Figure 3).</w:t>
      </w:r>
    </w:p>
    <w:p w14:paraId="529E454A" w14:textId="77777777" w:rsidR="008737C4" w:rsidRPr="008737C4" w:rsidRDefault="008737C4" w:rsidP="004B5260">
      <w:pPr>
        <w:spacing w:after="0" w:line="240" w:lineRule="auto"/>
      </w:pPr>
    </w:p>
    <w:p w14:paraId="7683CE40" w14:textId="5EEB95BD" w:rsidR="004B5260" w:rsidRDefault="004B5260" w:rsidP="004B5260">
      <w:pPr>
        <w:spacing w:after="0" w:line="240" w:lineRule="auto"/>
        <w:jc w:val="center"/>
        <w:rPr>
          <w:i/>
          <w:iCs/>
          <w:sz w:val="20"/>
          <w:szCs w:val="20"/>
        </w:rPr>
      </w:pPr>
      <w:r w:rsidRPr="004B5260">
        <w:rPr>
          <w:i/>
          <w:iCs/>
          <w:noProof/>
          <w:sz w:val="20"/>
          <w:szCs w:val="20"/>
        </w:rPr>
        <w:drawing>
          <wp:inline distT="0" distB="0" distL="0" distR="0" wp14:anchorId="0EDC506D" wp14:editId="453F081C">
            <wp:extent cx="4654789" cy="3587934"/>
            <wp:effectExtent l="0" t="0" r="0" b="0"/>
            <wp:docPr id="2011708144" name="Picture 1" descr="The image presents a table comparing different statistical models used in a diff-in-diff event study, specifically detailing the Akaike Information Criterion (AICc) values for various combinations of treatment periods and state configur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08144" name="Picture 1" descr="The image presents a table comparing different statistical models used in a diff-in-diff event study, specifically detailing the Akaike Information Criterion (AICc) values for various combinations of treatment periods and state configurations.&#10;&#10;AI-generated content may be incorrect."/>
                    <pic:cNvPicPr/>
                  </pic:nvPicPr>
                  <pic:blipFill>
                    <a:blip r:embed="rId5"/>
                    <a:stretch>
                      <a:fillRect/>
                    </a:stretch>
                  </pic:blipFill>
                  <pic:spPr>
                    <a:xfrm>
                      <a:off x="0" y="0"/>
                      <a:ext cx="4654789" cy="3587934"/>
                    </a:xfrm>
                    <a:prstGeom prst="rect">
                      <a:avLst/>
                    </a:prstGeom>
                  </pic:spPr>
                </pic:pic>
              </a:graphicData>
            </a:graphic>
          </wp:inline>
        </w:drawing>
      </w:r>
    </w:p>
    <w:p w14:paraId="024B6469" w14:textId="515BD59C" w:rsidR="004B5260" w:rsidRPr="001D65E6" w:rsidRDefault="004B5260" w:rsidP="004B5260">
      <w:pPr>
        <w:spacing w:after="0" w:line="240" w:lineRule="auto"/>
      </w:pPr>
      <w:r w:rsidRPr="001159C6">
        <w:rPr>
          <w:i/>
          <w:iCs/>
          <w:sz w:val="20"/>
          <w:szCs w:val="20"/>
        </w:rPr>
        <w:t xml:space="preserve">Table </w:t>
      </w:r>
      <w:r>
        <w:rPr>
          <w:i/>
          <w:iCs/>
          <w:sz w:val="20"/>
          <w:szCs w:val="20"/>
        </w:rPr>
        <w:t>3: Event studies evaluating the effect of Indian River on pink salmon abundances during pre-treatment periods.</w:t>
      </w:r>
      <w:r w:rsidR="008E6F05">
        <w:rPr>
          <w:i/>
          <w:iCs/>
          <w:sz w:val="20"/>
          <w:szCs w:val="20"/>
        </w:rPr>
        <w:t xml:space="preserve"> Best fit models in both treatment periods include separate states of Indian River and regional abundances in odd years and only one regional underlying state (including Indian River) in even years.</w:t>
      </w:r>
    </w:p>
    <w:sectPr w:rsidR="004B5260" w:rsidRPr="001D65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5D12"/>
    <w:rsid w:val="00007646"/>
    <w:rsid w:val="0005558B"/>
    <w:rsid w:val="00064143"/>
    <w:rsid w:val="00095D12"/>
    <w:rsid w:val="001D65E6"/>
    <w:rsid w:val="00402EB6"/>
    <w:rsid w:val="00494125"/>
    <w:rsid w:val="004B5260"/>
    <w:rsid w:val="0070778D"/>
    <w:rsid w:val="007E16ED"/>
    <w:rsid w:val="008737C4"/>
    <w:rsid w:val="008E6F05"/>
    <w:rsid w:val="009657E6"/>
    <w:rsid w:val="009E6250"/>
    <w:rsid w:val="00A46041"/>
    <w:rsid w:val="00AB78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8C8DC"/>
  <w15:chartTrackingRefBased/>
  <w15:docId w15:val="{4AB2A03B-E3EE-4E52-BEE3-F0CD21D07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5D12"/>
  </w:style>
  <w:style w:type="paragraph" w:styleId="Heading1">
    <w:name w:val="heading 1"/>
    <w:basedOn w:val="Normal"/>
    <w:next w:val="Normal"/>
    <w:link w:val="Heading1Char"/>
    <w:uiPriority w:val="9"/>
    <w:qFormat/>
    <w:rsid w:val="00095D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5D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5D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5D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5D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5D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5D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5D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5D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5D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5D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5D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5D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5D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5D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5D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5D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5D12"/>
    <w:rPr>
      <w:rFonts w:eastAsiaTheme="majorEastAsia" w:cstheme="majorBidi"/>
      <w:color w:val="272727" w:themeColor="text1" w:themeTint="D8"/>
    </w:rPr>
  </w:style>
  <w:style w:type="paragraph" w:styleId="Title">
    <w:name w:val="Title"/>
    <w:basedOn w:val="Normal"/>
    <w:next w:val="Normal"/>
    <w:link w:val="TitleChar"/>
    <w:uiPriority w:val="10"/>
    <w:qFormat/>
    <w:rsid w:val="00095D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5D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5D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5D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5D12"/>
    <w:pPr>
      <w:spacing w:before="160"/>
      <w:jc w:val="center"/>
    </w:pPr>
    <w:rPr>
      <w:i/>
      <w:iCs/>
      <w:color w:val="404040" w:themeColor="text1" w:themeTint="BF"/>
    </w:rPr>
  </w:style>
  <w:style w:type="character" w:customStyle="1" w:styleId="QuoteChar">
    <w:name w:val="Quote Char"/>
    <w:basedOn w:val="DefaultParagraphFont"/>
    <w:link w:val="Quote"/>
    <w:uiPriority w:val="29"/>
    <w:rsid w:val="00095D12"/>
    <w:rPr>
      <w:i/>
      <w:iCs/>
      <w:color w:val="404040" w:themeColor="text1" w:themeTint="BF"/>
    </w:rPr>
  </w:style>
  <w:style w:type="paragraph" w:styleId="ListParagraph">
    <w:name w:val="List Paragraph"/>
    <w:basedOn w:val="Normal"/>
    <w:uiPriority w:val="34"/>
    <w:qFormat/>
    <w:rsid w:val="00095D12"/>
    <w:pPr>
      <w:ind w:left="720"/>
      <w:contextualSpacing/>
    </w:pPr>
  </w:style>
  <w:style w:type="character" w:styleId="IntenseEmphasis">
    <w:name w:val="Intense Emphasis"/>
    <w:basedOn w:val="DefaultParagraphFont"/>
    <w:uiPriority w:val="21"/>
    <w:qFormat/>
    <w:rsid w:val="00095D12"/>
    <w:rPr>
      <w:i/>
      <w:iCs/>
      <w:color w:val="0F4761" w:themeColor="accent1" w:themeShade="BF"/>
    </w:rPr>
  </w:style>
  <w:style w:type="paragraph" w:styleId="IntenseQuote">
    <w:name w:val="Intense Quote"/>
    <w:basedOn w:val="Normal"/>
    <w:next w:val="Normal"/>
    <w:link w:val="IntenseQuoteChar"/>
    <w:uiPriority w:val="30"/>
    <w:qFormat/>
    <w:rsid w:val="00095D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5D12"/>
    <w:rPr>
      <w:i/>
      <w:iCs/>
      <w:color w:val="0F4761" w:themeColor="accent1" w:themeShade="BF"/>
    </w:rPr>
  </w:style>
  <w:style w:type="character" w:styleId="IntenseReference">
    <w:name w:val="Intense Reference"/>
    <w:basedOn w:val="DefaultParagraphFont"/>
    <w:uiPriority w:val="32"/>
    <w:qFormat/>
    <w:rsid w:val="00095D12"/>
    <w:rPr>
      <w:b/>
      <w:bCs/>
      <w:smallCaps/>
      <w:color w:val="0F4761" w:themeColor="accent1" w:themeShade="BF"/>
      <w:spacing w:val="5"/>
    </w:rPr>
  </w:style>
  <w:style w:type="character" w:styleId="CommentReference">
    <w:name w:val="annotation reference"/>
    <w:basedOn w:val="DefaultParagraphFont"/>
    <w:uiPriority w:val="99"/>
    <w:semiHidden/>
    <w:unhideWhenUsed/>
    <w:rsid w:val="00095D12"/>
    <w:rPr>
      <w:sz w:val="16"/>
      <w:szCs w:val="16"/>
    </w:rPr>
  </w:style>
  <w:style w:type="paragraph" w:styleId="CommentText">
    <w:name w:val="annotation text"/>
    <w:basedOn w:val="Normal"/>
    <w:link w:val="CommentTextChar"/>
    <w:uiPriority w:val="99"/>
    <w:unhideWhenUsed/>
    <w:rsid w:val="00095D12"/>
    <w:pPr>
      <w:spacing w:line="240" w:lineRule="auto"/>
    </w:pPr>
    <w:rPr>
      <w:sz w:val="20"/>
      <w:szCs w:val="20"/>
    </w:rPr>
  </w:style>
  <w:style w:type="character" w:customStyle="1" w:styleId="CommentTextChar">
    <w:name w:val="Comment Text Char"/>
    <w:basedOn w:val="DefaultParagraphFont"/>
    <w:link w:val="CommentText"/>
    <w:uiPriority w:val="99"/>
    <w:rsid w:val="00095D12"/>
    <w:rPr>
      <w:sz w:val="20"/>
      <w:szCs w:val="20"/>
    </w:rPr>
  </w:style>
  <w:style w:type="paragraph" w:styleId="CommentSubject">
    <w:name w:val="annotation subject"/>
    <w:basedOn w:val="CommentText"/>
    <w:next w:val="CommentText"/>
    <w:link w:val="CommentSubjectChar"/>
    <w:uiPriority w:val="99"/>
    <w:semiHidden/>
    <w:unhideWhenUsed/>
    <w:rsid w:val="00402EB6"/>
    <w:rPr>
      <w:b/>
      <w:bCs/>
    </w:rPr>
  </w:style>
  <w:style w:type="character" w:customStyle="1" w:styleId="CommentSubjectChar">
    <w:name w:val="Comment Subject Char"/>
    <w:basedOn w:val="CommentTextChar"/>
    <w:link w:val="CommentSubject"/>
    <w:uiPriority w:val="99"/>
    <w:semiHidden/>
    <w:rsid w:val="00402EB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198</TotalTime>
  <Pages>2</Pages>
  <Words>350</Words>
  <Characters>1999</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E McGreal</dc:creator>
  <cp:keywords/>
  <dc:description/>
  <cp:lastModifiedBy>Brian E McGreal</cp:lastModifiedBy>
  <cp:revision>12</cp:revision>
  <dcterms:created xsi:type="dcterms:W3CDTF">2026-06-18T20:28:00Z</dcterms:created>
  <dcterms:modified xsi:type="dcterms:W3CDTF">2026-06-19T03:13:00Z</dcterms:modified>
</cp:coreProperties>
</file>