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been to maintain abundances within a ‘natural range of variation’.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(Sambaraju and Goodsman 2021, Beckett et al. 2022, Moore et al. 2023). </w:t>
      </w:r>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r w:rsidRPr="00A017CB">
        <w:rPr>
          <w:rFonts w:cstheme="minorHAnsi"/>
          <w:color w:val="202122"/>
          <w:u w:val="single"/>
          <w:shd w:val="clear" w:color="auto" w:fill="FFFFFF"/>
        </w:rPr>
        <w:t>K</w:t>
      </w:r>
      <w:r w:rsidRPr="00A017CB">
        <w:rPr>
          <w:rFonts w:cstheme="minorHAnsi"/>
          <w:color w:val="202122"/>
          <w:shd w:val="clear" w:color="auto" w:fill="FFFFFF"/>
        </w:rPr>
        <w:t>aasda Héen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Oncorhynchus 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w:t>
      </w:r>
      <w:r w:rsidRPr="00A017CB">
        <w:rPr>
          <w:rFonts w:cstheme="minorHAnsi"/>
          <w:i/>
          <w:iCs/>
          <w:color w:val="202122"/>
          <w:shd w:val="clear" w:color="auto" w:fill="FFFFFF"/>
        </w:rPr>
        <w:t>O. gorbuscha</w:t>
      </w:r>
      <w:r w:rsidRPr="00A017CB">
        <w:rPr>
          <w:rFonts w:cstheme="minorHAnsi"/>
          <w:color w:val="202122"/>
          <w:shd w:val="clear" w:color="auto" w:fill="FFFFFF"/>
        </w:rPr>
        <w:t>, Cháas’)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 xml:space="preserve">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46F2249E" w:rsidR="00670218" w:rsidRDefault="00670218" w:rsidP="00A017CB">
      <w:pPr>
        <w:spacing w:after="0" w:line="480" w:lineRule="auto"/>
      </w:pPr>
      <w:r>
        <w:t xml:space="preserve">Data supporting this research are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5339CDA4" w14:textId="38222593" w:rsidR="0006107E" w:rsidRDefault="0006107E" w:rsidP="00A017CB">
      <w:pPr>
        <w:spacing w:after="0" w:line="480" w:lineRule="auto"/>
        <w:ind w:firstLine="360"/>
      </w:pPr>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w:t>
      </w:r>
      <w:r>
        <w:lastRenderedPageBreak/>
        <w:t xml:space="preserve">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w:t>
      </w:r>
      <w:r>
        <w:lastRenderedPageBreak/>
        <w:t>against which Indian River pink salmon abundances will be compared. 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r w:rsidR="006B5A94">
        <w:t xml:space="preserve"> </w:t>
      </w:r>
    </w:p>
    <w:p w14:paraId="4426ED39" w14:textId="6D5D47FF" w:rsidR="00670218" w:rsidRDefault="006B5A94" w:rsidP="003C6E79">
      <w:pPr>
        <w:spacing w:after="0" w:line="480" w:lineRule="auto"/>
        <w:ind w:firstLine="720"/>
      </w:pPr>
      <w:r>
        <w:lastRenderedPageBreak/>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w:t>
      </w:r>
      <w:r>
        <w:lastRenderedPageBreak/>
        <w:t xml:space="preserve">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w:t>
      </w:r>
      <w:r>
        <w:lastRenderedPageBreak/>
        <w:t xml:space="preserve">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 xml:space="preserve">The best fit models are then evaluated to ensure that treatment and control groups </w:t>
      </w:r>
      <w:r w:rsidR="00572D2B">
        <w:lastRenderedPageBreak/>
        <w:t>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w:t>
      </w:r>
      <w:r w:rsidR="001A405D">
        <w:lastRenderedPageBreak/>
        <w:t>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p>
    <w:p w14:paraId="11C443BF" w14:textId="28C8E6F0" w:rsidR="001A405D" w:rsidRDefault="006A0FFE" w:rsidP="00F4350E">
      <w:pPr>
        <w:spacing w:after="0" w:line="480" w:lineRule="auto"/>
      </w:pPr>
      <w:r>
        <w:tab/>
        <w:t xml:space="preserve">Figures 4 &amp; 5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even- and odd-year runs.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r w:rsidR="000D21FB">
        <w:t xml:space="preserve">While initial (first order) differencing of the odd-year time series did not yield statistically stationary results, ADF tests estimated test statistics within 20% of the significance thresholds (i.e., &gt;80% </w:t>
      </w:r>
      <w:r w:rsidR="000D21FB">
        <w:lastRenderedPageBreak/>
        <w:t>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629DAF0F" w:rsidR="00376A4E" w:rsidRDefault="00773DA7" w:rsidP="00F4350E">
      <w:pPr>
        <w:spacing w:after="0" w:line="480" w:lineRule="auto"/>
      </w:pPr>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2A355E">
        <w:t>Separate m</w:t>
      </w:r>
      <w:r w:rsidR="00376A4E">
        <w:t xml:space="preserve">odels pertaining to each run </w:t>
      </w:r>
      <w:r w:rsidR="007B55B0">
        <w:t xml:space="preserve">(even- and odd-year) </w:t>
      </w:r>
      <w:r w:rsidR="002A355E">
        <w:t xml:space="preserve">and </w:t>
      </w:r>
      <w:r w:rsidR="00376A4E">
        <w:t xml:space="preserve">treatment period </w:t>
      </w:r>
      <w:r w:rsidR="007B55B0">
        <w:lastRenderedPageBreak/>
        <w:t xml:space="preserve">(1980 and 2010) </w:t>
      </w:r>
      <w:r w:rsidR="00376A4E">
        <w:t>were specified to control for the prior year’s ocean climate</w:t>
      </w:r>
      <w:r w:rsidR="007B55B0">
        <w:t xml:space="preserve"> via lagged PDO</w:t>
      </w:r>
      <w:r w:rsidR="00376A4E">
        <w:t xml:space="preserve">, the </w:t>
      </w:r>
      <w:r w:rsidR="002A355E">
        <w:t xml:space="preserve">biologist conducting each observation, both of these sets of covariates, and no covariates (only dummy indicators of time period and treatment group). From these, the </w:t>
      </w:r>
      <w:r w:rsidR="007B55B0">
        <w:t xml:space="preserve">best fit model was selected using </w:t>
      </w:r>
      <w:r w:rsidR="007B55B0">
        <w:t>AIC</w:t>
      </w:r>
      <w:r w:rsidR="007B55B0">
        <w:t>, with the most parsimonious model being chosen in cases where AIC values were within 2 of one another.</w:t>
      </w:r>
    </w:p>
    <w:p w14:paraId="19D43027" w14:textId="4ECD00FF" w:rsidR="008E7DF4" w:rsidRDefault="008E7DF4" w:rsidP="00376A4E">
      <w:pPr>
        <w:spacing w:after="0" w:line="480" w:lineRule="auto"/>
        <w:ind w:firstLine="720"/>
      </w:pPr>
      <w:r>
        <w:t xml:space="preserve">As mentioned above, a necessary pre-condition of difference-in-difference models is the satisfaction of the parallel trends assumption, which asserts that treatment and control groups are </w:t>
      </w:r>
      <w:r>
        <w:t>mathematically similar in the pre-treatment period</w:t>
      </w:r>
      <w:r>
        <w:t>.</w:t>
      </w:r>
      <w:r w:rsidR="008F33A8">
        <w:t xml:space="preserve"> Event studies in the form of simple linear models were undertaken to support this assumption. </w:t>
      </w:r>
      <w:r w:rsidR="008F33A8">
        <w:t>These models are structured to isolate the effect of Indian River on pink salmon abundances during pre-treatment periods,</w:t>
      </w:r>
      <w:r w:rsidR="008F33A8">
        <w:t xml:space="preserve">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1D638693" w14:textId="6DDBF8C0" w:rsidR="00647DF2"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w:t>
      </w:r>
      <w:r>
        <w:t xml:space="preserve">the </w:t>
      </w:r>
      <w:r w:rsidRPr="003C6E79">
        <w:rPr>
          <w:i/>
          <w:iCs/>
        </w:rPr>
        <w:t>north southeast (outside)</w:t>
      </w:r>
      <w:r>
        <w:t xml:space="preserve"> region</w:t>
      </w:r>
      <w:r w:rsidR="006B1A2E">
        <w:t xml:space="preserve"> </w:t>
      </w:r>
      <w:r w:rsidR="006B1A2E">
        <w:t>(</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w:t>
      </w:r>
      <w:r w:rsidR="006B1A2E">
        <w:t>0</w:t>
      </w:r>
      <w:r w:rsidR="006B1A2E">
        <w:t>)</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be statistically insignificant. </w:t>
      </w:r>
    </w:p>
    <w:p w14:paraId="4A2F5397" w14:textId="3BB2B9CB" w:rsidR="00C3066D" w:rsidRPr="00C3066D" w:rsidRDefault="00647DF2" w:rsidP="00F4350E">
      <w:pPr>
        <w:spacing w:after="0" w:line="480" w:lineRule="auto"/>
      </w:pPr>
      <w:r>
        <w:t xml:space="preserve"> T</w:t>
      </w:r>
      <w:r w:rsidR="00773DA7">
        <w:t xml:space="preserve">able 2 describes the effect of </w:t>
      </w:r>
      <w:r w:rsidR="00376A4E">
        <w:t xml:space="preserve">Indian River </w:t>
      </w:r>
    </w:p>
    <w:p w14:paraId="6D6BBACD" w14:textId="77777777" w:rsidR="00C3066D" w:rsidRPr="00C64BF8" w:rsidRDefault="00C3066D"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77777777" w:rsidR="00C3066D" w:rsidRDefault="00C3066D" w:rsidP="008C144E">
      <w:pPr>
        <w:spacing w:after="0" w:line="480" w:lineRule="auto"/>
      </w:pPr>
    </w:p>
    <w:p w14:paraId="791283B6" w14:textId="77777777" w:rsidR="00344905" w:rsidRDefault="00344905" w:rsidP="008C144E">
      <w:pPr>
        <w:spacing w:after="0" w:line="480" w:lineRule="auto"/>
      </w:pPr>
    </w:p>
    <w:p w14:paraId="77A05E8D" w14:textId="702D8848" w:rsidR="00670218" w:rsidRDefault="00670218" w:rsidP="008C144E">
      <w:pPr>
        <w:spacing w:after="0" w:line="480" w:lineRule="auto"/>
      </w:pPr>
      <w:r>
        <w:t xml:space="preserve">The numbers of pink salmon returning to Indian River are higher in most years than what might be expected for a stream of a given length in the </w:t>
      </w:r>
      <w:r w:rsidRPr="003C6E79">
        <w:rPr>
          <w:i/>
          <w:iCs/>
        </w:rPr>
        <w:t>north southeast (outside)</w:t>
      </w:r>
      <w:r>
        <w:t xml:space="preserve"> sub-region (Figure 3). This does not necessarily mean that SJH is driving this behavior, and indeed, if all streams were modeled as representative of individual underlying states, there will likely be a range of behaviors distributed around some general trend. Estimating </w:t>
      </w:r>
      <w:r w:rsidRPr="008C144E">
        <w:rPr>
          <w:rFonts w:ascii="MathJax_Math-italic" w:eastAsia="Times New Roman" w:hAnsi="MathJax_Math-italic" w:cs="Times New Roman"/>
          <w:kern w:val="0"/>
          <w:sz w:val="26"/>
          <w:szCs w:val="26"/>
          <w:bdr w:val="none" w:sz="0" w:space="0" w:color="auto" w:frame="1"/>
          <w14:ligatures w14:val="none"/>
        </w:rPr>
        <w:t>β</w:t>
      </w:r>
      <w:r w:rsidRPr="008C144E">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Pr="00C3066D" w:rsidRDefault="00670218" w:rsidP="00C3066D">
      <w:pPr>
        <w:spacing w:after="0" w:line="480" w:lineRule="auto"/>
        <w:rPr>
          <w:b/>
          <w:bCs/>
        </w:rPr>
      </w:pPr>
    </w:p>
    <w:p w14:paraId="79B6696A" w14:textId="78F6E4BB" w:rsidR="00670218" w:rsidRPr="008C144E" w:rsidRDefault="0093781E" w:rsidP="008C144E">
      <w:pPr>
        <w:spacing w:after="0" w:line="480" w:lineRule="auto"/>
        <w:rPr>
          <w:b/>
          <w:bCs/>
          <w:u w:val="single"/>
        </w:rPr>
      </w:pPr>
      <w:r w:rsidRPr="008C144E">
        <w:rPr>
          <w:b/>
          <w:bCs/>
          <w:u w:val="single"/>
        </w:rPr>
        <w:t>Discussion</w:t>
      </w:r>
    </w:p>
    <w:p w14:paraId="4C8C71F7" w14:textId="6C1B0AED" w:rsidR="00BF04BF" w:rsidRDefault="00670218"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with regard to a potential overabundance of these fish. Additionally, estimating the effects of various levels </w:t>
      </w:r>
      <w:r>
        <w:lastRenderedPageBreak/>
        <w:t>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D21FB"/>
    <w:rsid w:val="00106EE6"/>
    <w:rsid w:val="00114A77"/>
    <w:rsid w:val="00121CF4"/>
    <w:rsid w:val="00143CB9"/>
    <w:rsid w:val="001A405D"/>
    <w:rsid w:val="001D51EA"/>
    <w:rsid w:val="001D5683"/>
    <w:rsid w:val="001E1CBF"/>
    <w:rsid w:val="001E29F4"/>
    <w:rsid w:val="001F775B"/>
    <w:rsid w:val="00232D52"/>
    <w:rsid w:val="00252296"/>
    <w:rsid w:val="002A355E"/>
    <w:rsid w:val="00344905"/>
    <w:rsid w:val="00376A4E"/>
    <w:rsid w:val="003B4882"/>
    <w:rsid w:val="003C5745"/>
    <w:rsid w:val="003C6E79"/>
    <w:rsid w:val="003C77AC"/>
    <w:rsid w:val="00412816"/>
    <w:rsid w:val="004217D3"/>
    <w:rsid w:val="00421CE7"/>
    <w:rsid w:val="004B019B"/>
    <w:rsid w:val="004C58F2"/>
    <w:rsid w:val="005078EE"/>
    <w:rsid w:val="005363D0"/>
    <w:rsid w:val="00572D2B"/>
    <w:rsid w:val="005B1667"/>
    <w:rsid w:val="00606949"/>
    <w:rsid w:val="00612D9D"/>
    <w:rsid w:val="00614E66"/>
    <w:rsid w:val="00633AFA"/>
    <w:rsid w:val="00647DF2"/>
    <w:rsid w:val="00670218"/>
    <w:rsid w:val="006A0FFE"/>
    <w:rsid w:val="006B1A2E"/>
    <w:rsid w:val="006B5A94"/>
    <w:rsid w:val="00731AF8"/>
    <w:rsid w:val="00741B88"/>
    <w:rsid w:val="00773DA7"/>
    <w:rsid w:val="00795151"/>
    <w:rsid w:val="007B55B0"/>
    <w:rsid w:val="007F1518"/>
    <w:rsid w:val="00802542"/>
    <w:rsid w:val="0080336B"/>
    <w:rsid w:val="0087408B"/>
    <w:rsid w:val="008C0B8C"/>
    <w:rsid w:val="008C0E5E"/>
    <w:rsid w:val="008C144E"/>
    <w:rsid w:val="008D0E15"/>
    <w:rsid w:val="008E7DF4"/>
    <w:rsid w:val="008F33A8"/>
    <w:rsid w:val="0091309E"/>
    <w:rsid w:val="0093781E"/>
    <w:rsid w:val="009721BE"/>
    <w:rsid w:val="009A59EE"/>
    <w:rsid w:val="009D4DE7"/>
    <w:rsid w:val="00A017CB"/>
    <w:rsid w:val="00A368FA"/>
    <w:rsid w:val="00A527C1"/>
    <w:rsid w:val="00A93D33"/>
    <w:rsid w:val="00B23CD2"/>
    <w:rsid w:val="00B50797"/>
    <w:rsid w:val="00B67742"/>
    <w:rsid w:val="00BF04BF"/>
    <w:rsid w:val="00C16190"/>
    <w:rsid w:val="00C3066D"/>
    <w:rsid w:val="00C61B5A"/>
    <w:rsid w:val="00C64BF8"/>
    <w:rsid w:val="00C874A9"/>
    <w:rsid w:val="00D011BB"/>
    <w:rsid w:val="00D368CD"/>
    <w:rsid w:val="00D56989"/>
    <w:rsid w:val="00D57B76"/>
    <w:rsid w:val="00D801ED"/>
    <w:rsid w:val="00D9784A"/>
    <w:rsid w:val="00E47684"/>
    <w:rsid w:val="00E65279"/>
    <w:rsid w:val="00E65F33"/>
    <w:rsid w:val="00ED5857"/>
    <w:rsid w:val="00ED689D"/>
    <w:rsid w:val="00F12190"/>
    <w:rsid w:val="00F4350E"/>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892</TotalTime>
  <Pages>20</Pages>
  <Words>5081</Words>
  <Characters>28962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50</cp:revision>
  <dcterms:created xsi:type="dcterms:W3CDTF">2026-01-12T21:48:00Z</dcterms:created>
  <dcterms:modified xsi:type="dcterms:W3CDTF">2026-02-26T17:41:00Z</dcterms:modified>
</cp:coreProperties>
</file>