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1925739F" w:rsidR="00584844" w:rsidRDefault="00584844" w:rsidP="00584844">
      <w:pPr>
        <w:spacing w:line="240" w:lineRule="auto"/>
        <w:rPr>
          <w:b/>
          <w:bCs/>
        </w:rPr>
      </w:pPr>
      <w:r>
        <w:rPr>
          <w:b/>
          <w:bCs/>
        </w:rPr>
        <w:t>Figures and Tables</w:t>
      </w:r>
    </w:p>
    <w:p w14:paraId="3F9E70AB" w14:textId="77777777" w:rsidR="00584844" w:rsidRDefault="00584844" w:rsidP="00584844">
      <w:pPr>
        <w:pStyle w:val="ListParagraph"/>
        <w:spacing w:after="0" w:line="240" w:lineRule="auto"/>
        <w:ind w:left="360"/>
        <w:rPr>
          <w:i/>
          <w:iCs/>
          <w:sz w:val="20"/>
          <w:szCs w:val="20"/>
        </w:rPr>
      </w:pPr>
      <w:r>
        <w:rPr>
          <w:noProof/>
        </w:rPr>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6F7A069C" w14:textId="67E0B4A0" w:rsidR="00FA2C4A" w:rsidRDefault="00FA2C4A" w:rsidP="00FA2C4A">
      <w:pPr>
        <w:pStyle w:val="ListParagraph"/>
        <w:spacing w:after="0" w:line="240" w:lineRule="auto"/>
        <w:ind w:left="360"/>
        <w:rPr>
          <w:i/>
          <w:iCs/>
          <w:sz w:val="20"/>
          <w:szCs w:val="20"/>
        </w:rPr>
      </w:pPr>
      <w:r>
        <w:rPr>
          <w:i/>
          <w:iCs/>
          <w:noProof/>
          <w:sz w:val="20"/>
          <w:szCs w:val="20"/>
        </w:rPr>
        <w:lastRenderedPageBreak/>
        <w:drawing>
          <wp:inline distT="0" distB="0" distL="0" distR="0" wp14:anchorId="0844D533" wp14:editId="34560554">
            <wp:extent cx="5943600" cy="3495675"/>
            <wp:effectExtent l="0" t="0" r="0" b="9525"/>
            <wp:docPr id="11969398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p>
    <w:p w14:paraId="714A2281" w14:textId="6B12D38D" w:rsidR="00FA2C4A" w:rsidRPr="007E0A7D" w:rsidRDefault="00FA2C4A" w:rsidP="00FA2C4A">
      <w:pPr>
        <w:pStyle w:val="ListParagraph"/>
        <w:spacing w:after="0" w:line="240" w:lineRule="auto"/>
        <w:ind w:left="360"/>
        <w:rPr>
          <w:i/>
          <w:iCs/>
          <w:sz w:val="20"/>
          <w:szCs w:val="20"/>
        </w:rPr>
      </w:pPr>
      <w:r w:rsidRPr="007E0A7D">
        <w:rPr>
          <w:i/>
          <w:iCs/>
          <w:sz w:val="20"/>
          <w:szCs w:val="20"/>
        </w:rPr>
        <w:t xml:space="preserve">Figure </w:t>
      </w:r>
      <w:r>
        <w:rPr>
          <w:i/>
          <w:iCs/>
          <w:sz w:val="20"/>
          <w:szCs w:val="20"/>
        </w:rPr>
        <w:t>2</w:t>
      </w:r>
      <w:r w:rsidRPr="007E0A7D">
        <w:rPr>
          <w:i/>
          <w:iCs/>
          <w:sz w:val="20"/>
          <w:szCs w:val="20"/>
        </w:rPr>
        <w:t xml:space="preserve">: </w:t>
      </w:r>
      <w:r>
        <w:rPr>
          <w:i/>
          <w:iCs/>
          <w:sz w:val="20"/>
          <w:szCs w:val="20"/>
        </w:rPr>
        <w:t>Even-year p</w:t>
      </w:r>
      <w:r w:rsidRPr="007E0A7D">
        <w:rPr>
          <w:i/>
          <w:iCs/>
          <w:sz w:val="20"/>
          <w:szCs w:val="20"/>
        </w:rPr>
        <w:t xml:space="preserve">eak pink salmon escapement </w:t>
      </w:r>
      <w:r>
        <w:rPr>
          <w:i/>
          <w:iCs/>
          <w:sz w:val="20"/>
          <w:szCs w:val="20"/>
        </w:rPr>
        <w:t>from 1960 to 2022</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r w:rsidRPr="007E0A7D">
        <w:rPr>
          <w:i/>
          <w:iCs/>
          <w:sz w:val="20"/>
          <w:szCs w:val="20"/>
        </w:rPr>
        <w:t>.</w:t>
      </w:r>
    </w:p>
    <w:p w14:paraId="28953A52" w14:textId="77777777" w:rsidR="00584844" w:rsidRPr="00D368CD" w:rsidRDefault="00584844" w:rsidP="00584844">
      <w:pPr>
        <w:spacing w:after="0" w:line="240" w:lineRule="auto"/>
        <w:ind w:left="360"/>
        <w:rPr>
          <w:i/>
          <w:iCs/>
          <w:sz w:val="20"/>
          <w:szCs w:val="20"/>
        </w:rPr>
      </w:pPr>
    </w:p>
    <w:p w14:paraId="7C777489" w14:textId="77777777" w:rsidR="00FA2C4A" w:rsidRDefault="00FA2C4A">
      <w:pPr>
        <w:rPr>
          <w:i/>
          <w:iCs/>
          <w:sz w:val="20"/>
          <w:szCs w:val="20"/>
        </w:rPr>
      </w:pPr>
      <w:r>
        <w:rPr>
          <w:i/>
          <w:iCs/>
          <w:sz w:val="20"/>
          <w:szCs w:val="20"/>
        </w:rPr>
        <w:br w:type="page"/>
      </w:r>
    </w:p>
    <w:p w14:paraId="007A7BE1" w14:textId="77777777" w:rsidR="00517E09" w:rsidRDefault="00FA2C4A" w:rsidP="00FA2C4A">
      <w:pPr>
        <w:pStyle w:val="ListParagraph"/>
        <w:spacing w:after="0" w:line="240" w:lineRule="auto"/>
        <w:ind w:left="360"/>
        <w:rPr>
          <w:i/>
          <w:iCs/>
          <w:sz w:val="20"/>
          <w:szCs w:val="20"/>
        </w:rPr>
      </w:pPr>
      <w:r>
        <w:rPr>
          <w:b/>
          <w:bCs/>
          <w:noProof/>
        </w:rPr>
        <w:lastRenderedPageBreak/>
        <w:drawing>
          <wp:inline distT="0" distB="0" distL="0" distR="0" wp14:anchorId="367111FB" wp14:editId="327E5A2C">
            <wp:extent cx="5943600" cy="3495675"/>
            <wp:effectExtent l="0" t="0" r="0" b="9525"/>
            <wp:doc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53106" name="Picture 12" descr="The image is a line graph showing the logarithmic peak escapement per kilometer of stream for pink salmon in the Indian River among ADFG Northern Southeast (Outside) streams, with data points for the years 1980, 2000, and 2020.&#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95675"/>
                    </a:xfrm>
                    <a:prstGeom prst="rect">
                      <a:avLst/>
                    </a:prstGeom>
                    <a:noFill/>
                    <a:ln>
                      <a:noFill/>
                    </a:ln>
                  </pic:spPr>
                </pic:pic>
              </a:graphicData>
            </a:graphic>
          </wp:inline>
        </w:drawing>
      </w:r>
      <w:r w:rsidRPr="007E0A7D">
        <w:rPr>
          <w:i/>
          <w:iCs/>
          <w:sz w:val="20"/>
          <w:szCs w:val="20"/>
        </w:rPr>
        <w:t xml:space="preserve">Figure </w:t>
      </w:r>
      <w:r>
        <w:rPr>
          <w:i/>
          <w:iCs/>
          <w:sz w:val="20"/>
          <w:szCs w:val="20"/>
        </w:rPr>
        <w:t>3</w:t>
      </w:r>
      <w:r w:rsidRPr="007E0A7D">
        <w:rPr>
          <w:i/>
          <w:iCs/>
          <w:sz w:val="20"/>
          <w:szCs w:val="20"/>
        </w:rPr>
        <w:t xml:space="preserve">: </w:t>
      </w:r>
      <w:r>
        <w:rPr>
          <w:i/>
          <w:iCs/>
          <w:sz w:val="20"/>
          <w:szCs w:val="20"/>
        </w:rPr>
        <w:t>Odd-year p</w:t>
      </w:r>
      <w:r w:rsidRPr="007E0A7D">
        <w:rPr>
          <w:i/>
          <w:iCs/>
          <w:sz w:val="20"/>
          <w:szCs w:val="20"/>
        </w:rPr>
        <w:t xml:space="preserve">eak pink salmon escapement </w:t>
      </w:r>
      <w:r>
        <w:rPr>
          <w:i/>
          <w:iCs/>
          <w:sz w:val="20"/>
          <w:szCs w:val="20"/>
        </w:rPr>
        <w:t>from 1960 to 2023</w:t>
      </w:r>
      <w:r w:rsidRPr="007E0A7D">
        <w:rPr>
          <w:i/>
          <w:iCs/>
          <w:sz w:val="20"/>
          <w:szCs w:val="20"/>
        </w:rPr>
        <w:t xml:space="preserve"> in</w:t>
      </w:r>
      <w:r>
        <w:rPr>
          <w:i/>
          <w:iCs/>
          <w:sz w:val="20"/>
          <w:szCs w:val="20"/>
        </w:rPr>
        <w:t xml:space="preserve"> Indian River and</w:t>
      </w:r>
      <w:r w:rsidRPr="007E0A7D">
        <w:rPr>
          <w:i/>
          <w:iCs/>
          <w:sz w:val="20"/>
          <w:szCs w:val="20"/>
        </w:rPr>
        <w:t xml:space="preserve"> 35 </w:t>
      </w:r>
      <w:r>
        <w:rPr>
          <w:i/>
          <w:iCs/>
          <w:sz w:val="20"/>
          <w:szCs w:val="20"/>
        </w:rPr>
        <w:t xml:space="preserve">index </w:t>
      </w:r>
      <w:r w:rsidRPr="007E0A7D">
        <w:rPr>
          <w:i/>
          <w:iCs/>
          <w:sz w:val="20"/>
          <w:szCs w:val="20"/>
        </w:rPr>
        <w:t>streams across ADFG’s designated Northern Southeast (Outside) region.</w:t>
      </w:r>
      <w:r>
        <w:rPr>
          <w:i/>
          <w:iCs/>
          <w:sz w:val="20"/>
          <w:szCs w:val="20"/>
        </w:rPr>
        <w:t xml:space="preserve"> Indian River counts highlighted.</w:t>
      </w:r>
      <w:r w:rsidRPr="007E0A7D">
        <w:rPr>
          <w:i/>
          <w:iCs/>
          <w:sz w:val="20"/>
          <w:szCs w:val="20"/>
        </w:rPr>
        <w:t xml:space="preserve"> Spawner counts are </w:t>
      </w:r>
      <w:r>
        <w:rPr>
          <w:i/>
          <w:iCs/>
          <w:sz w:val="20"/>
          <w:szCs w:val="20"/>
        </w:rPr>
        <w:t xml:space="preserve">scaled </w:t>
      </w:r>
      <w:r w:rsidRPr="007E0A7D">
        <w:rPr>
          <w:i/>
          <w:iCs/>
          <w:sz w:val="20"/>
          <w:szCs w:val="20"/>
        </w:rPr>
        <w:t>against stream length</w:t>
      </w:r>
      <w:r>
        <w:rPr>
          <w:i/>
          <w:iCs/>
          <w:sz w:val="20"/>
          <w:szCs w:val="20"/>
        </w:rPr>
        <w:t xml:space="preserve"> (km), then log transformed and standardized at the level of each stream</w:t>
      </w:r>
    </w:p>
    <w:p w14:paraId="724627B4" w14:textId="77777777" w:rsidR="00517E09" w:rsidRDefault="00517E09">
      <w:pPr>
        <w:rPr>
          <w:i/>
          <w:iCs/>
          <w:sz w:val="20"/>
          <w:szCs w:val="20"/>
        </w:rPr>
      </w:pPr>
      <w:r>
        <w:rPr>
          <w:i/>
          <w:iCs/>
          <w:sz w:val="20"/>
          <w:szCs w:val="20"/>
        </w:rPr>
        <w:br w:type="page"/>
      </w:r>
    </w:p>
    <w:p w14:paraId="75C6449E" w14:textId="75EF2407" w:rsidR="00FA2C4A" w:rsidRDefault="00FA2C4A" w:rsidP="00FA2C4A">
      <w:pPr>
        <w:pStyle w:val="ListParagraph"/>
        <w:spacing w:after="0" w:line="240" w:lineRule="auto"/>
        <w:ind w:left="360"/>
        <w:rPr>
          <w:i/>
          <w:iCs/>
          <w:sz w:val="20"/>
          <w:szCs w:val="20"/>
        </w:rPr>
      </w:pPr>
      <w:r w:rsidRPr="007E0A7D">
        <w:rPr>
          <w:i/>
          <w:iCs/>
          <w:sz w:val="20"/>
          <w:szCs w:val="20"/>
        </w:rPr>
        <w:lastRenderedPageBreak/>
        <w:t>.</w:t>
      </w:r>
    </w:p>
    <w:p w14:paraId="0B2A034E" w14:textId="40CFE175" w:rsidR="00FA2C4A" w:rsidRDefault="00FA2C4A">
      <w:pPr>
        <w:rPr>
          <w:i/>
          <w:iCs/>
          <w:sz w:val="20"/>
          <w:szCs w:val="20"/>
        </w:rPr>
      </w:pPr>
    </w:p>
    <w:p w14:paraId="4242DF65" w14:textId="49BAC6A0" w:rsidR="00584844" w:rsidRDefault="003821EC" w:rsidP="00584844">
      <w:pPr>
        <w:spacing w:line="240" w:lineRule="auto"/>
        <w:rPr>
          <w:b/>
          <w:bCs/>
        </w:rPr>
      </w:pPr>
      <w:r>
        <w:rPr>
          <w:b/>
          <w:bCs/>
          <w:noProof/>
        </w:rPr>
        <w:drawing>
          <wp:inline distT="0" distB="0" distL="0" distR="0" wp14:anchorId="1E7CEB6B" wp14:editId="12E0CDA4">
            <wp:extent cx="5943600" cy="3962400"/>
            <wp:effectExtent l="0" t="0" r="0" b="0"/>
            <wp:docPr id="24119097" name="Picture 1" descr="The graph shows a decline in even-year pink salmon peak returns in 36 Southeast Alaska streams from 1960 to 2020, with the Indian River being a specific foc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9097" name="Picture 1" descr="The graph shows a decline in even-year pink salmon peak returns in 36 Southeast Alaska streams from 1960 to 2020, with the Indian River being a specific focu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1A8107ED" w14:textId="63BF6CEF" w:rsidR="00584844" w:rsidRDefault="00584844" w:rsidP="00584844">
      <w:pPr>
        <w:spacing w:after="0" w:line="240" w:lineRule="auto"/>
        <w:ind w:left="360"/>
      </w:pPr>
      <w:r w:rsidRPr="00D368CD">
        <w:rPr>
          <w:i/>
          <w:iCs/>
          <w:sz w:val="20"/>
          <w:szCs w:val="20"/>
        </w:rPr>
        <w:t xml:space="preserve">Figure </w:t>
      </w:r>
      <w:r w:rsidR="00FA2C4A">
        <w:rPr>
          <w:i/>
          <w:iCs/>
          <w:sz w:val="20"/>
          <w:szCs w:val="20"/>
        </w:rPr>
        <w:t>4</w:t>
      </w:r>
      <w:r w:rsidRPr="00D368CD">
        <w:rPr>
          <w:i/>
          <w:iCs/>
          <w:sz w:val="20"/>
          <w:szCs w:val="20"/>
        </w:rPr>
        <w:t xml:space="preserve">: MARSS model results estimating the underlying states of even-year pink salmon abundance at Indian River (highlighted in pink) and throughout </w:t>
      </w:r>
      <w:r w:rsidR="003821EC">
        <w:rPr>
          <w:i/>
          <w:iCs/>
          <w:sz w:val="20"/>
          <w:szCs w:val="20"/>
        </w:rPr>
        <w:t>‘</w:t>
      </w:r>
      <w:r w:rsidRPr="00D368CD">
        <w:rPr>
          <w:i/>
          <w:iCs/>
          <w:sz w:val="20"/>
          <w:szCs w:val="20"/>
        </w:rPr>
        <w:t>north southeast (outside)</w:t>
      </w:r>
      <w:r w:rsidR="003821EC">
        <w:rPr>
          <w:i/>
          <w:iCs/>
          <w:sz w:val="20"/>
          <w:szCs w:val="20"/>
        </w:rPr>
        <w:t>’</w:t>
      </w:r>
      <w:r w:rsidRPr="00D368CD">
        <w:rPr>
          <w:i/>
          <w:iCs/>
          <w:sz w:val="20"/>
          <w:szCs w:val="20"/>
        </w:rPr>
        <w:t xml:space="preserve"> region (grey). Abundance estimates are scaled by stream length and z-standardized at the stream level. </w:t>
      </w:r>
    </w:p>
    <w:p w14:paraId="6319C797" w14:textId="0177B78D" w:rsidR="00584844" w:rsidRDefault="00584844" w:rsidP="00584844">
      <w:pPr>
        <w:rPr>
          <w:b/>
          <w:bCs/>
        </w:rPr>
      </w:pPr>
    </w:p>
    <w:p w14:paraId="290614A7" w14:textId="310FE88E" w:rsidR="003821EC" w:rsidRDefault="003821EC" w:rsidP="00584844">
      <w:pPr>
        <w:rPr>
          <w:b/>
          <w:bCs/>
        </w:rPr>
      </w:pPr>
      <w:r>
        <w:rPr>
          <w:noProof/>
        </w:rPr>
        <w:lastRenderedPageBreak/>
        <w:drawing>
          <wp:inline distT="0" distB="0" distL="0" distR="0" wp14:anchorId="286F054D" wp14:editId="3E59B77B">
            <wp:extent cx="5943600" cy="3962400"/>
            <wp:effectExtent l="0" t="0" r="0" b="0"/>
            <wp:docPr id="2040418082" name="Picture 2" descr="The image displays a chart with a downward trend in odd-year pink salmon peak returns in 36 southeast Alaska streams from 1980 to 2020, with the Indian River specifically highligh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8082" name="Picture 2" descr="The image displays a chart with a downward trend in odd-year pink salmon peak returns in 36 southeast Alaska streams from 1980 to 2020, with the Indian River specifically highlighte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9532435" w14:textId="6DBE91ED" w:rsidR="003821EC" w:rsidRDefault="003821EC" w:rsidP="003821EC">
      <w:pPr>
        <w:spacing w:after="0" w:line="240" w:lineRule="auto"/>
        <w:ind w:left="360"/>
      </w:pPr>
      <w:r w:rsidRPr="00D368CD">
        <w:rPr>
          <w:i/>
          <w:iCs/>
          <w:sz w:val="20"/>
          <w:szCs w:val="20"/>
        </w:rPr>
        <w:t xml:space="preserve">Figure </w:t>
      </w:r>
      <w:r w:rsidR="00FA2C4A">
        <w:rPr>
          <w:i/>
          <w:iCs/>
          <w:sz w:val="20"/>
          <w:szCs w:val="20"/>
        </w:rPr>
        <w:t>5</w:t>
      </w:r>
      <w:r w:rsidRPr="00D368CD">
        <w:rPr>
          <w:i/>
          <w:iCs/>
          <w:sz w:val="20"/>
          <w:szCs w:val="20"/>
        </w:rPr>
        <w:t xml:space="preserve">: MARSS model results estimating the underlying states of </w:t>
      </w:r>
      <w:r>
        <w:rPr>
          <w:i/>
          <w:iCs/>
          <w:sz w:val="20"/>
          <w:szCs w:val="20"/>
        </w:rPr>
        <w:t>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scaled by stream length and z-standardized at the stream level. </w:t>
      </w:r>
    </w:p>
    <w:p w14:paraId="38229530" w14:textId="64ADC1DA" w:rsidR="001159C6" w:rsidRDefault="001159C6" w:rsidP="00584844">
      <w:pPr>
        <w:rPr>
          <w:b/>
          <w:bCs/>
        </w:rPr>
      </w:pPr>
      <w:r>
        <w:rPr>
          <w:i/>
          <w:iCs/>
          <w:noProof/>
          <w:sz w:val="20"/>
          <w:szCs w:val="20"/>
        </w:rPr>
        <w:lastRenderedPageBreak/>
        <w:drawing>
          <wp:inline distT="0" distB="0" distL="0" distR="0" wp14:anchorId="0B9698C2" wp14:editId="0493FFF7">
            <wp:extent cx="5943600" cy="3990975"/>
            <wp:effectExtent l="0" t="0" r="0" b="9525"/>
            <wp:docPr id="1601221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90975"/>
                    </a:xfrm>
                    <a:prstGeom prst="rect">
                      <a:avLst/>
                    </a:prstGeom>
                    <a:noFill/>
                    <a:ln>
                      <a:noFill/>
                    </a:ln>
                  </pic:spPr>
                </pic:pic>
              </a:graphicData>
            </a:graphic>
          </wp:inline>
        </w:drawing>
      </w:r>
    </w:p>
    <w:p w14:paraId="21C233C6" w14:textId="38F46792" w:rsidR="001159C6" w:rsidRDefault="001159C6" w:rsidP="001159C6">
      <w:pPr>
        <w:spacing w:after="0" w:line="240" w:lineRule="auto"/>
        <w:ind w:left="360"/>
        <w:rPr>
          <w:sz w:val="20"/>
          <w:szCs w:val="20"/>
        </w:rPr>
      </w:pPr>
      <w:r w:rsidRPr="00D368CD">
        <w:rPr>
          <w:i/>
          <w:iCs/>
          <w:sz w:val="20"/>
          <w:szCs w:val="20"/>
        </w:rPr>
        <w:t xml:space="preserve">Figure </w:t>
      </w:r>
      <w:r w:rsidR="00FA2C4A">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5615BE89" w14:textId="77777777" w:rsidR="00A2788C" w:rsidRDefault="001159C6">
      <w:pPr>
        <w:rPr>
          <w:sz w:val="20"/>
          <w:szCs w:val="20"/>
        </w:rPr>
      </w:pPr>
      <w:r>
        <w:rPr>
          <w:sz w:val="20"/>
          <w:szCs w:val="20"/>
        </w:rPr>
        <w:br w:type="page"/>
      </w:r>
      <w:r w:rsidR="00A2788C" w:rsidRPr="00A2788C">
        <w:rPr>
          <w:noProof/>
          <w:sz w:val="20"/>
          <w:szCs w:val="20"/>
        </w:rPr>
        <w:lastRenderedPageBreak/>
        <w:drawing>
          <wp:inline distT="0" distB="0" distL="0" distR="0" wp14:anchorId="314270D1" wp14:editId="77A1070B">
            <wp:extent cx="6182962" cy="3643952"/>
            <wp:effectExtent l="0" t="0" r="8890" b="0"/>
            <wp:docPr id="1637114464" name="Picture 1" descr="The image displays a table comparing the Indian River's regional abundance for even and odd years, presenting statistical results such as autocorrelation function, F-test for variance, t-test for means, and Welch's t-test for trends, indicating significant differences in certain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14464" name="Picture 1" descr="The image displays a table comparing the Indian River's regional abundance for even and odd years, presenting statistical results such as autocorrelation function, F-test for variance, t-test for means, and Welch's t-test for trends, indicating significant differences in certain cases.&#10;&#10;AI-generated content may be incorrect."/>
                    <pic:cNvPicPr/>
                  </pic:nvPicPr>
                  <pic:blipFill>
                    <a:blip r:embed="rId10"/>
                    <a:stretch>
                      <a:fillRect/>
                    </a:stretch>
                  </pic:blipFill>
                  <pic:spPr>
                    <a:xfrm>
                      <a:off x="0" y="0"/>
                      <a:ext cx="6223385" cy="3667775"/>
                    </a:xfrm>
                    <a:prstGeom prst="rect">
                      <a:avLst/>
                    </a:prstGeom>
                  </pic:spPr>
                </pic:pic>
              </a:graphicData>
            </a:graphic>
          </wp:inline>
        </w:drawing>
      </w:r>
    </w:p>
    <w:p w14:paraId="2B515DB1" w14:textId="5860A08F" w:rsidR="008F08E3" w:rsidRDefault="00A2788C">
      <w:pPr>
        <w:rPr>
          <w:i/>
          <w:iCs/>
          <w:sz w:val="20"/>
          <w:szCs w:val="20"/>
        </w:rPr>
      </w:pPr>
      <w:r w:rsidRPr="001159C6">
        <w:rPr>
          <w:i/>
          <w:iCs/>
          <w:sz w:val="20"/>
          <w:szCs w:val="20"/>
        </w:rPr>
        <w:t>Table 1</w:t>
      </w:r>
      <w:r>
        <w:rPr>
          <w:i/>
          <w:iCs/>
          <w:sz w:val="20"/>
          <w:szCs w:val="20"/>
        </w:rPr>
        <w:t xml:space="preserve">: </w:t>
      </w:r>
      <w:r w:rsidR="002F66CC">
        <w:rPr>
          <w:i/>
          <w:iCs/>
          <w:sz w:val="20"/>
          <w:szCs w:val="20"/>
        </w:rPr>
        <w:t xml:space="preserve">Statistical test results comparing time series data. Each column describes a comparison between fitted states of Indian River pink salmon abundance to fitted states of an “average” pink salmon index stream in ADFG’s </w:t>
      </w:r>
      <w:r w:rsidR="002F66CC" w:rsidRPr="002F66CC">
        <w:rPr>
          <w:i/>
          <w:iCs/>
          <w:sz w:val="20"/>
          <w:szCs w:val="20"/>
        </w:rPr>
        <w:t>‘north southeast (outside)’</w:t>
      </w:r>
      <w:r w:rsidR="002F66CC">
        <w:rPr>
          <w:i/>
          <w:iCs/>
          <w:sz w:val="20"/>
          <w:szCs w:val="20"/>
        </w:rPr>
        <w:t xml:space="preserve"> region. </w:t>
      </w:r>
    </w:p>
    <w:p w14:paraId="0DFC80F8" w14:textId="77777777" w:rsidR="008F08E3" w:rsidRDefault="008F08E3">
      <w:pPr>
        <w:rPr>
          <w:i/>
          <w:iCs/>
          <w:sz w:val="20"/>
          <w:szCs w:val="20"/>
        </w:rPr>
      </w:pPr>
      <w:r>
        <w:rPr>
          <w:i/>
          <w:iCs/>
          <w:sz w:val="20"/>
          <w:szCs w:val="20"/>
        </w:rPr>
        <w:br w:type="page"/>
      </w:r>
    </w:p>
    <w:p w14:paraId="7359D581" w14:textId="0F400245" w:rsidR="00A2788C" w:rsidRDefault="008F08E3">
      <w:pPr>
        <w:rPr>
          <w:sz w:val="20"/>
          <w:szCs w:val="20"/>
        </w:rPr>
      </w:pPr>
      <w:r>
        <w:rPr>
          <w:noProof/>
          <w:sz w:val="20"/>
          <w:szCs w:val="20"/>
        </w:rPr>
        <w:lastRenderedPageBreak/>
        <w:drawing>
          <wp:inline distT="0" distB="0" distL="0" distR="0" wp14:anchorId="36821689" wp14:editId="1DC3A914">
            <wp:extent cx="5937885" cy="3265805"/>
            <wp:effectExtent l="0" t="0" r="5715" b="0"/>
            <wp:docPr id="45335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7885" cy="3265805"/>
                    </a:xfrm>
                    <a:prstGeom prst="rect">
                      <a:avLst/>
                    </a:prstGeom>
                    <a:noFill/>
                    <a:ln>
                      <a:noFill/>
                    </a:ln>
                  </pic:spPr>
                </pic:pic>
              </a:graphicData>
            </a:graphic>
          </wp:inline>
        </w:drawing>
      </w:r>
    </w:p>
    <w:p w14:paraId="151FAC89" w14:textId="50222CE6" w:rsidR="008F08E3" w:rsidRDefault="008F08E3" w:rsidP="008F08E3">
      <w:pPr>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Parallel trends assumption holds in all cases except for even-year runs prior to 1980. It is necessary to construct a synthetic control group for this model.</w:t>
      </w:r>
    </w:p>
    <w:p w14:paraId="4D0141C8" w14:textId="77777777" w:rsidR="001159C6" w:rsidRDefault="001159C6">
      <w:pPr>
        <w:rPr>
          <w:sz w:val="20"/>
          <w:szCs w:val="20"/>
        </w:rPr>
      </w:pPr>
    </w:p>
    <w:p w14:paraId="3CF2518C" w14:textId="2C49E073" w:rsidR="001159C6" w:rsidRDefault="001F4C2E" w:rsidP="001159C6">
      <w:pPr>
        <w:spacing w:after="0" w:line="240" w:lineRule="auto"/>
        <w:ind w:left="360"/>
      </w:pPr>
      <w:r>
        <w:rPr>
          <w:noProof/>
        </w:rPr>
        <w:lastRenderedPageBreak/>
        <w:drawing>
          <wp:inline distT="0" distB="0" distL="0" distR="0" wp14:anchorId="5DCAB4DC" wp14:editId="29346369">
            <wp:extent cx="5934075" cy="4933950"/>
            <wp:effectExtent l="0" t="0" r="9525" b="0"/>
            <wp:docPr id="87142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p>
    <w:p w14:paraId="18BC8120" w14:textId="77777777" w:rsidR="001159C6" w:rsidRDefault="001159C6" w:rsidP="001159C6">
      <w:pPr>
        <w:spacing w:after="0" w:line="240" w:lineRule="auto"/>
        <w:ind w:left="360"/>
        <w:rPr>
          <w:i/>
          <w:iCs/>
          <w:sz w:val="20"/>
          <w:szCs w:val="20"/>
        </w:rPr>
      </w:pPr>
    </w:p>
    <w:p w14:paraId="05D18362" w14:textId="7E3DA3D9" w:rsidR="001159C6" w:rsidRPr="001159C6" w:rsidRDefault="001159C6" w:rsidP="001159C6">
      <w:pPr>
        <w:spacing w:after="0" w:line="240" w:lineRule="auto"/>
        <w:ind w:left="360"/>
        <w:rPr>
          <w:i/>
          <w:iCs/>
          <w:sz w:val="20"/>
          <w:szCs w:val="20"/>
        </w:rPr>
      </w:pPr>
      <w:r w:rsidRPr="001159C6">
        <w:rPr>
          <w:i/>
          <w:iCs/>
          <w:sz w:val="20"/>
          <w:szCs w:val="20"/>
        </w:rPr>
        <w:t xml:space="preserve">Table </w:t>
      </w:r>
      <w:r w:rsidR="008F08E3">
        <w:rPr>
          <w:i/>
          <w:iCs/>
          <w:sz w:val="20"/>
          <w:szCs w:val="20"/>
        </w:rPr>
        <w:t>3</w:t>
      </w:r>
      <w:r>
        <w:rPr>
          <w:i/>
          <w:iCs/>
          <w:sz w:val="20"/>
          <w:szCs w:val="20"/>
        </w:rPr>
        <w:t>: Difference-in-difference results estimating the impact of Sheldon Jackson Hatchery operations on Indian River pink salmon abundances.</w:t>
      </w:r>
      <w:r w:rsidR="00814143">
        <w:rPr>
          <w:i/>
          <w:iCs/>
          <w:sz w:val="20"/>
          <w:szCs w:val="20"/>
        </w:rPr>
        <w:t xml:space="preserve"> Standard errors in parentheses. </w:t>
      </w:r>
      <w:r>
        <w:rPr>
          <w:i/>
          <w:iCs/>
          <w:sz w:val="20"/>
          <w:szCs w:val="20"/>
        </w:rPr>
        <w:t xml:space="preserve"> </w:t>
      </w:r>
    </w:p>
    <w:p w14:paraId="6F0AEA68" w14:textId="51FED447" w:rsidR="00584844" w:rsidRDefault="00584844" w:rsidP="00584844">
      <w:pPr>
        <w:rPr>
          <w:b/>
          <w:bCs/>
        </w:rPr>
      </w:pPr>
      <w:r>
        <w:rPr>
          <w:b/>
          <w:bCs/>
        </w:rPr>
        <w:br w:type="page"/>
      </w:r>
    </w:p>
    <w:p w14:paraId="10CF8FF8" w14:textId="77777777" w:rsidR="00584844" w:rsidRPr="00B81603" w:rsidRDefault="00584844" w:rsidP="00584844">
      <w:pPr>
        <w:spacing w:line="240" w:lineRule="auto"/>
        <w:rPr>
          <w:b/>
          <w:bCs/>
        </w:rPr>
      </w:pPr>
      <w:r w:rsidRPr="00B81603">
        <w:rPr>
          <w:b/>
          <w:bCs/>
        </w:rPr>
        <w:lastRenderedPageBreak/>
        <w:t>References</w:t>
      </w:r>
    </w:p>
    <w:p w14:paraId="05D2DE0F" w14:textId="77777777" w:rsidR="00584844" w:rsidRDefault="00584844" w:rsidP="00584844">
      <w:pPr>
        <w:spacing w:line="240" w:lineRule="auto"/>
        <w:ind w:left="720" w:hanging="720"/>
      </w:pPr>
      <w:r>
        <w:t xml:space="preserve">Alaska Department of Fish and Game. 2024a. Commercial Salmon Fisheries – Southeast Alaska &amp; Yakutat Research: Pink Salmon. Available at: </w:t>
      </w:r>
      <w:hyperlink r:id="rId13" w:history="1">
        <w:r w:rsidRPr="007B1A5E">
          <w:rPr>
            <w:rStyle w:val="Hyperlink"/>
          </w:rPr>
          <w:t>https://www.adfg.alaska.gov/index.cfm?adfg=commercialbyareasoutheast.salmon_research_pink</w:t>
        </w:r>
      </w:hyperlink>
      <w:r>
        <w:t xml:space="preserve"> (accessed December 14, 2024)</w:t>
      </w:r>
    </w:p>
    <w:p w14:paraId="059DAB70" w14:textId="77777777" w:rsidR="00584844" w:rsidRDefault="00584844" w:rsidP="00584844">
      <w:pPr>
        <w:spacing w:line="240" w:lineRule="auto"/>
        <w:ind w:left="720" w:hanging="720"/>
      </w:pPr>
      <w:r>
        <w:t xml:space="preserve">Alaska Department of Fish and Game. 2024b. Mark Recovery Laboratory – Otolith Marking. Available at: </w:t>
      </w:r>
      <w:hyperlink r:id="rId14" w:history="1">
        <w:r w:rsidRPr="007B1A5E">
          <w:rPr>
            <w:rStyle w:val="Hyperlink"/>
          </w:rPr>
          <w:t>https://mtalab.adfg.alaska.gov/OTO/marking.aspx</w:t>
        </w:r>
      </w:hyperlink>
      <w:r>
        <w:t xml:space="preserve"> (accessed December 14, 2024)</w:t>
      </w:r>
    </w:p>
    <w:p w14:paraId="0CC68DD4" w14:textId="77777777" w:rsidR="00584844" w:rsidRPr="00E66FA7" w:rsidRDefault="00584844" w:rsidP="00584844">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83BC2F3" w14:textId="77777777" w:rsidR="00584844" w:rsidRPr="008776F4" w:rsidRDefault="00584844" w:rsidP="00584844">
      <w:pPr>
        <w:spacing w:line="240" w:lineRule="auto"/>
        <w:ind w:left="720" w:hanging="720"/>
      </w:pPr>
      <w:r>
        <w:t xml:space="preserve">Cunningham, S. 2021. </w:t>
      </w:r>
      <w:r>
        <w:rPr>
          <w:i/>
          <w:iCs/>
        </w:rPr>
        <w:t>Causal Inference: The Mixtape.</w:t>
      </w:r>
      <w:r>
        <w:t xml:space="preserve"> Yale University Press, 352 pp.</w:t>
      </w:r>
    </w:p>
    <w:p w14:paraId="67B2C24F" w14:textId="77777777" w:rsidR="00584844" w:rsidRDefault="00584844" w:rsidP="00584844">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13FD7306" w14:textId="17B4251D" w:rsidR="00D20860" w:rsidRDefault="00D20860" w:rsidP="00D20860">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4FD54F54" w14:textId="5C0702A6" w:rsidR="00584844" w:rsidRDefault="00584844" w:rsidP="00584844">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551224E" w14:textId="77777777" w:rsidR="00584844" w:rsidRDefault="00584844" w:rsidP="00584844">
      <w:pPr>
        <w:spacing w:line="240" w:lineRule="auto"/>
        <w:ind w:left="720" w:hanging="720"/>
      </w:pPr>
      <w:r>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78A196FB" w14:textId="77777777" w:rsidR="00BA3D67" w:rsidRDefault="0088198E" w:rsidP="0088198E">
      <w:pPr>
        <w:spacing w:line="240" w:lineRule="auto"/>
        <w:ind w:left="720" w:hanging="720"/>
      </w:pPr>
      <w:r>
        <w:t>Manhard, C. V., J. E. Joyce, W. W. Smoker, and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2F4B5E33" w14:textId="56D6533F" w:rsidR="0088198E" w:rsidRDefault="00BA3D67" w:rsidP="0088198E">
      <w:pPr>
        <w:spacing w:line="240" w:lineRule="auto"/>
        <w:ind w:left="720" w:hanging="720"/>
      </w:pPr>
      <w:r>
        <w:t xml:space="preserve">Mantua, N. J., S. R. Hare, Y. Zhang, J. M. Wallace, and R. C. Francis. A Pacific Interdecadal Climate Oscillation with Impacts on Salmon Production. </w:t>
      </w:r>
      <w:r>
        <w:rPr>
          <w:i/>
          <w:iCs/>
        </w:rPr>
        <w:t>Bulletin of the American Meteorological Society</w:t>
      </w:r>
      <w:r>
        <w:t xml:space="preserve"> 78(6): 1069-1079. </w:t>
      </w:r>
      <w:r w:rsidR="0088198E">
        <w:t xml:space="preserve"> </w:t>
      </w:r>
    </w:p>
    <w:p w14:paraId="1F254F56" w14:textId="6516BA57" w:rsidR="00496748" w:rsidRDefault="00496748" w:rsidP="00496748">
      <w:pPr>
        <w:spacing w:line="240" w:lineRule="auto"/>
        <w:ind w:left="720" w:hanging="720"/>
      </w:pPr>
      <w:r>
        <w:t xml:space="preserve">Miller, K. M., S. J. Perles, J. P. Schmit, E. R. Matthews, A. S. Weed, J. A. Comiskey, M. R. Marshall, P. Nelson, N. A. Fisichelli.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549DED8A" w14:textId="77777777" w:rsidR="00584844" w:rsidRPr="00E66FA7" w:rsidRDefault="00584844" w:rsidP="00584844">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49AEB3DA" w14:textId="77777777" w:rsidR="00584844" w:rsidRDefault="00584844" w:rsidP="00584844">
      <w:pPr>
        <w:spacing w:line="240" w:lineRule="auto"/>
        <w:ind w:left="720" w:hanging="720"/>
      </w:pPr>
      <w:r>
        <w:lastRenderedPageBreak/>
        <w:t xml:space="preserve">National Park Service. 2025a. Organic Act of 1916. Available at: </w:t>
      </w:r>
      <w:hyperlink r:id="rId15" w:history="1">
        <w:r w:rsidRPr="00096DB2">
          <w:rPr>
            <w:rStyle w:val="Hyperlink"/>
          </w:rPr>
          <w:t>https://www.nps.gov/grba/learn/management/organic-act-of-1916.htm</w:t>
        </w:r>
      </w:hyperlink>
      <w:r>
        <w:t xml:space="preserve"> (accessed March 27, 2025)</w:t>
      </w:r>
    </w:p>
    <w:p w14:paraId="4E36A18A" w14:textId="77777777" w:rsidR="00584844" w:rsidRPr="00096DB2" w:rsidRDefault="00584844" w:rsidP="00584844">
      <w:pPr>
        <w:spacing w:line="240" w:lineRule="auto"/>
        <w:ind w:left="720" w:hanging="720"/>
        <w:rPr>
          <w:i/>
          <w:iCs/>
        </w:rPr>
      </w:pPr>
      <w:r>
        <w:t xml:space="preserve">National Park Service. 2025b. Sitka National Historical Park. Available at: </w:t>
      </w:r>
      <w:hyperlink r:id="rId16" w:history="1">
        <w:r w:rsidRPr="00096DB2">
          <w:rPr>
            <w:rStyle w:val="Hyperlink"/>
          </w:rPr>
          <w:t>https://www.nps.gov/sitk/index.htm</w:t>
        </w:r>
      </w:hyperlink>
      <w:r>
        <w:t xml:space="preserve"> (accessed March 18, 2025)</w:t>
      </w:r>
      <w:r>
        <w:rPr>
          <w:i/>
          <w:iCs/>
        </w:rPr>
        <w:t xml:space="preserve"> </w:t>
      </w:r>
    </w:p>
    <w:p w14:paraId="20E001D4" w14:textId="77777777" w:rsidR="00584844" w:rsidRDefault="00584844" w:rsidP="00584844">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CB2DB8F" w14:textId="77777777" w:rsidR="00584844" w:rsidRDefault="00584844" w:rsidP="00584844">
      <w:pPr>
        <w:spacing w:line="240" w:lineRule="auto"/>
        <w:ind w:left="720" w:hanging="720"/>
      </w:pPr>
      <w:r>
        <w:t xml:space="preserve">Sambaraju, K. R., D. W. Goodman. 2021. Mountain pine beetle: an example of a climate-driven eruptive insect impacting conifer forest ecosystems. </w:t>
      </w:r>
      <w:r>
        <w:rPr>
          <w:i/>
          <w:iCs/>
        </w:rPr>
        <w:t>CABI Reviews</w:t>
      </w:r>
      <w:r>
        <w:t>: 18pp.</w:t>
      </w:r>
    </w:p>
    <w:p w14:paraId="049DE9F9" w14:textId="77777777" w:rsidR="00584844" w:rsidRPr="005810E6" w:rsidRDefault="00584844" w:rsidP="00584844">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3925B3F3" w14:textId="77777777" w:rsidR="00584844" w:rsidRDefault="00584844" w:rsidP="00584844">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7675377B" w14:textId="77777777" w:rsidR="00584844" w:rsidRPr="008776F4" w:rsidRDefault="00584844" w:rsidP="00584844">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09DE7175" w14:textId="77777777" w:rsidR="00584844" w:rsidRDefault="00584844" w:rsidP="00584844">
      <w:pPr>
        <w:spacing w:line="240" w:lineRule="auto"/>
        <w:ind w:left="720" w:hanging="720"/>
      </w:pPr>
      <w:r>
        <w:t xml:space="preserve">Thornton, T. F. 1998. </w:t>
      </w:r>
      <w:r>
        <w:rPr>
          <w:i/>
          <w:iCs/>
        </w:rPr>
        <w:t>Traditional Tlingit Use of Sitka National Historical Park</w:t>
      </w:r>
      <w:r>
        <w:t>. National Park Service, 170 pp.</w:t>
      </w:r>
    </w:p>
    <w:p w14:paraId="35B34E13" w14:textId="77777777" w:rsidR="00584844" w:rsidRDefault="00584844" w:rsidP="00584844">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3AC70E10" w14:textId="77777777" w:rsidR="00584844" w:rsidRDefault="00584844" w:rsidP="00584844">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7AD4182E" w14:textId="77777777" w:rsidR="00584844" w:rsidRDefault="00584844"/>
    <w:sectPr w:rsidR="005848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1159C6"/>
    <w:rsid w:val="001D5683"/>
    <w:rsid w:val="001F4C2E"/>
    <w:rsid w:val="002731F8"/>
    <w:rsid w:val="002C38CB"/>
    <w:rsid w:val="002F66CC"/>
    <w:rsid w:val="00370A9F"/>
    <w:rsid w:val="003821EC"/>
    <w:rsid w:val="00402423"/>
    <w:rsid w:val="00496748"/>
    <w:rsid w:val="00517E09"/>
    <w:rsid w:val="00584844"/>
    <w:rsid w:val="005D1695"/>
    <w:rsid w:val="005F00F2"/>
    <w:rsid w:val="00633AFA"/>
    <w:rsid w:val="00786913"/>
    <w:rsid w:val="00795151"/>
    <w:rsid w:val="00814143"/>
    <w:rsid w:val="00843FC5"/>
    <w:rsid w:val="0088198E"/>
    <w:rsid w:val="008F08E3"/>
    <w:rsid w:val="0095349A"/>
    <w:rsid w:val="009D4DE7"/>
    <w:rsid w:val="00A2788C"/>
    <w:rsid w:val="00BA3D67"/>
    <w:rsid w:val="00D20860"/>
    <w:rsid w:val="00E00F85"/>
    <w:rsid w:val="00F613AD"/>
    <w:rsid w:val="00FA2C4A"/>
    <w:rsid w:val="00FA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www.adfg.alaska.gov/index.cfm?adfg=commercialbyareasoutheast.salmon_research_pink"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nps.gov/sitk/index.htm%20"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https://www.nps.gov/grba/learn/management/organic-act-of-1916.htm%20" TargetMode="Externa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mtalab.adfg.alaska.gov/OTO/marking.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309</TotalTime>
  <Pages>11</Pages>
  <Words>1036</Words>
  <Characters>5907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20</cp:revision>
  <dcterms:created xsi:type="dcterms:W3CDTF">2026-02-19T20:34:00Z</dcterms:created>
  <dcterms:modified xsi:type="dcterms:W3CDTF">2026-02-26T17:33:00Z</dcterms:modified>
</cp:coreProperties>
</file>