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w:t>
      </w:r>
      <w:r>
        <w:lastRenderedPageBreak/>
        <w:t xml:space="preserve">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w:t>
      </w:r>
      <w:r>
        <w:lastRenderedPageBreak/>
        <w:t>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 xml:space="preserve">in about 75% </w:t>
      </w:r>
      <w:r w:rsidR="0006107E">
        <w:lastRenderedPageBreak/>
        <w:t>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 xml:space="preserve">Annual reports from Sheldon </w:t>
      </w:r>
      <w:r w:rsidR="007C46E2">
        <w:lastRenderedPageBreak/>
        <w:t>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w:t>
      </w:r>
      <w:r>
        <w:lastRenderedPageBreak/>
        <w:t xml:space="preserve">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w:t>
      </w:r>
      <w:r>
        <w:lastRenderedPageBreak/>
        <w:t>studies which evaluate whether trends in control and treatment groups are mathematically similar in the pre-treatment period (Cunningham 2021).</w:t>
      </w:r>
    </w:p>
    <w:p w14:paraId="28256842" w14:textId="77777777" w:rsidR="00A2387C" w:rsidRDefault="00060EB8" w:rsidP="00A2387C">
      <w:pPr>
        <w:spacing w:after="0" w:line="480" w:lineRule="auto"/>
        <w:ind w:firstLine="360"/>
      </w:pPr>
      <w:r>
        <w:t>This research applies a DD framework to MARSS models in order to once again control for observation error and to capture the autoregressive behavior of the underlying state processes. The indicator variables described above are included as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lastRenderedPageBreak/>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6"/>
      <w:r>
        <w:t xml:space="preserve">Parametric bootstrapping is employed on the best fit models to construct confidence intervals around these </w:t>
      </w:r>
      <w:commentRangeEnd w:id="36"/>
      <w:r w:rsidR="00A2387C">
        <w:rPr>
          <w:rStyle w:val="CommentReference"/>
          <w:sz w:val="24"/>
          <w:szCs w:val="24"/>
        </w:rPr>
        <w:commentReference w:id="36"/>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commentRangeStart w:id="39"/>
      <w:commentRangeStart w:id="40"/>
      <w:r w:rsidR="00670218">
        <w:t xml:space="preserve">It is important to consider the effect of straying both to and from Indian River, as both would influence the abundances observed in stream. </w:t>
      </w:r>
      <w:commentRangeEnd w:id="39"/>
      <w:r w:rsidR="00205B63">
        <w:rPr>
          <w:rStyle w:val="CommentReference"/>
          <w:sz w:val="24"/>
          <w:szCs w:val="24"/>
        </w:rPr>
        <w:commentReference w:id="39"/>
      </w:r>
      <w:commentRangeEnd w:id="40"/>
      <w:r w:rsidR="00F275C7">
        <w:rPr>
          <w:rStyle w:val="CommentReference"/>
          <w:sz w:val="24"/>
          <w:szCs w:val="24"/>
        </w:rPr>
        <w:commentReference w:id="40"/>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w:t>
      </w:r>
      <w:r w:rsidR="00670218">
        <w:lastRenderedPageBreak/>
        <w:t>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commentRangeEnd w:id="38"/>
      <w:r w:rsidR="00F275C7">
        <w:rPr>
          <w:rStyle w:val="CommentReference"/>
          <w:sz w:val="24"/>
          <w:szCs w:val="24"/>
        </w:rPr>
        <w:commentReference w:id="38"/>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1" w:name="_Hlk201668133"/>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2"/>
      <w:commentRangeStart w:id="43"/>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4"/>
      <w:r w:rsidR="00837571">
        <w:t>regional average</w:t>
      </w:r>
      <w:commentRangeEnd w:id="44"/>
      <w:r w:rsidR="00837571">
        <w:rPr>
          <w:rStyle w:val="CommentReference"/>
          <w:sz w:val="24"/>
          <w:szCs w:val="24"/>
        </w:rPr>
        <w:commentReference w:id="44"/>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42"/>
      <w:r w:rsidR="009C0B82">
        <w:rPr>
          <w:rStyle w:val="CommentReference"/>
          <w:sz w:val="24"/>
          <w:szCs w:val="24"/>
        </w:rPr>
        <w:commentReference w:id="42"/>
      </w:r>
      <w:commentRangeEnd w:id="43"/>
      <w:r w:rsidR="00F9527E">
        <w:rPr>
          <w:rStyle w:val="CommentReference"/>
          <w:sz w:val="24"/>
          <w:szCs w:val="24"/>
        </w:rPr>
        <w:commentReference w:id="43"/>
      </w:r>
    </w:p>
    <w:p w14:paraId="09E780EF" w14:textId="511D4277" w:rsidR="00FC2324" w:rsidRPr="00C3066D" w:rsidRDefault="006A0FFE" w:rsidP="00A2387C">
      <w:pPr>
        <w:spacing w:after="0" w:line="480" w:lineRule="auto"/>
      </w:pPr>
      <w:r>
        <w:tab/>
      </w:r>
      <w:r w:rsidR="007635F3">
        <w:t>P</w:t>
      </w:r>
      <w:commentRangeStart w:id="45"/>
      <w:r>
        <w:t>ink salmon abundances observed in recent years at Indian River</w:t>
      </w:r>
      <w:r w:rsidR="008D3168">
        <w:t xml:space="preserve"> do not seem to </w:t>
      </w:r>
      <w:r w:rsidR="001B7645">
        <w:t xml:space="preserve">deviate wildly from the </w:t>
      </w:r>
      <w:commentRangeStart w:id="46"/>
      <w:r w:rsidR="001B7645">
        <w:t>regional average</w:t>
      </w:r>
      <w:commentRangeEnd w:id="46"/>
      <w:r w:rsidR="00AF5677">
        <w:rPr>
          <w:rStyle w:val="CommentReference"/>
          <w:sz w:val="24"/>
          <w:szCs w:val="24"/>
        </w:rPr>
        <w:commentReference w:id="46"/>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5"/>
      <w:del w:id="47" w:author="Brian McGreal" w:date="2026-03-30T12:29:00Z" w16du:dateUtc="2026-03-30T19:29:00Z">
        <w:r w:rsidR="00AF5677" w:rsidDel="002A4213">
          <w:rPr>
            <w:rStyle w:val="CommentReference"/>
            <w:sz w:val="24"/>
            <w:szCs w:val="24"/>
          </w:rPr>
          <w:commentReference w:id="45"/>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w:t>
      </w:r>
      <w:r w:rsidR="001B7645">
        <w:lastRenderedPageBreak/>
        <w:t>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77777777"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In both cases, </w:t>
      </w:r>
      <w:r w:rsidR="003D1E65">
        <w:t xml:space="preserve">AICc comparisons find that the best fit </w:t>
      </w:r>
      <w:r w:rsidR="00FE133B">
        <w:t>DD</w:t>
      </w:r>
      <w:r w:rsidR="003D1E65">
        <w:t xml:space="preserve"> models include </w:t>
      </w:r>
      <w:r>
        <w:t xml:space="preserve">only </w:t>
      </w:r>
      <w:r w:rsidR="003D1E65">
        <w:t xml:space="preserve">covariates controlling for observer, </w:t>
      </w:r>
      <w:r>
        <w:t>although the difference in AICc between the best fit model and the</w:t>
      </w:r>
      <w:r w:rsidR="00FE133B">
        <w:t xml:space="preserve"> full</w:t>
      </w:r>
      <w:r>
        <w:t xml:space="preserve"> model</w:t>
      </w:r>
      <w:r w:rsidR="003D1E65">
        <w:t xml:space="preserve"> </w:t>
      </w:r>
      <w:r w:rsidR="00FE133B">
        <w:t>(</w:t>
      </w:r>
      <w:r>
        <w:t>which</w:t>
      </w:r>
      <w:r w:rsidR="003D1E65">
        <w:t xml:space="preserve"> includ</w:t>
      </w:r>
      <w:r>
        <w:t>es</w:t>
      </w:r>
      <w:r w:rsidR="003D1E65">
        <w:t xml:space="preserve"> </w:t>
      </w:r>
      <w:r>
        <w:t xml:space="preserve">covariates for both observer and </w:t>
      </w:r>
      <w:r w:rsidR="003D1E65">
        <w:t>PDO</w:t>
      </w:r>
      <w:r w:rsidR="00FE133B">
        <w:t>)</w:t>
      </w:r>
      <w:r w:rsidR="003D1E65">
        <w:t xml:space="preserve"> </w:t>
      </w:r>
      <w:r>
        <w:t>is less than two</w:t>
      </w:r>
      <w:r w:rsidR="00FE133B">
        <w:t xml:space="preserve"> (</w:t>
      </w:r>
      <w:r w:rsidR="00FE133B">
        <w:rPr>
          <w:rFonts w:cstheme="minorHAnsi"/>
        </w:rPr>
        <w:t>Δ</w:t>
      </w:r>
      <w:r w:rsidR="00FE133B">
        <w:t xml:space="preserve">AICc = 1.577 in the post-1980 model set, and </w:t>
      </w:r>
      <w:r w:rsidR="00FE133B">
        <w:rPr>
          <w:rFonts w:cstheme="minorHAnsi"/>
        </w:rPr>
        <w:t>Δ</w:t>
      </w:r>
      <w:r w:rsidR="00FE133B">
        <w:t>AICc = 0.96 in the post-2010 model set)</w:t>
      </w:r>
      <w:r w:rsidR="003D1E65">
        <w:t xml:space="preserve">. </w:t>
      </w:r>
      <w:r w:rsidR="00FE133B">
        <w:t>This means that despite not being the best fit model, the statistical confidence to reject the full model is lacking. Due to this model uncertainty, an Akaike-weighted average of parameters from each model are</w:t>
      </w:r>
      <w:r w:rsidR="00BB24CA">
        <w:t xml:space="preserve"> evaluated (Burnham &amp; Anderson 2002)</w:t>
      </w:r>
      <w:r w:rsidR="00FE133B">
        <w:t>.</w:t>
      </w:r>
      <w:r w:rsidR="00BB24CA">
        <w:t xml:space="preserve"> </w:t>
      </w:r>
    </w:p>
    <w:p w14:paraId="19FCCE81" w14:textId="723D6094" w:rsidR="003D1E65" w:rsidRDefault="007B0F67" w:rsidP="007B0F67">
      <w:pPr>
        <w:spacing w:after="0" w:line="480" w:lineRule="auto"/>
        <w:ind w:firstLine="720"/>
      </w:pPr>
      <w:r>
        <w:t>When evaluating model fit in both the pre-treatment periods, AICc indicates that the best fit models include only covariates controlling for observer, meaning the</w:t>
      </w:r>
      <w:r w:rsidR="00BB24CA">
        <w:t xml:space="preserve"> </w:t>
      </w:r>
      <w:r w:rsidR="003D1E65">
        <w:t xml:space="preserve">parallel trends </w:t>
      </w:r>
      <w:r w:rsidR="003D1E65">
        <w:lastRenderedPageBreak/>
        <w:t xml:space="preserve">assumption </w:t>
      </w:r>
      <w:r w:rsidR="00BB24CA">
        <w:t xml:space="preserve">is </w:t>
      </w:r>
      <w:r>
        <w:t>will be evaluated including these covariates</w:t>
      </w:r>
      <w:r w:rsidR="00BB24CA">
        <w:t xml:space="preserve">. </w:t>
      </w:r>
      <w:r w:rsidR="003D1E65">
        <w:t>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2509FB1" w14:textId="77777777" w:rsidR="005B1CFB" w:rsidRDefault="00CD3E62" w:rsidP="005B1CFB">
      <w:pPr>
        <w:spacing w:after="0" w:line="480" w:lineRule="auto"/>
      </w:pPr>
      <w:r>
        <w:tab/>
      </w:r>
      <w:r w:rsidR="005B1CFB">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 xml:space="preserve">prior brood year Indian River </w:t>
      </w:r>
      <w:r w:rsidR="00090DA1" w:rsidRPr="00090DA1">
        <w:lastRenderedPageBreak/>
        <w:t>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8"/>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8"/>
      <w:r w:rsidR="00B07643">
        <w:rPr>
          <w:rStyle w:val="CommentReference"/>
          <w:sz w:val="24"/>
          <w:szCs w:val="24"/>
        </w:rPr>
        <w:commentReference w:id="48"/>
      </w:r>
    </w:p>
    <w:p w14:paraId="791283B6" w14:textId="77777777" w:rsidR="00344905" w:rsidRDefault="00344905" w:rsidP="008C144E">
      <w:pPr>
        <w:spacing w:after="0" w:line="480" w:lineRule="auto"/>
      </w:pPr>
    </w:p>
    <w:bookmarkEnd w:id="1"/>
    <w:bookmarkEnd w:id="41"/>
    <w:p w14:paraId="5EDACFAE" w14:textId="77777777" w:rsidR="005306BE" w:rsidRPr="008C144E" w:rsidRDefault="005306BE" w:rsidP="005306BE">
      <w:pPr>
        <w:spacing w:after="0" w:line="480" w:lineRule="auto"/>
        <w:rPr>
          <w:b/>
          <w:bCs/>
          <w:u w:val="single"/>
        </w:rPr>
      </w:pPr>
      <w:commentRangeStart w:id="49"/>
      <w:r w:rsidRPr="008C144E">
        <w:rPr>
          <w:b/>
          <w:bCs/>
          <w:u w:val="single"/>
        </w:rPr>
        <w:t>Discussion</w:t>
      </w:r>
      <w:commentRangeEnd w:id="49"/>
      <w:r w:rsidRPr="008C144E">
        <w:rPr>
          <w:rStyle w:val="CommentReference"/>
          <w:b/>
          <w:bCs/>
          <w:sz w:val="24"/>
          <w:szCs w:val="24"/>
          <w:u w:val="single"/>
        </w:rPr>
        <w:commentReference w:id="49"/>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lastRenderedPageBreak/>
        <w:t>(</w:t>
      </w:r>
      <w:r w:rsidRPr="003C6E79">
        <w:rPr>
          <w:i/>
          <w:iCs/>
        </w:rPr>
        <w:t>outside</w:t>
      </w:r>
      <w:r w:rsidRPr="00095DCA">
        <w:t>), where</w:t>
      </w:r>
      <w:r>
        <w:t>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w:t>
      </w:r>
      <w:r>
        <w:lastRenderedPageBreak/>
        <w:t xml:space="preserve">subsequent brood year, while an accompanying effect of hatchery releases on subsequent brood year Indian River abundances was not found to be statistically significant (Figure 6). </w:t>
      </w:r>
      <w:r w:rsidR="009754D5">
        <w:t xml:space="preserve">Even if there exists </w:t>
      </w:r>
      <w:r w:rsidR="009754D5">
        <w:t>small but positive true effect of hatchery releases on subsequent brood year Indian River abundances</w:t>
      </w:r>
      <w:r w:rsidR="009754D5">
        <w:t xml:space="preserve"> in even-year runs, the difference between this effect and the relatively larger effect of </w:t>
      </w:r>
      <w:r w:rsidR="009754D5">
        <w:t>Indian River abundances on pink salmon returning to the hatchery in the subsequent brood year</w:t>
      </w:r>
      <w:r w:rsidR="009754D5">
        <w:t xml:space="preserve"> is fairly large. This would imply that Indian River spawners would have 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w:t>
      </w:r>
      <w:r>
        <w:lastRenderedPageBreak/>
        <w:t xml:space="preserve">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t>
      </w:r>
      <w:r>
        <w:lastRenderedPageBreak/>
        <w:t>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5989E02" w14:textId="1E5C63EE" w:rsidR="00FE133B" w:rsidRDefault="00FE133B" w:rsidP="000F7853">
      <w:pPr>
        <w:spacing w:line="240" w:lineRule="auto"/>
        <w:ind w:left="720" w:hanging="720"/>
        <w:rPr>
          <w:ins w:id="50" w:author="Brian E McGreal" w:date="2026-03-27T09:38:00Z" w16du:dateUtc="2026-03-27T16:38:00Z"/>
        </w:rPr>
      </w:pPr>
      <w:r w:rsidRPr="00FE133B">
        <w:t>Burnham, K. P., &amp;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AD430D6" w:rsidR="009D55B2" w:rsidRPr="00E66FA7" w:rsidRDefault="009D55B2" w:rsidP="009D55B2">
      <w:pPr>
        <w:spacing w:line="240" w:lineRule="auto"/>
        <w:ind w:left="720" w:hanging="720"/>
      </w:pPr>
      <w:ins w:id="51"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77777777" w:rsidR="00AF5677"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Brian McGreal" w:date="2026-03-30T12:41:00Z" w:initials="BM">
    <w:p w14:paraId="5FCED028" w14:textId="36CA80ED" w:rsidR="00A2387C" w:rsidRDefault="00A2387C">
      <w:pPr>
        <w:pStyle w:val="CommentText"/>
      </w:pPr>
      <w:r>
        <w:rPr>
          <w:rStyle w:val="CommentReference"/>
        </w:rPr>
        <w:annotationRef/>
      </w:r>
      <w:r>
        <w:t>Weird sentence</w:t>
      </w:r>
    </w:p>
  </w:comment>
  <w:comment w:id="39"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40"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8"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4"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2"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3"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6" w:author="Brian McGreal" w:date="2026-03-30T15:05:00Z" w:initials="BM">
    <w:p w14:paraId="090708CA" w14:textId="463CCD79" w:rsidR="001B7645" w:rsidRDefault="001B7645">
      <w:pPr>
        <w:pStyle w:val="CommentText"/>
      </w:pPr>
      <w:r>
        <w:rPr>
          <w:rStyle w:val="CommentReference"/>
        </w:rPr>
        <w:annotationRef/>
      </w:r>
      <w:r>
        <w:t>Here again</w:t>
      </w:r>
    </w:p>
  </w:comment>
  <w:comment w:id="45"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8"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9"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2BBF"/>
    <w:rsid w:val="00114A77"/>
    <w:rsid w:val="00121CF4"/>
    <w:rsid w:val="001262D0"/>
    <w:rsid w:val="00143CB9"/>
    <w:rsid w:val="001509D8"/>
    <w:rsid w:val="001A405D"/>
    <w:rsid w:val="001A6AA2"/>
    <w:rsid w:val="001B7645"/>
    <w:rsid w:val="001D457C"/>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06BE"/>
    <w:rsid w:val="005363D0"/>
    <w:rsid w:val="005565C2"/>
    <w:rsid w:val="00572D2B"/>
    <w:rsid w:val="00574432"/>
    <w:rsid w:val="00576D64"/>
    <w:rsid w:val="005B1667"/>
    <w:rsid w:val="005B1CFB"/>
    <w:rsid w:val="005B3ACD"/>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5815"/>
    <w:rsid w:val="006A0FFE"/>
    <w:rsid w:val="006B1A2E"/>
    <w:rsid w:val="006B5A94"/>
    <w:rsid w:val="006C6D25"/>
    <w:rsid w:val="006D7969"/>
    <w:rsid w:val="006E0493"/>
    <w:rsid w:val="006E6B42"/>
    <w:rsid w:val="00716B1F"/>
    <w:rsid w:val="00723599"/>
    <w:rsid w:val="00731AF8"/>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721BE"/>
    <w:rsid w:val="009754D5"/>
    <w:rsid w:val="00976473"/>
    <w:rsid w:val="0097710D"/>
    <w:rsid w:val="009845B1"/>
    <w:rsid w:val="009978CD"/>
    <w:rsid w:val="009A51C2"/>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3D33"/>
    <w:rsid w:val="00AD445E"/>
    <w:rsid w:val="00AE03EE"/>
    <w:rsid w:val="00AE4507"/>
    <w:rsid w:val="00AE6A99"/>
    <w:rsid w:val="00AF5677"/>
    <w:rsid w:val="00B00D9B"/>
    <w:rsid w:val="00B07643"/>
    <w:rsid w:val="00B23CD2"/>
    <w:rsid w:val="00B50797"/>
    <w:rsid w:val="00B66763"/>
    <w:rsid w:val="00B67742"/>
    <w:rsid w:val="00B96F76"/>
    <w:rsid w:val="00BB24CA"/>
    <w:rsid w:val="00BB43D3"/>
    <w:rsid w:val="00BB4FE2"/>
    <w:rsid w:val="00BD7B83"/>
    <w:rsid w:val="00BF04BF"/>
    <w:rsid w:val="00C16190"/>
    <w:rsid w:val="00C3066D"/>
    <w:rsid w:val="00C60F0A"/>
    <w:rsid w:val="00C61B5A"/>
    <w:rsid w:val="00C64BF8"/>
    <w:rsid w:val="00C66ED1"/>
    <w:rsid w:val="00C80629"/>
    <w:rsid w:val="00C874A9"/>
    <w:rsid w:val="00CA65D7"/>
    <w:rsid w:val="00CC7AA4"/>
    <w:rsid w:val="00CD3E62"/>
    <w:rsid w:val="00CD58A3"/>
    <w:rsid w:val="00CE633A"/>
    <w:rsid w:val="00D011BB"/>
    <w:rsid w:val="00D362A0"/>
    <w:rsid w:val="00D368CD"/>
    <w:rsid w:val="00D45C26"/>
    <w:rsid w:val="00D51675"/>
    <w:rsid w:val="00D56989"/>
    <w:rsid w:val="00D57B76"/>
    <w:rsid w:val="00D801ED"/>
    <w:rsid w:val="00D9784A"/>
    <w:rsid w:val="00DA70F0"/>
    <w:rsid w:val="00DC2443"/>
    <w:rsid w:val="00DC67C0"/>
    <w:rsid w:val="00DF38BD"/>
    <w:rsid w:val="00E06BFE"/>
    <w:rsid w:val="00E47684"/>
    <w:rsid w:val="00E65279"/>
    <w:rsid w:val="00E65F33"/>
    <w:rsid w:val="00E72B3A"/>
    <w:rsid w:val="00E73316"/>
    <w:rsid w:val="00E82478"/>
    <w:rsid w:val="00EB0251"/>
    <w:rsid w:val="00EB1DB7"/>
    <w:rsid w:val="00ED5857"/>
    <w:rsid w:val="00ED5A07"/>
    <w:rsid w:val="00ED689D"/>
    <w:rsid w:val="00EF0488"/>
    <w:rsid w:val="00EF2ADE"/>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1181</TotalTime>
  <Pages>30</Pages>
  <Words>8193</Words>
  <Characters>46704</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55</cp:revision>
  <dcterms:created xsi:type="dcterms:W3CDTF">2026-03-06T13:33:00Z</dcterms:created>
  <dcterms:modified xsi:type="dcterms:W3CDTF">2026-04-01T20:38:00Z</dcterms:modified>
</cp:coreProperties>
</file>