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0A6A07" w14:textId="77777777" w:rsidR="00670218" w:rsidRPr="00D9784A" w:rsidRDefault="00670218" w:rsidP="00612D9D">
      <w:pPr>
        <w:pStyle w:val="ListParagraph"/>
        <w:spacing w:after="0" w:line="480" w:lineRule="auto"/>
        <w:ind w:left="360"/>
        <w:rPr>
          <w:b/>
          <w:bCs/>
          <w:u w:val="single"/>
        </w:rPr>
      </w:pPr>
      <w:bookmarkStart w:id="0" w:name="_Hlk201667573"/>
      <w:r w:rsidRPr="00D9784A">
        <w:rPr>
          <w:b/>
          <w:bCs/>
          <w:u w:val="single"/>
        </w:rPr>
        <w:t xml:space="preserve">Introduction </w:t>
      </w:r>
    </w:p>
    <w:p w14:paraId="439291BE" w14:textId="20C3D6E0" w:rsidR="00670218" w:rsidRDefault="00670218" w:rsidP="00A017CB">
      <w:pPr>
        <w:spacing w:after="0" w:line="480" w:lineRule="auto"/>
        <w:ind w:firstLine="720"/>
      </w:pPr>
      <w:r>
        <w:t xml:space="preserve">Since its inception, the National Park Service (NPS) has operated under a mandate to preserve the resources under their stewardship such that they represent ‘vignettes of primitive America’.  For natural resources, particularly those that vary in space and time, the management target has </w:t>
      </w:r>
      <w:r w:rsidR="00A93D33">
        <w:t xml:space="preserve">historically </w:t>
      </w:r>
      <w:r>
        <w:t>been to maintain abundances within a ‘natural range of variation’. Pursuant to this, park managers are often confronted with either the scarcity of native plant or animal species</w:t>
      </w:r>
      <w:r w:rsidR="005078EE">
        <w:t>,</w:t>
      </w:r>
      <w:r>
        <w:t xml:space="preserve"> or an abundance of non-native (exotic, invasive) species that may damage park ecosystems </w:t>
      </w:r>
      <w:r>
        <w:rPr>
          <w:rFonts w:cstheme="minorHAnsi"/>
          <w:color w:val="202122"/>
          <w:shd w:val="clear" w:color="auto" w:fill="FFFFFF"/>
        </w:rPr>
        <w:t>(National Park Service 2025a)</w:t>
      </w:r>
      <w:r>
        <w:t xml:space="preserve">. However, harm to ecosystems can also be driven by </w:t>
      </w:r>
      <w:r w:rsidR="005078EE">
        <w:t>the</w:t>
      </w:r>
      <w:r>
        <w:t xml:space="preserve"> hyperabundance of a native species, due either to shifting regional trends in habitat suitability, to direct (and often anthropogenic) intervention, or to a combination of these factors (Sambaraju and Goodsman 2021, Beckett et al. 2022, Moore et al. 2023). </w:t>
      </w:r>
      <w:r w:rsidR="005078EE">
        <w:t>For example, in Yellowstone National Park, native mountain pine beetles (</w:t>
      </w:r>
      <w:r w:rsidR="005078EE">
        <w:rPr>
          <w:i/>
          <w:iCs/>
        </w:rPr>
        <w:t>Dendroctonus ponderosae</w:t>
      </w:r>
      <w:r w:rsidR="005078EE">
        <w:t>) have recently decimated coniferous forests due to a lack of cold winter temperatures, which have traditionally limited the insects’ numbers and, by extension, their impacts on forests (Gibson et al. 2008). Likewise, in many midwestern and eastern national parks, habitat alterations and the extirpation of natural predators outside park boundaries have led to unprecedented densities of white-tailed deer (</w:t>
      </w:r>
      <w:r w:rsidR="005078EE">
        <w:rPr>
          <w:i/>
          <w:iCs/>
        </w:rPr>
        <w:t>Odocoileus virginianus</w:t>
      </w:r>
      <w:r w:rsidR="005078EE">
        <w:t xml:space="preserve">), capable of intense foraging on vegetation and the depletion of resources on which other species depend (Miller et al. 2023). </w:t>
      </w:r>
      <w:r>
        <w:t>While there is little debate that these occurrences generate a need for management action,</w:t>
      </w:r>
      <w:r w:rsidR="005078EE">
        <w:t xml:space="preserve"> </w:t>
      </w:r>
      <w:r>
        <w:t xml:space="preserve">the </w:t>
      </w:r>
      <w:r w:rsidR="00A93D33">
        <w:t>point at which</w:t>
      </w:r>
      <w:r>
        <w:t xml:space="preserve"> </w:t>
      </w:r>
      <w:r w:rsidR="00A93D33">
        <w:t>the a</w:t>
      </w:r>
      <w:r>
        <w:t xml:space="preserve">bundance of some endemic species exceeds the natural range of variation, thereby triggering a need for management action, can be difficult to ascertain. Park managers </w:t>
      </w:r>
      <w:r w:rsidR="00A017CB">
        <w:t xml:space="preserve">finding themselves confronted with such issues must make careful and informed decisions based on the best </w:t>
      </w:r>
      <w:r w:rsidR="00A017CB">
        <w:lastRenderedPageBreak/>
        <w:t>scientific information available</w:t>
      </w:r>
      <w:r>
        <w:t xml:space="preserve"> as they seek to interpret and implement the mandate to preserve resources in a natural condition. </w:t>
      </w:r>
    </w:p>
    <w:p w14:paraId="0DCE0F57" w14:textId="640781DB" w:rsidR="00670218" w:rsidRDefault="00670218" w:rsidP="00A017CB">
      <w:pPr>
        <w:spacing w:after="0" w:line="480" w:lineRule="auto"/>
        <w:ind w:firstLine="360"/>
      </w:pPr>
      <w:r>
        <w:t>With these ideas in mind, my research focuses on Sitka National Historical Park (SITK) in Sitka, Alaska, a small 112-acre coastal park located in the state’s south</w:t>
      </w:r>
      <w:r w:rsidR="00A017CB">
        <w:t>east</w:t>
      </w:r>
      <w:r>
        <w:t xml:space="preserve">ern panhandle. SITK was designated a National Monument in 1910 and park in 1972, primarily </w:t>
      </w:r>
      <w:r w:rsidRPr="00A017CB">
        <w:rPr>
          <w:rFonts w:cstheme="minorHAnsi"/>
          <w:color w:val="202122"/>
          <w:shd w:val="clear" w:color="auto" w:fill="FFFFFF"/>
        </w:rPr>
        <w:t>to</w:t>
      </w:r>
      <w:r>
        <w:t xml:space="preserve"> conserve the site of an 1804 battle </w:t>
      </w:r>
      <w:r w:rsidRPr="00A017CB">
        <w:rPr>
          <w:rFonts w:cstheme="minorHAnsi"/>
          <w:color w:val="202122"/>
          <w:shd w:val="clear" w:color="auto" w:fill="FFFFFF"/>
        </w:rPr>
        <w:t xml:space="preserve">between the native Tlingit Kiks.ádi clan and Russian colonizers </w:t>
      </w:r>
      <w:r>
        <w:t>(National Park Service 2025b)</w:t>
      </w:r>
      <w:r w:rsidRPr="00A017CB">
        <w:rPr>
          <w:rFonts w:cstheme="minorHAnsi"/>
          <w:color w:val="202122"/>
          <w:shd w:val="clear" w:color="auto" w:fill="FFFFFF"/>
        </w:rPr>
        <w:t xml:space="preserve">.  The park, which </w:t>
      </w:r>
      <w:r>
        <w:t>features a series of totem poles along designated trails and active traditional totem carving activities</w:t>
      </w:r>
      <w:r w:rsidRPr="00A017CB">
        <w:rPr>
          <w:rFonts w:cstheme="minorHAnsi"/>
          <w:color w:val="202122"/>
          <w:shd w:val="clear" w:color="auto" w:fill="FFFFFF"/>
        </w:rPr>
        <w:t xml:space="preserve">, is visited by tens of thousands of tourists each year </w:t>
      </w:r>
      <w:r>
        <w:t>who learn about the history of Sitka and Tlingit culture. While its foundational purpose is the preservation of a historical event, today the park is managed to</w:t>
      </w:r>
      <w:r w:rsidRPr="00A017CB">
        <w:rPr>
          <w:rFonts w:cstheme="minorHAnsi"/>
          <w:color w:val="202122"/>
          <w:shd w:val="clear" w:color="auto" w:fill="FFFFFF"/>
        </w:rPr>
        <w:t xml:space="preserve"> preserve the </w:t>
      </w:r>
      <w:r w:rsidR="00A017CB">
        <w:t>ecosystems</w:t>
      </w:r>
      <w:r w:rsidR="00A017CB" w:rsidRPr="00A017CB">
        <w:rPr>
          <w:rFonts w:cstheme="minorHAnsi"/>
          <w:color w:val="202122"/>
          <w:shd w:val="clear" w:color="auto" w:fill="FFFFFF"/>
        </w:rPr>
        <w:t xml:space="preserve"> </w:t>
      </w:r>
      <w:r w:rsidR="00A017CB">
        <w:rPr>
          <w:rFonts w:cstheme="minorHAnsi"/>
          <w:color w:val="202122"/>
          <w:shd w:val="clear" w:color="auto" w:fill="FFFFFF"/>
        </w:rPr>
        <w:t xml:space="preserve">and </w:t>
      </w:r>
      <w:r w:rsidRPr="00A017CB">
        <w:rPr>
          <w:rFonts w:cstheme="minorHAnsi"/>
          <w:color w:val="202122"/>
          <w:shd w:val="clear" w:color="auto" w:fill="FFFFFF"/>
        </w:rPr>
        <w:t>natural resources present in the surrounding area,</w:t>
      </w:r>
      <w:r>
        <w:t xml:space="preserve"> </w:t>
      </w:r>
      <w:r w:rsidR="00A017CB">
        <w:t xml:space="preserve">including </w:t>
      </w:r>
      <w:r>
        <w:t>mature spruce-hemlock forests and the Indian River, the main reach and intertidal area of which fall within park boundaries</w:t>
      </w:r>
    </w:p>
    <w:p w14:paraId="6E37A897" w14:textId="551496FE" w:rsidR="00670218" w:rsidRDefault="00670218" w:rsidP="00A017CB">
      <w:pPr>
        <w:spacing w:after="0" w:line="480" w:lineRule="auto"/>
        <w:ind w:firstLine="360"/>
      </w:pPr>
      <w:r w:rsidRPr="00A017CB">
        <w:rPr>
          <w:rFonts w:cstheme="minorHAnsi"/>
          <w:color w:val="202122"/>
          <w:shd w:val="clear" w:color="auto" w:fill="FFFFFF"/>
        </w:rPr>
        <w:t xml:space="preserve">Since time immemorial </w:t>
      </w:r>
      <w:r w:rsidRPr="00A017CB">
        <w:rPr>
          <w:rFonts w:cstheme="minorHAnsi"/>
          <w:color w:val="202122"/>
          <w:u w:val="single"/>
          <w:shd w:val="clear" w:color="auto" w:fill="FFFFFF"/>
        </w:rPr>
        <w:t>K</w:t>
      </w:r>
      <w:r w:rsidRPr="00A017CB">
        <w:rPr>
          <w:rFonts w:cstheme="minorHAnsi"/>
          <w:color w:val="202122"/>
          <w:shd w:val="clear" w:color="auto" w:fill="FFFFFF"/>
        </w:rPr>
        <w:t>aasda Héen (the Indian River) has been the location of a fishing camp and harvesting site for the Kiks.ádi clan, and particularly valued for its close proximity to the clan’s winter villages, as well as for hosting runs of a variety of Pacific salmon species, including chum (</w:t>
      </w:r>
      <w:r w:rsidRPr="00A017CB">
        <w:rPr>
          <w:i/>
          <w:iCs/>
        </w:rPr>
        <w:t>Oncorhynchus keta, T</w:t>
      </w:r>
      <w:r w:rsidRPr="00EB397D">
        <w:t>éel</w:t>
      </w:r>
      <w:r w:rsidRPr="00A017CB">
        <w:rPr>
          <w:rFonts w:cstheme="minorHAnsi"/>
          <w:color w:val="202122"/>
          <w:shd w:val="clear" w:color="auto" w:fill="FFFFFF"/>
        </w:rPr>
        <w:t>), coho (</w:t>
      </w:r>
      <w:r w:rsidRPr="00A017CB">
        <w:rPr>
          <w:rFonts w:cstheme="minorHAnsi"/>
          <w:i/>
          <w:iCs/>
          <w:color w:val="202122"/>
          <w:shd w:val="clear" w:color="auto" w:fill="FFFFFF"/>
        </w:rPr>
        <w:t>O. kisutch</w:t>
      </w:r>
      <w:r w:rsidRPr="00A017CB">
        <w:rPr>
          <w:rFonts w:cstheme="minorHAnsi"/>
          <w:color w:val="202122"/>
          <w:shd w:val="clear" w:color="auto" w:fill="FFFFFF"/>
        </w:rPr>
        <w:t>, L’ook), Chinook (</w:t>
      </w:r>
      <w:r w:rsidRPr="00A017CB">
        <w:rPr>
          <w:rFonts w:cstheme="minorHAnsi"/>
          <w:i/>
          <w:iCs/>
          <w:color w:val="202122"/>
          <w:shd w:val="clear" w:color="auto" w:fill="FFFFFF"/>
        </w:rPr>
        <w:t>O. tshawytscha</w:t>
      </w:r>
      <w:r w:rsidRPr="00A017CB">
        <w:rPr>
          <w:rFonts w:cstheme="minorHAnsi"/>
          <w:color w:val="202122"/>
          <w:shd w:val="clear" w:color="auto" w:fill="FFFFFF"/>
        </w:rPr>
        <w:t>, T’á), and pink salmon (</w:t>
      </w:r>
      <w:r w:rsidRPr="00A017CB">
        <w:rPr>
          <w:rFonts w:cstheme="minorHAnsi"/>
          <w:i/>
          <w:iCs/>
          <w:color w:val="202122"/>
          <w:shd w:val="clear" w:color="auto" w:fill="FFFFFF"/>
        </w:rPr>
        <w:t>O. gorbuscha</w:t>
      </w:r>
      <w:r w:rsidRPr="00A017CB">
        <w:rPr>
          <w:rFonts w:cstheme="minorHAnsi"/>
          <w:color w:val="202122"/>
          <w:shd w:val="clear" w:color="auto" w:fill="FFFFFF"/>
        </w:rPr>
        <w:t>, Cháas’) (Thornton 1998). Pink salmon are the most abundant species at Indian River, typically return</w:t>
      </w:r>
      <w:r w:rsidR="00A017CB">
        <w:rPr>
          <w:rFonts w:cstheme="minorHAnsi"/>
          <w:color w:val="202122"/>
          <w:shd w:val="clear" w:color="auto" w:fill="FFFFFF"/>
        </w:rPr>
        <w:t>ing</w:t>
      </w:r>
      <w:r w:rsidRPr="00A017CB">
        <w:rPr>
          <w:rFonts w:cstheme="minorHAnsi"/>
          <w:color w:val="202122"/>
          <w:shd w:val="clear" w:color="auto" w:fill="FFFFFF"/>
        </w:rPr>
        <w:t xml:space="preserve"> to spawn in August. Eggs hatch in the winter and in the spring </w:t>
      </w:r>
      <w:r>
        <w:t xml:space="preserve">juveniles immediately </w:t>
      </w:r>
      <w:r w:rsidRPr="00CD14B8">
        <w:t xml:space="preserve">enter the ocean, </w:t>
      </w:r>
      <w:r>
        <w:t>with all members of a brood</w:t>
      </w:r>
      <w:r w:rsidRPr="00CD14B8">
        <w:t xml:space="preserve"> return</w:t>
      </w:r>
      <w:r>
        <w:t>ing</w:t>
      </w:r>
      <w:r w:rsidRPr="00CD14B8">
        <w:t xml:space="preserve"> to spawn</w:t>
      </w:r>
      <w:r>
        <w:t xml:space="preserve"> the following fall, at two years of age</w:t>
      </w:r>
      <w:r w:rsidRPr="00CD14B8">
        <w:t xml:space="preserve">. This leads to two genetically distinct runs </w:t>
      </w:r>
      <w:r>
        <w:t xml:space="preserve">of salmon inhabiting the same stream </w:t>
      </w:r>
      <w:r w:rsidRPr="00CD14B8">
        <w:t>in even numbered and odd numbered years</w:t>
      </w:r>
      <w:r>
        <w:t>. U</w:t>
      </w:r>
      <w:r w:rsidRPr="00CD14B8">
        <w:t xml:space="preserve">nlike </w:t>
      </w:r>
      <w:r>
        <w:t xml:space="preserve">in </w:t>
      </w:r>
      <w:r w:rsidRPr="00CD14B8">
        <w:t>regions</w:t>
      </w:r>
      <w:r>
        <w:t xml:space="preserve"> further north or south</w:t>
      </w:r>
      <w:r w:rsidRPr="00CD14B8">
        <w:t>, the rivers of northern southeast Alaska see even</w:t>
      </w:r>
      <w:r>
        <w:t>-</w:t>
      </w:r>
      <w:r w:rsidRPr="00CD14B8">
        <w:t xml:space="preserve"> and odd</w:t>
      </w:r>
      <w:r>
        <w:t>-</w:t>
      </w:r>
      <w:r w:rsidRPr="00CD14B8">
        <w:lastRenderedPageBreak/>
        <w:t xml:space="preserve">year pink salmon </w:t>
      </w:r>
      <w:r>
        <w:t>r</w:t>
      </w:r>
      <w:r w:rsidRPr="00CD14B8">
        <w:t>uns that are approximately equal in abundance</w:t>
      </w:r>
      <w:r>
        <w:t xml:space="preserve"> (Alaska Department of Fish and Game 2024a)</w:t>
      </w:r>
      <w:r w:rsidRPr="00CD14B8">
        <w:t>.</w:t>
      </w:r>
    </w:p>
    <w:p w14:paraId="0CDB0A55" w14:textId="54D420C0" w:rsidR="00670218" w:rsidRDefault="00670218" w:rsidP="00A017CB">
      <w:pPr>
        <w:spacing w:after="0" w:line="480" w:lineRule="auto"/>
        <w:ind w:firstLine="360"/>
      </w:pPr>
      <w:r w:rsidRPr="00CD14B8">
        <w:t xml:space="preserve">Although pink salmon have always been abundant </w:t>
      </w:r>
      <w:r>
        <w:t>at Indian River</w:t>
      </w:r>
      <w:r w:rsidRPr="00CD14B8">
        <w:t>, their numbers have increased rapidly in the last</w:t>
      </w:r>
      <w:r>
        <w:t xml:space="preserve"> 30</w:t>
      </w:r>
      <w:r w:rsidRPr="00CD14B8">
        <w:t xml:space="preserve"> years</w:t>
      </w:r>
      <w:r>
        <w:t xml:space="preserve">. The Alaska Department of Fish and Game (ADFG) peak escapement surveys have estimated that, since 1980, </w:t>
      </w:r>
      <w:r w:rsidR="00A017CB">
        <w:t xml:space="preserve">Indian River </w:t>
      </w:r>
      <w:r>
        <w:t xml:space="preserve">pink salmon abundance has increased from </w:t>
      </w:r>
      <w:r w:rsidR="00A017CB">
        <w:t xml:space="preserve">run of </w:t>
      </w:r>
      <w:r>
        <w:t xml:space="preserve">several thousand to </w:t>
      </w:r>
      <w:r w:rsidR="00A017CB">
        <w:t xml:space="preserve">runs </w:t>
      </w:r>
      <w:r>
        <w:t xml:space="preserve">regularly exceeding 100,000 fish annually (Stopha 2015). High abundances of salmon are concerning to park managers because, particularly when occurring at the same time as low in-stream flows, high fish densities can impact the Indian River’s ability to sustain other resident fish species by crashing in-stream dissolved oxygen concentrations (Sergeant et al. 2023). High salmon densities are a naturally occurring phenomenon across the Pacific Rim, and incidences of high densities leading to low egg to fry survival and reduced recruitment or contributing to depleted in stream oxygen levels have been recorded </w:t>
      </w:r>
      <w:r w:rsidR="00E47684">
        <w:t xml:space="preserve">throughout southeast Alaska </w:t>
      </w:r>
      <w:r>
        <w:t xml:space="preserve">(Sergeant et al. 2017, Tillotson and Quinn 2017). </w:t>
      </w:r>
    </w:p>
    <w:p w14:paraId="012C3E04" w14:textId="4B4249E4" w:rsidR="00670218" w:rsidRDefault="00670218" w:rsidP="00A017CB">
      <w:pPr>
        <w:spacing w:after="0" w:line="480" w:lineRule="auto"/>
        <w:ind w:firstLine="360"/>
      </w:pPr>
      <w:r>
        <w:t>The initial increases in Indian River pink salmon abundance observed in the 1980s coincided with the commencement of operations at Sheldon Jackson Hatchery (SJH), a pink salmon hatchery located approximately 1 km</w:t>
      </w:r>
      <w:r w:rsidRPr="00CD14B8">
        <w:t xml:space="preserve"> from the mouth of </w:t>
      </w:r>
      <w:r w:rsidRPr="00CF3314">
        <w:t>the Indian River</w:t>
      </w:r>
      <w:r>
        <w:t xml:space="preserve">. The hatchery is currently operated by </w:t>
      </w:r>
      <w:r w:rsidRPr="00CD14B8">
        <w:t>the not-for-profit Sitka Sound Science Center</w:t>
      </w:r>
      <w:r>
        <w:t xml:space="preserve"> but was originally established in 1975 by Sheldon Jackson College (Stopha 2015). The college, </w:t>
      </w:r>
      <w:r w:rsidR="009A59EE">
        <w:t>initially “laid out as a kind of utopian experiment in assimilating Natives into ‘civilized’ Christian living”</w:t>
      </w:r>
      <w:r>
        <w:t xml:space="preserve">, was at its inception granted water rights from the Indian River (Thornton 1998). Today, water is taken from a diversion upriver of </w:t>
      </w:r>
      <w:r w:rsidR="009A59EE">
        <w:t>SITK’s</w:t>
      </w:r>
      <w:r>
        <w:t xml:space="preserve"> boundar</w:t>
      </w:r>
      <w:r w:rsidR="009A59EE">
        <w:t>ies</w:t>
      </w:r>
      <w:r>
        <w:t xml:space="preserve"> to maintain hatchery operations. </w:t>
      </w:r>
      <w:r w:rsidRPr="00CD14B8">
        <w:t xml:space="preserve">This water is </w:t>
      </w:r>
      <w:r w:rsidRPr="00CD14B8">
        <w:lastRenderedPageBreak/>
        <w:t>used to rear salmon fry, which imprint on its distinct chemical signature</w:t>
      </w:r>
      <w:r>
        <w:t>, and also d</w:t>
      </w:r>
      <w:r w:rsidRPr="00CD14B8">
        <w:t xml:space="preserve">uring spawning season, </w:t>
      </w:r>
      <w:r>
        <w:t xml:space="preserve">when </w:t>
      </w:r>
      <w:r w:rsidRPr="00CD14B8">
        <w:t xml:space="preserve">more of this diverted </w:t>
      </w:r>
      <w:r>
        <w:t>Indian River w</w:t>
      </w:r>
      <w:r w:rsidRPr="00CD14B8">
        <w:t xml:space="preserve">ater is </w:t>
      </w:r>
      <w:r>
        <w:t>releas</w:t>
      </w:r>
      <w:r w:rsidRPr="00CD14B8">
        <w:t xml:space="preserve">ed into the bay near the hatchery to attract returning </w:t>
      </w:r>
      <w:r>
        <w:t>fish. In late summer</w:t>
      </w:r>
      <w:r w:rsidR="009A59EE">
        <w:t>,</w:t>
      </w:r>
      <w:r>
        <w:t xml:space="preserve"> returning hatchery fish tend to aggregate in large schools just offshore, where commercial fisherman partnered with the hatchery purse seine the fish and sell the catch </w:t>
      </w:r>
      <w:r w:rsidRPr="00CD14B8">
        <w:t>for the purposes of cost recovery.</w:t>
      </w:r>
      <w:r>
        <w:t xml:space="preserve"> </w:t>
      </w:r>
      <w:r w:rsidR="009A59EE">
        <w:t xml:space="preserve">At its inception the hatchery was permitted to propagate 1 million pink salmon eggs each year, a number that was increased </w:t>
      </w:r>
      <w:r>
        <w:t>to 3 million eggs</w:t>
      </w:r>
      <w:r w:rsidR="009A59EE">
        <w:t xml:space="preserve"> in 2010, m</w:t>
      </w:r>
      <w:r>
        <w:t>ost of which survive and are released as fry to the ocean</w:t>
      </w:r>
      <w:r w:rsidR="009A59EE">
        <w:t>.</w:t>
      </w:r>
      <w:r>
        <w:t xml:space="preserve"> While these eggs are extracted from hatchery broodstock, the original stock of eggs was </w:t>
      </w:r>
      <w:r w:rsidR="0087408B">
        <w:t xml:space="preserve">sourced </w:t>
      </w:r>
      <w:r>
        <w:t xml:space="preserve">from </w:t>
      </w:r>
      <w:r w:rsidR="0087408B">
        <w:t xml:space="preserve">pink salmon at </w:t>
      </w:r>
      <w:r>
        <w:t xml:space="preserve">the Indian River (even years) and </w:t>
      </w:r>
      <w:r w:rsidRPr="00CD14B8">
        <w:t>nearby Starrigavan Creek</w:t>
      </w:r>
      <w:r>
        <w:t xml:space="preserve"> (odd years) (Stopha 2</w:t>
      </w:r>
      <w:r w:rsidR="0087408B">
        <w:t>01</w:t>
      </w:r>
      <w:r>
        <w:t>5).</w:t>
      </w:r>
    </w:p>
    <w:p w14:paraId="3F008B98" w14:textId="0B81ECC4" w:rsidR="00670218" w:rsidRDefault="00670218" w:rsidP="00A017CB">
      <w:pPr>
        <w:spacing w:after="0" w:line="480" w:lineRule="auto"/>
        <w:ind w:firstLine="360"/>
      </w:pPr>
      <w:r>
        <w:t xml:space="preserve">If all pink salmon reared </w:t>
      </w:r>
      <w:r w:rsidR="00F8072F">
        <w:t>at</w:t>
      </w:r>
      <w:r>
        <w:t xml:space="preserve"> the hatchery returned to the hatchery, the population dynamics of salmon in the Indian River would be unaffected</w:t>
      </w:r>
      <w:r w:rsidR="00F8072F">
        <w:t xml:space="preserve"> by hatchery operations</w:t>
      </w:r>
      <w:r>
        <w:t>.  However, homing by salmon isn’t perfect, and in fact is likely an evolved trait that allows fish to colonize new habitats when they become suitable for spawning (Quinn 2018).  Straying, whereby a juvenile salmon that was produced in one stream (or hatchery) strays into a different stream as an adult to spawn, is likely a common phenomenon for hatchery fish, but whether hatcheries increase the proportion of fish that stray is less clear (Knudsen et al. 2021). Evidence suggests that the Indian River is no exception, and indeed it is possible that the Indian River sees higher than average levels of straying due to the proximity of SJH and the hatchery fish being reared in Indian River water</w:t>
      </w:r>
      <w:r w:rsidR="00F8072F">
        <w:t xml:space="preserve"> (proximity illustrated in Figure </w:t>
      </w:r>
      <w:r w:rsidR="00A368FA">
        <w:t>1</w:t>
      </w:r>
      <w:r w:rsidR="00F8072F">
        <w:t>)</w:t>
      </w:r>
      <w:r>
        <w:t xml:space="preserve">. Hatchery-origin fish at Indian River can be distinguished from natural-origin fish because all pink salmon released by the hatchery are subject to a process called otolith marking, in which small carbonate bodies located in the inner ‘ears’ of </w:t>
      </w:r>
      <w:r>
        <w:lastRenderedPageBreak/>
        <w:t xml:space="preserve">fishes are marked with a distinct pattern. This pattern is produced during incubation, when salmon eggs are exposed to a carefully controlled regime of dry periods and periods submerged in water, leaving a pattern on the otoliths of each fish reflecting a specific hatchery of origin (Stopha 2015, Alaska Department of Fish and Game 2024b).  When salmon return to spawn as adults, biologists can collect these otoliths and determine whether the adult fish sampled in the Indian River are of hatchery or wild origin. Surveying efforts at Indian River have at times found stray pink salmon from Sheldon Jackson Hatchery making up one third of all individuals sampled in a given year. However, rates observed vary considerably, perhaps due to the time of year pink salmon are sampled, with some surveys observing rates of straying closer to 10% (Gende and Carter 2015). </w:t>
      </w:r>
    </w:p>
    <w:p w14:paraId="413C51F5" w14:textId="2E1AE005" w:rsidR="00B67742" w:rsidRDefault="00A368FA" w:rsidP="00B67742">
      <w:pPr>
        <w:spacing w:after="0" w:line="480" w:lineRule="auto"/>
        <w:ind w:firstLine="360"/>
      </w:pPr>
      <w:r>
        <w:t>T</w:t>
      </w:r>
      <w:r w:rsidR="00F8072F">
        <w:t>he possibility that pink salmon being reared and released by Sheldon Jackson hatchery may be contributing to the high abundance</w:t>
      </w:r>
      <w:r>
        <w:t>s of</w:t>
      </w:r>
      <w:r w:rsidR="00F8072F">
        <w:t xml:space="preserve"> fish observed at the Indian River in recent decades</w:t>
      </w:r>
      <w:r>
        <w:t xml:space="preserve"> cannot be ignored. However</w:t>
      </w:r>
      <w:r w:rsidR="00F8072F">
        <w:t xml:space="preserve">, it is also critical to note that these </w:t>
      </w:r>
      <w:r>
        <w:t xml:space="preserve">high </w:t>
      </w:r>
      <w:r w:rsidR="00F8072F">
        <w:t>densities may be naturally occurring phenomena, influenced by variation in stream conditions, ocean productivity, predation intensity, and commercial harvests, among other factors (Manhard et al. 2017).</w:t>
      </w:r>
      <w:r>
        <w:t xml:space="preserve"> ADFG conducts regular monitoring of pink salmon ‘index streams’ throughout southeast Alaska for the primary purpose of managing the commercial fishery (index streams being specifically selected to reflect natural conditions and a lack of undue anthropogenic influences). This extensive monitoring effort provides a regional backdrop against which abundances observed at Indian River may be compared. Figure</w:t>
      </w:r>
      <w:r w:rsidR="00A527C1">
        <w:t>s</w:t>
      </w:r>
      <w:r>
        <w:t xml:space="preserve"> 2 </w:t>
      </w:r>
      <w:r w:rsidR="00A527C1">
        <w:t xml:space="preserve">&amp; 3 </w:t>
      </w:r>
      <w:r>
        <w:t xml:space="preserve">describe peak escapement </w:t>
      </w:r>
      <w:r w:rsidR="00ED5857">
        <w:t>o</w:t>
      </w:r>
      <w:r w:rsidR="003C77AC">
        <w:t>f</w:t>
      </w:r>
      <w:r w:rsidR="00ED5857">
        <w:t xml:space="preserve"> salmon runs </w:t>
      </w:r>
      <w:r>
        <w:t>recorded</w:t>
      </w:r>
      <w:r w:rsidR="003C77AC">
        <w:t xml:space="preserve"> between 1960 and 202</w:t>
      </w:r>
      <w:r w:rsidR="00A527C1">
        <w:t>3</w:t>
      </w:r>
      <w:r>
        <w:t xml:space="preserve"> at </w:t>
      </w:r>
      <w:r w:rsidR="00A527C1">
        <w:t xml:space="preserve">Indian River and </w:t>
      </w:r>
      <w:r>
        <w:t>35 pink salmon streams</w:t>
      </w:r>
      <w:r w:rsidR="00A527C1">
        <w:t>, all</w:t>
      </w:r>
      <w:r w:rsidR="00ED5857">
        <w:t xml:space="preserve"> located in what ADFG designates as the ‘Northern Southeast (Outside)’ region.</w:t>
      </w:r>
      <w:r>
        <w:t xml:space="preserve"> </w:t>
      </w:r>
      <w:r w:rsidR="00F90233">
        <w:t>A cursory</w:t>
      </w:r>
      <w:r w:rsidR="00A527C1">
        <w:t xml:space="preserve"> inspection of these figures </w:t>
      </w:r>
      <w:r w:rsidR="00F90233">
        <w:lastRenderedPageBreak/>
        <w:t xml:space="preserve">suggests </w:t>
      </w:r>
      <w:r w:rsidR="00B67742">
        <w:t>that</w:t>
      </w:r>
      <w:r w:rsidR="00F90233">
        <w:t xml:space="preserve"> abundances of returning pink salmon have generally been on the rise throughout the region over the last few decades, and </w:t>
      </w:r>
      <w:r w:rsidR="00B67742">
        <w:t>that</w:t>
      </w:r>
      <w:r w:rsidR="00F90233">
        <w:t xml:space="preserve"> </w:t>
      </w:r>
      <w:r w:rsidR="00A527C1">
        <w:t xml:space="preserve">Indian River pink salmon are returning in </w:t>
      </w:r>
      <w:r w:rsidR="00B67742">
        <w:t>densities</w:t>
      </w:r>
      <w:r w:rsidR="00A527C1">
        <w:t xml:space="preserve"> </w:t>
      </w:r>
      <w:r w:rsidR="00F90233">
        <w:t xml:space="preserve">consistent with those observed in nearby </w:t>
      </w:r>
      <w:r w:rsidR="00B67742">
        <w:t xml:space="preserve">index </w:t>
      </w:r>
      <w:r w:rsidR="00F90233">
        <w:t xml:space="preserve">streams. </w:t>
      </w:r>
      <w:r w:rsidR="00606949">
        <w:t xml:space="preserve">While this is somewhat compelling, visual inspection of a few dozen time series is not sufficient to conclude whether and to what extent Sheldon Jackson Hatchery has influenced pink salmon abundance at Indian River.  </w:t>
      </w:r>
    </w:p>
    <w:p w14:paraId="2A043FF9" w14:textId="4FC49D92" w:rsidR="00670218" w:rsidRDefault="00670218" w:rsidP="00B67742">
      <w:pPr>
        <w:spacing w:after="0" w:line="480" w:lineRule="auto"/>
        <w:ind w:firstLine="360"/>
      </w:pPr>
      <w:r>
        <w:t xml:space="preserve">My research seeks to assess whether the abundances of pink salmon observed in recent decades at Indian River exist within a natural range of variation relative to pink salmon streams elsewhere in the region. </w:t>
      </w:r>
      <w:r w:rsidR="00B67742">
        <w:t>Additionally,</w:t>
      </w:r>
      <w:r>
        <w:t xml:space="preserve"> </w:t>
      </w:r>
      <w:r w:rsidR="00606949">
        <w:t>my</w:t>
      </w:r>
      <w:r>
        <w:t xml:space="preserve"> research </w:t>
      </w:r>
      <w:r w:rsidR="00B67742">
        <w:t>explore</w:t>
      </w:r>
      <w:r w:rsidR="00606949">
        <w:t>s</w:t>
      </w:r>
      <w:r w:rsidR="00B67742">
        <w:t xml:space="preserve"> whether a causal relationship exists between the operations of Sheldon Jackson Hatchery and the increased pink salmon abundances observed at Indian River since 1980</w:t>
      </w:r>
      <w:r w:rsidR="00606949">
        <w:t>, and estimates</w:t>
      </w:r>
      <w:r>
        <w:t xml:space="preserve"> the effect SJH operations have had on abundances of pink salmon at Indian River over time.  </w:t>
      </w:r>
    </w:p>
    <w:p w14:paraId="0016F865" w14:textId="77777777" w:rsidR="00670218" w:rsidRPr="000D7F29" w:rsidRDefault="00670218" w:rsidP="00612D9D">
      <w:pPr>
        <w:pStyle w:val="ListParagraph"/>
        <w:spacing w:after="0" w:line="480" w:lineRule="auto"/>
        <w:ind w:left="360"/>
        <w:rPr>
          <w:b/>
          <w:bCs/>
        </w:rPr>
      </w:pPr>
    </w:p>
    <w:p w14:paraId="0C43F25E" w14:textId="77777777" w:rsidR="00670218" w:rsidRDefault="00670218" w:rsidP="00A017CB">
      <w:pPr>
        <w:spacing w:after="0" w:line="480" w:lineRule="auto"/>
        <w:rPr>
          <w:b/>
          <w:bCs/>
          <w:u w:val="single"/>
        </w:rPr>
      </w:pPr>
      <w:r w:rsidRPr="00A017CB">
        <w:rPr>
          <w:b/>
          <w:bCs/>
          <w:u w:val="single"/>
        </w:rPr>
        <w:t>Methods</w:t>
      </w:r>
    </w:p>
    <w:p w14:paraId="6C5B3A0B" w14:textId="16916C3C" w:rsidR="00C64BF8" w:rsidRPr="00C64BF8" w:rsidRDefault="00C64BF8" w:rsidP="00A017CB">
      <w:pPr>
        <w:spacing w:after="0" w:line="480" w:lineRule="auto"/>
        <w:rPr>
          <w:b/>
          <w:bCs/>
        </w:rPr>
      </w:pPr>
      <w:r w:rsidRPr="00C64BF8">
        <w:rPr>
          <w:b/>
          <w:bCs/>
        </w:rPr>
        <w:t>Data</w:t>
      </w:r>
    </w:p>
    <w:p w14:paraId="31C0E635" w14:textId="46F2249E" w:rsidR="00670218" w:rsidRDefault="00670218" w:rsidP="00A017CB">
      <w:pPr>
        <w:spacing w:after="0" w:line="480" w:lineRule="auto"/>
      </w:pPr>
      <w:r>
        <w:t xml:space="preserve">Data supporting this research are chiefly sourced from ADFG. ADFG conducts annual aerial surveys of approximately 700 streams in southeast Alaska to monitor pink salmon escapement commercial fisheries management (Van Alen 2000). Survey data used in this study covers the period from 1960 to 2023. These streams, referred to by ADFG as index streams, are chosen because they are believed to reflect the natural condition of pink salmon populations in the region. Index streams are grouped into three sub-regions: </w:t>
      </w:r>
      <w:r w:rsidRPr="003C6E79">
        <w:rPr>
          <w:i/>
          <w:iCs/>
        </w:rPr>
        <w:t>south southeast</w:t>
      </w:r>
      <w:r>
        <w:t xml:space="preserve">, </w:t>
      </w:r>
      <w:r w:rsidRPr="003C6E79">
        <w:rPr>
          <w:i/>
          <w:iCs/>
        </w:rPr>
        <w:t>north southeast (inside),</w:t>
      </w:r>
      <w:r>
        <w:t xml:space="preserve"> and </w:t>
      </w:r>
      <w:r w:rsidRPr="003C6E79">
        <w:rPr>
          <w:i/>
          <w:iCs/>
        </w:rPr>
        <w:t>north southeast (outside)</w:t>
      </w:r>
      <w:r>
        <w:t>. The last group is composed of 35 streams</w:t>
      </w:r>
      <w:r w:rsidRPr="0013608A">
        <w:t xml:space="preserve"> </w:t>
      </w:r>
      <w:r>
        <w:t xml:space="preserve">in the vicinity </w:t>
      </w:r>
      <w:r>
        <w:lastRenderedPageBreak/>
        <w:t>of Sitka and the Indian River along the ocean-facing coasts of Baranof and Chichagof islands and a few smaller islands in the area. Surveys are conducted via fixed-wing aircraft throughout the late summer pink salmon spawning season</w:t>
      </w:r>
      <w:r w:rsidR="00376A4E">
        <w:t>, with the name of the biologist</w:t>
      </w:r>
      <w:r w:rsidR="0006107E">
        <w:t xml:space="preserve"> conducting the survey</w:t>
      </w:r>
      <w:r w:rsidR="00376A4E">
        <w:t xml:space="preserve"> recorded </w:t>
      </w:r>
      <w:r w:rsidR="0006107E">
        <w:t>in about 75% of observations</w:t>
      </w:r>
      <w:r>
        <w:t xml:space="preserve">. A subset of these stream surveys </w:t>
      </w:r>
      <w:r w:rsidR="003C5745">
        <w:t>is</w:t>
      </w:r>
      <w:r>
        <w:t xml:space="preserve"> subject to validation by foot counts </w:t>
      </w:r>
      <w:r w:rsidR="00121CF4">
        <w:t>which are used to</w:t>
      </w:r>
      <w:r>
        <w:t xml:space="preserve"> assess the accuracy of ADFG’s aerial survey efforts (A. Dupuis, ADFG, personal communication, August 19, 2024). </w:t>
      </w:r>
    </w:p>
    <w:p w14:paraId="3BA8B996" w14:textId="77777777" w:rsidR="007F1518" w:rsidRDefault="00670218" w:rsidP="00A017CB">
      <w:pPr>
        <w:spacing w:after="0" w:line="480" w:lineRule="auto"/>
        <w:ind w:firstLine="360"/>
      </w:pPr>
      <w:r>
        <w:t xml:space="preserve">Due to the proximity of SJH and the accompanying potential of hatchery fish to affect wild fish abundance estimates, the Indian River is not one of ADFG’s index streams. Nonetheless, ADFG has still intermittently monitored pink salmon escapement in the stream to provide the most complete data possible on pink salmon in the region. Data are available from Indian River from 1962-67, 1969, 1971-73, 1977-88, 1990, and from 1993-2024 (n = 45 annual observations). </w:t>
      </w:r>
    </w:p>
    <w:p w14:paraId="1B42280F" w14:textId="69D56C4D" w:rsidR="00670218" w:rsidRDefault="00670218" w:rsidP="00A017CB">
      <w:pPr>
        <w:spacing w:after="0" w:line="480" w:lineRule="auto"/>
        <w:ind w:firstLine="360"/>
      </w:pPr>
      <w:r>
        <w:t xml:space="preserve">SJH also must provide ADFG with publicly available hatchery operation reports each year. These annual reports provide the number of </w:t>
      </w:r>
      <w:r w:rsidR="004217D3">
        <w:t>salmon</w:t>
      </w:r>
      <w:r>
        <w:t xml:space="preserve"> juveniles </w:t>
      </w:r>
      <w:r w:rsidR="004217D3">
        <w:t xml:space="preserve">reared and </w:t>
      </w:r>
      <w:r>
        <w:t>released, estimates of the number of hatchery-raised adult salmon which survive the marine environment</w:t>
      </w:r>
      <w:r w:rsidR="00C64BF8">
        <w:t>, estimates of the hatchery’s contributions to common</w:t>
      </w:r>
      <w:r w:rsidR="004217D3">
        <w:t xml:space="preserve"> </w:t>
      </w:r>
      <w:r w:rsidR="00C64BF8">
        <w:t xml:space="preserve">property </w:t>
      </w:r>
      <w:r w:rsidR="001D51EA">
        <w:t xml:space="preserve">commercial </w:t>
      </w:r>
      <w:r w:rsidR="00C64BF8">
        <w:t>fisheries</w:t>
      </w:r>
      <w:r w:rsidR="001D51EA">
        <w:t xml:space="preserve"> (as well as sport and subsistence fisheries)</w:t>
      </w:r>
      <w:r w:rsidR="00C64BF8">
        <w:t>,</w:t>
      </w:r>
      <w:r>
        <w:t xml:space="preserve"> and </w:t>
      </w:r>
      <w:r w:rsidR="00C64BF8">
        <w:t xml:space="preserve">estimates of numbers of adult fish which </w:t>
      </w:r>
      <w:r>
        <w:t>return to the hatchery</w:t>
      </w:r>
      <w:r w:rsidR="001D51EA">
        <w:t xml:space="preserve"> and are taken as cost recovery or as broodstock</w:t>
      </w:r>
      <w:r>
        <w:t>.</w:t>
      </w:r>
    </w:p>
    <w:p w14:paraId="5339CDA4" w14:textId="38222593" w:rsidR="0006107E" w:rsidRDefault="0006107E" w:rsidP="00A017CB">
      <w:pPr>
        <w:spacing w:after="0" w:line="480" w:lineRule="auto"/>
        <w:ind w:firstLine="360"/>
      </w:pPr>
      <w:r>
        <w:t xml:space="preserve">This research also leverages data on </w:t>
      </w:r>
      <w:r w:rsidR="0091309E">
        <w:t xml:space="preserve">relevant </w:t>
      </w:r>
      <w:r>
        <w:t xml:space="preserve">ocean climate in the form of the Pacific Decadal Oscillation (PDO) as recorded by the US National Oceanic and Atmospheric Administration. </w:t>
      </w:r>
      <w:r w:rsidR="0091309E">
        <w:t>This recurring pattern of North Pacific sea surface temperature has been shown to be robustly correlated with salmon production regimes off the coast of Alaska (Mantua et al.</w:t>
      </w:r>
      <w:r w:rsidR="004C58F2">
        <w:t xml:space="preserve"> 1997)</w:t>
      </w:r>
      <w:r w:rsidR="002A355E">
        <w:t>.</w:t>
      </w:r>
    </w:p>
    <w:p w14:paraId="41E95660" w14:textId="77777777" w:rsidR="00143CB9" w:rsidRPr="00C64BF8" w:rsidRDefault="00143CB9" w:rsidP="00C64BF8">
      <w:pPr>
        <w:spacing w:after="0" w:line="480" w:lineRule="auto"/>
        <w:rPr>
          <w:b/>
          <w:bCs/>
        </w:rPr>
      </w:pPr>
    </w:p>
    <w:p w14:paraId="79048D7D" w14:textId="6F12DE5C" w:rsidR="00670218" w:rsidRPr="00C64BF8" w:rsidRDefault="00670218" w:rsidP="00C64BF8">
      <w:pPr>
        <w:spacing w:after="0" w:line="480" w:lineRule="auto"/>
        <w:rPr>
          <w:b/>
          <w:bCs/>
        </w:rPr>
      </w:pPr>
      <w:r w:rsidRPr="00C64BF8">
        <w:rPr>
          <w:b/>
          <w:bCs/>
        </w:rPr>
        <w:t>MARSS Models</w:t>
      </w:r>
    </w:p>
    <w:p w14:paraId="3EB4F13E" w14:textId="2259B979" w:rsidR="00670218" w:rsidRDefault="00670218" w:rsidP="00C64BF8">
      <w:pPr>
        <w:spacing w:after="0" w:line="480" w:lineRule="auto"/>
      </w:pPr>
      <w:r>
        <w:t xml:space="preserve">Multivariate autoregressive state-space (MARSS) models are well suited for parsing long running time series survey </w:t>
      </w:r>
      <w:r w:rsidR="00A017CB">
        <w:t>data and</w:t>
      </w:r>
      <w:r>
        <w:t xml:space="preserve"> designed to mathematically distinguish observation error from error arising from stochasticity in the underlying state of a system. This feature is useful when parsing data collected by different observers operating in differing conditions (weather, time of day, time of year, etc.), where those conditions </w:t>
      </w:r>
      <w:r w:rsidR="001F775B">
        <w:t>could potentially</w:t>
      </w:r>
      <w:r>
        <w:t xml:space="preserve"> bias the observations being made. Furthermore, MARSS models allow for gaps in the observed time series, like those present in the Indian River data, while retaining the ability to make inferences about the underlying state (Holmes et al. 2012). </w:t>
      </w:r>
    </w:p>
    <w:p w14:paraId="5A48A7CE" w14:textId="77777777" w:rsidR="00670218" w:rsidRPr="00C64BF8" w:rsidRDefault="00670218" w:rsidP="00C64BF8">
      <w:pPr>
        <w:spacing w:after="0" w:line="480" w:lineRule="auto"/>
        <w:ind w:firstLine="720"/>
        <w:rPr>
          <w:rStyle w:val="mi"/>
          <w:rFonts w:cstheme="minorHAnsi"/>
          <w:bdr w:val="none" w:sz="0" w:space="0" w:color="auto" w:frame="1"/>
          <w:shd w:val="clear" w:color="auto" w:fill="FFFFFF"/>
        </w:rPr>
      </w:pPr>
      <w:r w:rsidRPr="00C64BF8">
        <w:rPr>
          <w:rStyle w:val="mi"/>
          <w:rFonts w:cstheme="minorHAnsi"/>
          <w:bdr w:val="none" w:sz="0" w:space="0" w:color="auto" w:frame="1"/>
          <w:shd w:val="clear" w:color="auto" w:fill="FFFFFF"/>
        </w:rPr>
        <w:t>MARSS models are composed of a process (or state) equation and an observation equation, generically formulated as follows:</w:t>
      </w:r>
    </w:p>
    <w:p w14:paraId="305A6553" w14:textId="77777777" w:rsidR="00670218" w:rsidRDefault="00670218" w:rsidP="00612D9D">
      <w:pPr>
        <w:pStyle w:val="ListParagraph"/>
        <w:spacing w:after="0" w:line="480" w:lineRule="auto"/>
        <w:ind w:left="360"/>
        <w:rPr>
          <w:rStyle w:val="mi"/>
          <w:rFonts w:ascii="MathJax_Math-italic" w:hAnsi="MathJax_Math-italic"/>
          <w:color w:val="333333"/>
          <w:sz w:val="19"/>
          <w:szCs w:val="19"/>
          <w:bdr w:val="none" w:sz="0" w:space="0" w:color="auto" w:frame="1"/>
          <w:shd w:val="clear" w:color="auto" w:fill="FFFFFF"/>
        </w:rPr>
      </w:pPr>
    </w:p>
    <w:p w14:paraId="16EDF2AD" w14:textId="77777777" w:rsidR="00670218" w:rsidRPr="008236D7" w:rsidRDefault="00670218" w:rsidP="00612D9D">
      <w:pPr>
        <w:spacing w:after="0" w:line="480" w:lineRule="auto"/>
        <w:jc w:val="center"/>
        <w:rPr>
          <w:rFonts w:ascii="Times New Roman" w:eastAsia="Times New Roman" w:hAnsi="Times New Roman" w:cs="Times New Roman"/>
          <w:kern w:val="0"/>
          <w:sz w:val="26"/>
          <w:szCs w:val="26"/>
          <w14:ligatures w14:val="none"/>
        </w:rPr>
      </w:pPr>
      <w:r>
        <w:t xml:space="preserve">Observation equation: </w:t>
      </w:r>
      <w:r>
        <w:tab/>
      </w:r>
      <w:r>
        <w:tab/>
      </w: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4183A24D" w14:textId="77777777" w:rsidR="00670218" w:rsidRPr="00530885" w:rsidRDefault="00670218" w:rsidP="00612D9D">
      <w:pPr>
        <w:spacing w:after="0" w:line="480" w:lineRule="auto"/>
        <w:jc w:val="center"/>
        <w:rPr>
          <w:rFonts w:ascii="Times New Roman" w:eastAsia="Times New Roman" w:hAnsi="Times New Roman" w:cs="Times New Roman"/>
          <w:kern w:val="0"/>
          <w:sz w:val="26"/>
          <w:szCs w:val="26"/>
          <w14:ligatures w14:val="none"/>
        </w:rPr>
      </w:pPr>
      <w:r>
        <w:t>Process/state equation:</w:t>
      </w:r>
      <w:r>
        <w:tab/>
      </w:r>
      <w:r>
        <w:tab/>
      </w: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2B3AAC17" w14:textId="77777777" w:rsidR="00143CB9" w:rsidRDefault="00143CB9" w:rsidP="00612D9D">
      <w:pPr>
        <w:pStyle w:val="ListParagraph"/>
        <w:spacing w:after="0" w:line="480" w:lineRule="auto"/>
        <w:ind w:left="360"/>
      </w:pPr>
    </w:p>
    <w:p w14:paraId="0E4FB76A" w14:textId="3EB09B15" w:rsidR="00670218" w:rsidRDefault="00670218" w:rsidP="00C64BF8">
      <w:pPr>
        <w:spacing w:after="0" w:line="480" w:lineRule="auto"/>
      </w:pPr>
      <w:r>
        <w:t>In the above, observed data in a given time period (</w:t>
      </w:r>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are used to estimate the underlying state of a system of interest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In the observation equation,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determines which time series observations in the observation equation will inform which underlying states in the process equation. In the case of Indian River and the 35 index streams in its vicinity,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36x36 identity matrix would allow each time series to be representative of a separate (in this case stream-level) state, while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36x1 vector of 1s would force </w:t>
      </w:r>
      <w:r w:rsidR="00612D9D">
        <w:t>all-time</w:t>
      </w:r>
      <w:r>
        <w:t xml:space="preserve"> series in </w:t>
      </w:r>
      <w:r>
        <w:lastRenderedPageBreak/>
        <w:t xml:space="preserve">the data to represent samples from one comprehensive underlying state. </w:t>
      </w:r>
      <w:r w:rsidRPr="00C64BF8">
        <w:rPr>
          <w:rFonts w:ascii="MathJax_Math-italic" w:eastAsia="Times New Roman" w:hAnsi="MathJax_Math-italic" w:cs="Times New Roman"/>
          <w:b/>
          <w:bCs/>
          <w:kern w:val="0"/>
          <w:sz w:val="26"/>
          <w:szCs w:val="26"/>
          <w:bdr w:val="none" w:sz="0" w:space="0" w:color="auto" w:frame="1"/>
          <w14:ligatures w14:val="none"/>
        </w:rPr>
        <w:t>a</w:t>
      </w:r>
      <w:r>
        <w:t xml:space="preserve"> allows for trends in the observation process to be asserted or captured (depending on whether </w:t>
      </w:r>
      <w:r w:rsidRPr="00C64BF8">
        <w:rPr>
          <w:rFonts w:ascii="MathJax_Math-italic" w:eastAsia="Times New Roman" w:hAnsi="MathJax_Math-italic" w:cs="Times New Roman"/>
          <w:kern w:val="0"/>
          <w:sz w:val="26"/>
          <w:szCs w:val="26"/>
          <w:bdr w:val="none" w:sz="0" w:space="0" w:color="auto" w:frame="1"/>
          <w14:ligatures w14:val="none"/>
        </w:rPr>
        <w:t>a</w:t>
      </w:r>
      <w:r>
        <w:t xml:space="preserve"> is specified or estimated), and any correlation in observation error between time series</w:t>
      </w:r>
      <w:r w:rsidR="00232D52">
        <w:t xml:space="preserve"> </w:t>
      </w:r>
      <w:r>
        <w:t xml:space="preserve">is defined by </w:t>
      </w:r>
      <w:r w:rsidRPr="00C64BF8">
        <w:rPr>
          <w:rFonts w:ascii="MathJax_Math-italic" w:eastAsia="Times New Roman" w:hAnsi="MathJax_Math-italic" w:cs="Times New Roman"/>
          <w:b/>
          <w:bCs/>
          <w:kern w:val="0"/>
          <w:sz w:val="26"/>
          <w:szCs w:val="26"/>
          <w:bdr w:val="none" w:sz="0" w:space="0" w:color="auto" w:frame="1"/>
          <w14:ligatures w14:val="none"/>
        </w:rPr>
        <w:t>R</w:t>
      </w:r>
      <w:r w:rsidRPr="00C64BF8">
        <w:rPr>
          <w:rFonts w:ascii="MathJax_Math-italic" w:eastAsia="Times New Roman" w:hAnsi="MathJax_Math-italic" w:cs="Times New Roman"/>
          <w:kern w:val="0"/>
          <w:sz w:val="26"/>
          <w:szCs w:val="26"/>
          <w:bdr w:val="none" w:sz="0" w:space="0" w:color="auto" w:frame="1"/>
          <w14:ligatures w14:val="none"/>
        </w:rPr>
        <w:t xml:space="preserve">, </w:t>
      </w:r>
      <w:r>
        <w:t xml:space="preserve">the variance-covariance matrix. In the process equation,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defines the interaction between state estimates through time (i.e.,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kern w:val="0"/>
          <w:sz w:val="26"/>
          <w:szCs w:val="26"/>
          <w:bdr w:val="none" w:sz="0" w:space="0" w:color="auto" w:frame="1"/>
          <w14:ligatures w14:val="none"/>
        </w:rPr>
        <w:t xml:space="preserve"> </w:t>
      </w:r>
      <w:r>
        <w:t xml:space="preserve">and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underlying mean and how quickly the time series would return to the mean following some perturbation. </w:t>
      </w:r>
      <w:r w:rsidR="00232D52">
        <w:t>T</w:t>
      </w:r>
      <w:r>
        <w:t>he correlation of process error is defined by</w:t>
      </w:r>
      <w:r w:rsidRPr="00C64BF8">
        <w:rPr>
          <w:rFonts w:ascii="MathJax_Math-italic" w:eastAsia="Times New Roman" w:hAnsi="MathJax_Math-italic" w:cs="Times New Roman"/>
          <w:kern w:val="0"/>
          <w:sz w:val="26"/>
          <w:szCs w:val="26"/>
          <w:bdr w:val="none" w:sz="0" w:space="0" w:color="auto" w:frame="1"/>
          <w14:ligatures w14:val="none"/>
        </w:rPr>
        <w:t xml:space="preserve"> </w:t>
      </w:r>
      <w:r w:rsidRPr="00C64BF8">
        <w:rPr>
          <w:rFonts w:ascii="MathJax_Math-italic" w:eastAsia="Times New Roman" w:hAnsi="MathJax_Math-italic" w:cs="Times New Roman"/>
          <w:b/>
          <w:bCs/>
          <w:kern w:val="0"/>
          <w:sz w:val="26"/>
          <w:szCs w:val="26"/>
          <w:bdr w:val="none" w:sz="0" w:space="0" w:color="auto" w:frame="1"/>
          <w14:ligatures w14:val="none"/>
        </w:rPr>
        <w:t>Q</w:t>
      </w:r>
      <w:r>
        <w:t xml:space="preserve">. Finally,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d</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are covariate data related to the state or sampling procedure respectively, with </w:t>
      </w:r>
      <w:r w:rsidRPr="00C64BF8">
        <w:rPr>
          <w:rFonts w:ascii="MathJax_Math-italic" w:eastAsia="Times New Roman" w:hAnsi="MathJax_Math-italic" w:cs="Times New Roman"/>
          <w:b/>
          <w:bCs/>
          <w:kern w:val="0"/>
          <w:sz w:val="26"/>
          <w:szCs w:val="26"/>
          <w:bdr w:val="none" w:sz="0" w:space="0" w:color="auto" w:frame="1"/>
          <w14:ligatures w14:val="none"/>
        </w:rPr>
        <w:t>C</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D</w:t>
      </w:r>
      <w:r>
        <w:t xml:space="preserve"> capturing the effect of said covariates. </w:t>
      </w:r>
    </w:p>
    <w:p w14:paraId="233C03CC" w14:textId="77777777" w:rsidR="00670218" w:rsidRDefault="00670218" w:rsidP="00612D9D">
      <w:pPr>
        <w:pStyle w:val="ListParagraph"/>
        <w:spacing w:after="0" w:line="480" w:lineRule="auto"/>
        <w:ind w:left="360"/>
      </w:pPr>
    </w:p>
    <w:p w14:paraId="506A7BFB" w14:textId="77777777" w:rsidR="00670218" w:rsidRPr="00C64BF8" w:rsidRDefault="00670218" w:rsidP="00C64BF8">
      <w:pPr>
        <w:spacing w:after="0" w:line="480" w:lineRule="auto"/>
        <w:rPr>
          <w:b/>
          <w:bCs/>
        </w:rPr>
      </w:pPr>
      <w:r w:rsidRPr="00C64BF8">
        <w:rPr>
          <w:b/>
          <w:bCs/>
        </w:rPr>
        <w:t>Regional Abundance</w:t>
      </w:r>
    </w:p>
    <w:p w14:paraId="202321FB" w14:textId="46C60B32" w:rsidR="00670218" w:rsidRDefault="00670218" w:rsidP="00C64BF8">
      <w:pPr>
        <w:spacing w:after="0" w:line="480" w:lineRule="auto"/>
      </w:pPr>
      <w:r>
        <w:t xml:space="preserve">The first stage of this research will attempt to assess whether abundances of pink salmon observed at Indian River are consistent with those abundances seen elsewhere in the region, with no attention paid to the existence of the hatchery. This is accomplished by comparing MARSS model estimates of the underlying population of Indian River pink salmon to populations estimated in ADFG’s 35 </w:t>
      </w:r>
      <w:r w:rsidRPr="003C6E79">
        <w:rPr>
          <w:i/>
          <w:iCs/>
        </w:rPr>
        <w:t>north southeast (outside)</w:t>
      </w:r>
      <w:r>
        <w:t xml:space="preserve"> index streams. </w:t>
      </w:r>
      <w:r w:rsidR="00FC2324">
        <w:t xml:space="preserve">Data is standardized at the stream level so that streams of varying available pink salmon habitat may be directly compared. </w:t>
      </w:r>
      <w:r>
        <w:t xml:space="preserve">These models include covariate controls for ocean climate and the observer of record for each time series observation (in </w:t>
      </w:r>
      <w:r w:rsidRPr="003C6E79">
        <w:rPr>
          <w:i/>
          <w:iCs/>
        </w:rPr>
        <w:t>north southeast (outside)</w:t>
      </w:r>
      <w:r>
        <w:t xml:space="preserve"> index streams the observer was recorded in 77% of observations, with the rest being assigned an unknown observer). The specification of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is of particular importance to this work, as it defines the state </w:t>
      </w:r>
      <w:r>
        <w:lastRenderedPageBreak/>
        <w:t>against which Indian River pink salmon abundances will be compared. T</w:t>
      </w:r>
      <w:r w:rsidR="00F8028C">
        <w:t xml:space="preserve">he </w:t>
      </w:r>
      <w:r>
        <w:t>most parsimonious model as defined by AIC</w:t>
      </w:r>
      <w:r w:rsidR="00572D2B">
        <w:t>c</w:t>
      </w:r>
      <w:r>
        <w:t xml:space="preserve"> includes a 36x2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matrix, which selects the Indian River as representative of one state and all other streams in the sub-region as representative of a second state</w:t>
      </w:r>
      <w:r w:rsidR="00572D2B">
        <w:t xml:space="preserve"> (AICc is chosen here due to the relatively small number of Indian River observations)</w:t>
      </w:r>
      <w:r>
        <w:t>. This is consistent with non-quantitative intuition if indeed the presence of SJH creates conditions that differ from a “natural” state. No trends are estimated for the observation process, but the model allows for distinct trends in both underlying states. Covariate data relating to observers (</w:t>
      </w:r>
      <w:r w:rsidRPr="00C64BF8">
        <w:rPr>
          <w:rFonts w:ascii="MathJax_Math-italic" w:eastAsia="Times New Roman" w:hAnsi="MathJax_Math-italic" w:cs="Times New Roman"/>
          <w:b/>
          <w:bCs/>
          <w:kern w:val="0"/>
          <w:sz w:val="26"/>
          <w:szCs w:val="26"/>
          <w:bdr w:val="none" w:sz="0" w:space="0" w:color="auto" w:frame="1"/>
          <w14:ligatures w14:val="none"/>
        </w:rPr>
        <w:t>d</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and </w:t>
      </w:r>
      <w:r w:rsidR="00376A4E">
        <w:t xml:space="preserve">the prior year’s </w:t>
      </w:r>
      <w:r>
        <w:t>ocean climate</w:t>
      </w:r>
      <w:r w:rsidR="007B55B0">
        <w:t xml:space="preserve"> via lagged PDO</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are included, resulting in the model described below. </w:t>
      </w:r>
    </w:p>
    <w:p w14:paraId="7EDB4CD5" w14:textId="77777777" w:rsidR="00670218" w:rsidRDefault="00670218" w:rsidP="00612D9D">
      <w:pPr>
        <w:pStyle w:val="ListParagraph"/>
        <w:spacing w:after="0" w:line="480" w:lineRule="auto"/>
        <w:ind w:left="360"/>
      </w:pPr>
    </w:p>
    <w:p w14:paraId="3E1F7F7D" w14:textId="77777777" w:rsidR="00670218" w:rsidRPr="008236D7" w:rsidRDefault="00670218" w:rsidP="00612D9D">
      <w:pPr>
        <w:spacing w:after="0" w:line="480" w:lineRule="auto"/>
        <w:jc w:val="center"/>
        <w:rPr>
          <w:rFonts w:ascii="Times New Roman" w:eastAsia="Times New Roman" w:hAnsi="Times New Roman" w:cs="Times New Roman"/>
          <w:kern w:val="0"/>
          <w:sz w:val="26"/>
          <w:szCs w:val="26"/>
          <w14:ligatures w14:val="none"/>
        </w:rPr>
      </w:pPr>
      <w:r>
        <w:t xml:space="preserve">Observation equation: </w:t>
      </w:r>
      <w:r>
        <w:tab/>
      </w:r>
      <w:r>
        <w:tab/>
      </w: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596ABED7" w14:textId="77777777" w:rsidR="00670218" w:rsidRPr="00F85DB1" w:rsidRDefault="00670218" w:rsidP="00612D9D">
      <w:pPr>
        <w:spacing w:after="0" w:line="480" w:lineRule="auto"/>
        <w:jc w:val="center"/>
        <w:rPr>
          <w:rFonts w:ascii="Times New Roman" w:eastAsia="Times New Roman" w:hAnsi="Times New Roman" w:cs="Times New Roman"/>
          <w:kern w:val="0"/>
          <w:sz w:val="26"/>
          <w:szCs w:val="26"/>
          <w14:ligatures w14:val="none"/>
        </w:rPr>
      </w:pPr>
      <w:r>
        <w:t>Process/state equation:</w:t>
      </w:r>
      <w:r>
        <w:tab/>
      </w:r>
      <w:r>
        <w:tab/>
      </w: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6F28358A" w14:textId="77777777" w:rsidR="00670218" w:rsidRDefault="00670218" w:rsidP="00612D9D">
      <w:pPr>
        <w:pStyle w:val="ListParagraph"/>
        <w:spacing w:after="0" w:line="480" w:lineRule="auto"/>
        <w:ind w:left="360"/>
      </w:pPr>
    </w:p>
    <w:p w14:paraId="08EB7337" w14:textId="4FD0B48D" w:rsidR="00344905" w:rsidRDefault="003C6E79" w:rsidP="003C6E79">
      <w:pPr>
        <w:spacing w:after="0" w:line="480" w:lineRule="auto"/>
        <w:ind w:firstLine="720"/>
      </w:pPr>
      <w:r>
        <w:t xml:space="preserve">Once fitted, this model estimates two time series representing underlying states of pink salmon abundance, one representing Indian River, and the other representing a regional average state of pink salmon abundance in index streams (recall that index streams are selected by ADFG due to their not being heavily influenced by human activity). </w:t>
      </w:r>
      <w:r w:rsidR="00FC2324">
        <w:t xml:space="preserve">These two resulting time series are comparable due to the model being trained on standardized data. </w:t>
      </w:r>
      <w:r>
        <w:t xml:space="preserve">These two time series are then compared both visually and statistically, to assess whether pink salmon abundances at Indian River show significant statistical differences from an average </w:t>
      </w:r>
      <w:r w:rsidRPr="003C6E79">
        <w:rPr>
          <w:i/>
          <w:iCs/>
        </w:rPr>
        <w:t>north southeast (outside)</w:t>
      </w:r>
      <w:r>
        <w:t xml:space="preserve"> index stream.</w:t>
      </w:r>
      <w:r w:rsidR="006B5A94">
        <w:t xml:space="preserve"> </w:t>
      </w:r>
    </w:p>
    <w:p w14:paraId="4426ED39" w14:textId="6D5D47FF" w:rsidR="00670218" w:rsidRDefault="006B5A94" w:rsidP="003C6E79">
      <w:pPr>
        <w:spacing w:after="0" w:line="480" w:lineRule="auto"/>
        <w:ind w:firstLine="720"/>
      </w:pPr>
      <w:r>
        <w:lastRenderedPageBreak/>
        <w:t xml:space="preserve">While there is no single statistical test that evaluates </w:t>
      </w:r>
      <w:r w:rsidR="00344905">
        <w:t>whether</w:t>
      </w:r>
      <w:r>
        <w:t xml:space="preserve"> two time series differ significantly, characteristics of time series that may be statistically compared include long-term trends, variance, mean value, as well as the number of lagged time steps displaying autocorrelation with any given observation. Comparing the variances and means of two time series in a meaningful way </w:t>
      </w:r>
      <w:r w:rsidR="00344905">
        <w:t>requires</w:t>
      </w:r>
      <w:r>
        <w:t xml:space="preserve"> that both time series be stationary, meaning that the variance, mean, and autocorrelation are not changing over time (i.e. the data’s behavior is independent of </w:t>
      </w:r>
      <w:r w:rsidR="00344905">
        <w:t xml:space="preserve">time). </w:t>
      </w:r>
      <w:r w:rsidR="0080336B">
        <w:t xml:space="preserve">This property </w:t>
      </w:r>
      <w:r w:rsidR="00731AF8">
        <w:t>is</w:t>
      </w:r>
      <w:r w:rsidR="0080336B">
        <w:t xml:space="preserve"> evaluated using an Augmented Dickey-Fuller (ADF) test, which determines if a time series is stationary by evaluating the null hypothesis of a unit root being present, or by using a Kwiatkowski-Phillips-Schmidt-Shin (KPSS) test, which determines if a time series is stationary around a linear trend. </w:t>
      </w:r>
      <w:r w:rsidR="00344905">
        <w:t>Any time series which includes some long-term trend or seasonality is likely not stationary, and so it is commonplace to difference time series data by taking the difference between successive observations to “detrend” the data (</w:t>
      </w:r>
      <w:r w:rsidR="00344905">
        <w:rPr>
          <w:rFonts w:cstheme="minorHAnsi"/>
        </w:rPr>
        <w:t>Δ</w:t>
      </w:r>
      <w:r w:rsidR="00344905" w:rsidRPr="00344905">
        <w:rPr>
          <w:rFonts w:ascii="MathJax_Math-italic" w:eastAsia="Times New Roman" w:hAnsi="MathJax_Math-italic" w:cs="Times New Roman"/>
          <w:kern w:val="0"/>
          <w:sz w:val="26"/>
          <w:szCs w:val="26"/>
          <w:bdr w:val="none" w:sz="0" w:space="0" w:color="auto" w:frame="1"/>
          <w14:ligatures w14:val="none"/>
        </w:rPr>
        <w:t>y</w:t>
      </w:r>
      <w:r w:rsidR="00344905"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344905">
        <w:rPr>
          <w:rFonts w:cstheme="minorHAnsi"/>
        </w:rPr>
        <w:t xml:space="preserve"> = </w:t>
      </w:r>
      <w:r w:rsidR="00344905" w:rsidRPr="00344905">
        <w:rPr>
          <w:rFonts w:ascii="MathJax_Math-italic" w:eastAsia="Times New Roman" w:hAnsi="MathJax_Math-italic" w:cs="Times New Roman"/>
          <w:kern w:val="0"/>
          <w:sz w:val="26"/>
          <w:szCs w:val="26"/>
          <w:bdr w:val="none" w:sz="0" w:space="0" w:color="auto" w:frame="1"/>
          <w14:ligatures w14:val="none"/>
        </w:rPr>
        <w:t>y</w:t>
      </w:r>
      <w:r w:rsidR="00344905"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344905">
        <w:rPr>
          <w:rFonts w:cstheme="minorHAnsi"/>
        </w:rPr>
        <w:t xml:space="preserve"> - </w:t>
      </w:r>
      <w:r w:rsidR="00344905" w:rsidRPr="00344905">
        <w:rPr>
          <w:rFonts w:ascii="MathJax_Math-italic" w:eastAsia="Times New Roman" w:hAnsi="MathJax_Math-italic" w:cs="Times New Roman"/>
          <w:kern w:val="0"/>
          <w:sz w:val="26"/>
          <w:szCs w:val="26"/>
          <w:bdr w:val="none" w:sz="0" w:space="0" w:color="auto" w:frame="1"/>
          <w14:ligatures w14:val="none"/>
        </w:rPr>
        <w:t>y</w:t>
      </w:r>
      <w:r w:rsidR="00344905"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344905">
        <w:rPr>
          <w:rFonts w:ascii="MathJax_Math-italic" w:eastAsia="Times New Roman" w:hAnsi="MathJax_Math-italic" w:cs="Times New Roman"/>
          <w:kern w:val="0"/>
          <w:sz w:val="26"/>
          <w:szCs w:val="26"/>
          <w:bdr w:val="none" w:sz="0" w:space="0" w:color="auto" w:frame="1"/>
          <w:vertAlign w:val="subscript"/>
          <w14:ligatures w14:val="none"/>
        </w:rPr>
        <w:t>-1</w:t>
      </w:r>
      <w:r w:rsidR="00344905">
        <w:t xml:space="preserve">). </w:t>
      </w:r>
      <w:r w:rsidR="00731AF8">
        <w:t xml:space="preserve">Once differenced, </w:t>
      </w:r>
      <w:r w:rsidR="00344905">
        <w:t>mean</w:t>
      </w:r>
      <w:r w:rsidR="00731AF8">
        <w:t>s</w:t>
      </w:r>
      <w:r w:rsidR="00344905">
        <w:t xml:space="preserve"> and variance</w:t>
      </w:r>
      <w:r w:rsidR="00731AF8">
        <w:t>s</w:t>
      </w:r>
      <w:r w:rsidR="00344905">
        <w:t xml:space="preserve"> of t</w:t>
      </w:r>
      <w:r w:rsidR="00731AF8">
        <w:t>hese time series may</w:t>
      </w:r>
      <w:r w:rsidR="00344905">
        <w:t xml:space="preserve"> then </w:t>
      </w:r>
      <w:r w:rsidR="00731AF8">
        <w:t>be</w:t>
      </w:r>
      <w:r w:rsidR="00344905">
        <w:t xml:space="preserve"> compared</w:t>
      </w:r>
      <w:r w:rsidR="000D21FB">
        <w:t xml:space="preserve"> using a t-test and F-test respectively</w:t>
      </w:r>
      <w:r w:rsidR="00344905">
        <w:t>.</w:t>
      </w:r>
      <w:r w:rsidR="000D21FB">
        <w:t xml:space="preserve"> The trends can likewise be estimated using simple linear regression and compared using Welch’s t-test.</w:t>
      </w:r>
    </w:p>
    <w:p w14:paraId="24677741" w14:textId="77777777" w:rsidR="00670218" w:rsidRDefault="00670218" w:rsidP="00612D9D">
      <w:pPr>
        <w:pStyle w:val="ListParagraph"/>
        <w:spacing w:after="0" w:line="480" w:lineRule="auto"/>
        <w:ind w:left="360"/>
      </w:pPr>
    </w:p>
    <w:p w14:paraId="3056C065" w14:textId="77777777" w:rsidR="00670218" w:rsidRPr="00C64BF8" w:rsidRDefault="00670218" w:rsidP="00C64BF8">
      <w:pPr>
        <w:spacing w:after="0" w:line="480" w:lineRule="auto"/>
        <w:rPr>
          <w:b/>
          <w:bCs/>
        </w:rPr>
      </w:pPr>
      <w:r w:rsidRPr="00C64BF8">
        <w:rPr>
          <w:b/>
          <w:bCs/>
        </w:rPr>
        <w:t>Effect of Hatchery Operations</w:t>
      </w:r>
    </w:p>
    <w:p w14:paraId="0B1FBCFC" w14:textId="77777777" w:rsidR="00670218" w:rsidRDefault="00670218" w:rsidP="00C64BF8">
      <w:pPr>
        <w:spacing w:after="0" w:line="480" w:lineRule="auto"/>
      </w:pPr>
      <w:r>
        <w:t xml:space="preserve">The timeline of SJH potentially impacting pink salmon abundance at Indian River is reasonably straightforward: hatchery operations begin in 1975, meaning that given the short life cycle of pink salmon, the first returning adults would appear shortly thereafter (it is unclear from available documentation whether a brood of fish were released in 1975 or if that was the first year broodstock was taken from sources at Indian River and Starrigavan Creek). For the first </w:t>
      </w:r>
      <w:r>
        <w:lastRenderedPageBreak/>
        <w:t xml:space="preserve">three decades of its existence, SJH was permitted to propagate 1 million pink salmon eggs per year, with this number increased to 3 million in 2010. This then defines three distinct time periods of SJH production: pre-1975 with no hatchery operations, 1975-2009 with low level operations, and post-2010 with high level operations (Stopha 2015). </w:t>
      </w:r>
    </w:p>
    <w:p w14:paraId="670E76FF" w14:textId="77777777" w:rsidR="00670218" w:rsidRDefault="00670218" w:rsidP="00C64BF8">
      <w:pPr>
        <w:spacing w:after="0" w:line="480" w:lineRule="auto"/>
        <w:ind w:firstLine="720"/>
      </w:pPr>
      <w:r>
        <w:t>This research seeks to take advantage of these distinct time periods by utilizing a difference-in-difference (DD) framework. This quasi-experimental approach is designed to assess the impact of an intervention (in this case the operations of SJH) on an outcome of interest (pink salmon abundance at Indian River). DD modeling compares a treatment group to a control group across two time periods, pre- and post- intervention. The general structure of a difference-in-difference model is as follows:</w:t>
      </w:r>
    </w:p>
    <w:p w14:paraId="30F80B79" w14:textId="77777777" w:rsidR="00670218" w:rsidRDefault="00670218" w:rsidP="00612D9D">
      <w:pPr>
        <w:pStyle w:val="ListParagraph"/>
        <w:spacing w:after="0" w:line="480" w:lineRule="auto"/>
        <w:ind w:left="360"/>
      </w:pPr>
    </w:p>
    <w:p w14:paraId="36DCFDF2" w14:textId="77777777" w:rsidR="00670218" w:rsidRPr="00530885" w:rsidRDefault="00670218" w:rsidP="00612D9D">
      <w:pPr>
        <w:spacing w:after="0" w:line="480" w:lineRule="auto"/>
        <w:jc w:val="center"/>
        <w:rPr>
          <w:rFonts w:ascii="Times New Roman" w:eastAsia="Times New Roman" w:hAnsi="Times New Roman" w:cs="Times New Roman"/>
          <w:kern w:val="0"/>
          <w:sz w:val="26"/>
          <w:szCs w:val="26"/>
          <w14:ligatures w14:val="none"/>
        </w:rP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treatment</w:t>
      </w:r>
      <w:r>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2</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post </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post</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treatment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6CAEED60" w14:textId="77777777" w:rsidR="00143CB9" w:rsidRDefault="00143CB9" w:rsidP="00612D9D">
      <w:pPr>
        <w:pStyle w:val="ListParagraph"/>
        <w:spacing w:after="0" w:line="480" w:lineRule="auto"/>
        <w:ind w:left="360"/>
      </w:pPr>
    </w:p>
    <w:p w14:paraId="5706F059" w14:textId="25EA506F" w:rsidR="00670218" w:rsidRDefault="00670218" w:rsidP="00C64BF8">
      <w:pPr>
        <w:spacing w:after="0" w:line="480" w:lineRule="auto"/>
      </w:pPr>
      <w:r>
        <w:t xml:space="preserve">In the above, </w:t>
      </w:r>
      <w:r w:rsidRPr="00C64BF8">
        <w:rPr>
          <w:rFonts w:ascii="MathJax_Math-italic" w:eastAsia="Times New Roman" w:hAnsi="MathJax_Math-italic" w:cs="Times New Roman"/>
          <w:kern w:val="0"/>
          <w:sz w:val="26"/>
          <w:szCs w:val="26"/>
          <w:bdr w:val="none" w:sz="0" w:space="0" w:color="auto" w:frame="1"/>
          <w14:ligatures w14:val="none"/>
        </w:rPr>
        <w:t>i</w:t>
      </w:r>
      <w:r>
        <w:t xml:space="preserve"> indexes whether an observation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relates to the treatment or control group, while </w:t>
      </w:r>
      <w:r w:rsidRPr="00C64BF8">
        <w:rPr>
          <w:rFonts w:ascii="MathJax_Math-italic" w:eastAsia="Times New Roman" w:hAnsi="MathJax_Math-italic" w:cs="Times New Roman"/>
          <w:kern w:val="0"/>
          <w:sz w:val="26"/>
          <w:szCs w:val="26"/>
          <w:bdr w:val="none" w:sz="0" w:space="0" w:color="auto" w:frame="1"/>
          <w14:ligatures w14:val="none"/>
        </w:rPr>
        <w:t>t</w:t>
      </w:r>
      <w:r>
        <w:t xml:space="preserve"> indexes whether that same observation comes from before or after the treatment is applied.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treatment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part of the treatment group and equal to 0 otherwise. Similarly</w:t>
      </w:r>
      <w:r w:rsidR="003C5745">
        <w:t>,</w:t>
      </w:r>
      <w:r>
        <w:t xml:space="preserve">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post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after treatment is applied, and equal to 0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before. These indicator variables allow for the estimation of a net effect of treatment on the treatment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by first controlling for differing characteristics in the treatment and control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1</w:t>
      </w:r>
      <w:r>
        <w:t>) and differences in the pre- and post-treatment time periods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2</w:t>
      </w:r>
      <w:r>
        <w:t xml:space="preserve">). Additional control covariates may be included to further isolate the effects of interest. Crucially, input data must cover both a control and treatment group, as well </w:t>
      </w:r>
      <w:r>
        <w:lastRenderedPageBreak/>
        <w:t xml:space="preserve">as time periods before and after the intervention of interest. It is important to note that in this case, and indeed in almost every application of DD modeling, true controls in </w:t>
      </w:r>
      <w:r w:rsidR="00773DA7">
        <w:t xml:space="preserve">the </w:t>
      </w:r>
      <w:r>
        <w:t>sense of those resulting from a randomized experimental design are unavailable. Instead, researchers must make do with treating what might be referred to as reference states as control groups. The assumption that these reference states are suitable proxies for randomized control groups</w:t>
      </w:r>
      <w:r w:rsidR="008E7DF4">
        <w:t>, known as the parallel trends assumption,</w:t>
      </w:r>
      <w:r>
        <w:t xml:space="preserve"> is bolstered through the application of event studies which evaluate whether trends in control and treatment groups are mathematically similar in the pre-treatment period (Cunningham 2021).</w:t>
      </w:r>
    </w:p>
    <w:p w14:paraId="5D16AA19" w14:textId="431A9869" w:rsidR="00670218" w:rsidRDefault="00670218" w:rsidP="00C64BF8">
      <w:pPr>
        <w:spacing w:after="0" w:line="480" w:lineRule="auto"/>
        <w:ind w:firstLine="360"/>
      </w:pPr>
      <w:r>
        <w:t>Applying a DD framework to this research, observations of pink salmon abundances at Indian River are assigned to the treatment group while observations at</w:t>
      </w:r>
      <w:r w:rsidR="00044435">
        <w:t xml:space="preserve"> ADFG</w:t>
      </w:r>
      <w:r w:rsidR="00C874A9">
        <w:t xml:space="preserve">’s other </w:t>
      </w:r>
      <w:r w:rsidR="00C874A9" w:rsidRPr="003C6E79">
        <w:rPr>
          <w:i/>
          <w:iCs/>
        </w:rPr>
        <w:t>north southeast (outside)</w:t>
      </w:r>
      <w:r w:rsidR="00C874A9">
        <w:t xml:space="preserve"> </w:t>
      </w:r>
      <w:r w:rsidR="00044435">
        <w:t xml:space="preserve">index streams </w:t>
      </w:r>
      <w:r>
        <w:t xml:space="preserve">form the control group. Such a framework will also be used to evaluate pre- and post-treatment variance in year-to-year abundances. Pre- and post-1980 will be evaluated to indicate the treatment period (allowing a couple of years for hatchery operations to ramp up). A statistically significant estimate of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xml:space="preserve"> greater than 0 would indicate that SJH operations are exerting upward pressure on Indian River pink salmon abundance. However, even if an estimate is found to be statistically significant, the size of the effect must also be considered, as even a significant effect may not be responsible for a large impact on salmon abundance. A separate specification of the DD model will include an indicator variable related to periods pre- and post-2010, to assess the impact of heightened pink salmon production. </w:t>
      </w:r>
      <w:r w:rsidR="00C16190">
        <w:t xml:space="preserve">As with the MARSS models of regional abundance, covariate data relating to observers and ocean climate are included in model specifications, with model fit evaluated using AIC. </w:t>
      </w:r>
      <w:r w:rsidR="00572D2B">
        <w:t xml:space="preserve">The best fit models are then evaluated to ensure that treatment and control groups </w:t>
      </w:r>
      <w:r w:rsidR="00572D2B">
        <w:lastRenderedPageBreak/>
        <w:t>are mathematically similar during the pre-treatment period</w:t>
      </w:r>
      <w:r w:rsidR="009721BE">
        <w:t xml:space="preserve"> (if these groups significantly differ, a synthetic control group may be constructed using a weighted average of untreated streams </w:t>
      </w:r>
      <w:r w:rsidR="00F12190">
        <w:t>to</w:t>
      </w:r>
      <w:r w:rsidR="009721BE">
        <w:t xml:space="preserve"> match the Indian River’s pre-treatment trend)</w:t>
      </w:r>
      <w:r w:rsidR="00572D2B">
        <w:t>.</w:t>
      </w:r>
    </w:p>
    <w:p w14:paraId="498878BE" w14:textId="77777777" w:rsidR="00670218" w:rsidRDefault="00670218" w:rsidP="00612D9D">
      <w:pPr>
        <w:pStyle w:val="ListParagraph"/>
        <w:spacing w:after="0" w:line="480" w:lineRule="auto"/>
        <w:ind w:left="360"/>
      </w:pPr>
    </w:p>
    <w:p w14:paraId="138CEDF0" w14:textId="77777777" w:rsidR="00670218" w:rsidRPr="00C64BF8" w:rsidRDefault="00670218" w:rsidP="00C64BF8">
      <w:pPr>
        <w:spacing w:after="0" w:line="480" w:lineRule="auto"/>
        <w:rPr>
          <w:b/>
          <w:bCs/>
        </w:rPr>
      </w:pPr>
      <w:r w:rsidRPr="00C64BF8">
        <w:rPr>
          <w:b/>
          <w:bCs/>
        </w:rPr>
        <w:t>Effect of Hatchery Releases</w:t>
      </w:r>
    </w:p>
    <w:p w14:paraId="7ED5AA68" w14:textId="77777777" w:rsidR="00F4350E" w:rsidRDefault="004B019B" w:rsidP="00C64BF8">
      <w:pPr>
        <w:spacing w:after="0" w:line="480" w:lineRule="auto"/>
      </w:pPr>
      <w:r>
        <w:t>Finally</w:t>
      </w:r>
      <w:r w:rsidR="00670218">
        <w:t xml:space="preserve">, this research will move beyond the effect of SJH hatchery operations and focus on the effect of the number of fish released by the hatchery each year. While scarcity of available stray rate data makes a direct analysis of the impacts of straying impossible, MARSS models can estimate the impacts of hatchery releases on pink salmon abundance at Indian River (as well as the inverse). It is important to consider the effect of straying both to and from Indian River, as both would influence the abundances observed in stream. This can be accomplished using a MARSS model which incorporates observations of Indian River escapement, as well as estimates of adult spawners returning to SJH. By specifying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as a 2x2 matrix with four unique elements, the model will estimate the effect of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t-1</w:t>
      </w:r>
      <w:r w:rsidR="00670218">
        <w:t xml:space="preserve"> on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w:t>
      </w:r>
      <w:r w:rsidR="00670218">
        <w:t>. It is important to note that, because escapement data are log</w:t>
      </w:r>
      <w:r>
        <w:t>-</w:t>
      </w:r>
      <w:r w:rsidR="00670218">
        <w:t xml:space="preserve">transformed, the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elements estimated will be associated with percent increases from one time step to the next. </w:t>
      </w:r>
    </w:p>
    <w:p w14:paraId="2090CCA8" w14:textId="49FD9BC2" w:rsidR="00670218" w:rsidRDefault="00741B88" w:rsidP="00F4350E">
      <w:pPr>
        <w:spacing w:after="0" w:line="480" w:lineRule="auto"/>
        <w:ind w:firstLine="360"/>
      </w:pPr>
      <w:r>
        <w:t xml:space="preserve">The state of the hatchery must also be considered, as regardless of the previous brood year’s returns, the hatchery will release a number of smolts which is as close as possible to their permitted maximum. For this reason, the element of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which would represent the interaction between the hatchery in time step t-1 and the hatchery in time step t is specified as 0. </w:t>
      </w:r>
      <w:r w:rsidR="00D56989">
        <w:t xml:space="preserve">Instead, the model includes </w:t>
      </w:r>
      <w:r w:rsidR="00F4350E">
        <w:t xml:space="preserve">covariate data relating to smolts reared by the hatchery from eggs taken </w:t>
      </w:r>
      <w:r w:rsidR="00F4350E">
        <w:lastRenderedPageBreak/>
        <w:t>from the previous brood year’s broodstock and released the prior year. This</w:t>
      </w:r>
      <w:r w:rsidR="00D56989">
        <w:t xml:space="preserve"> allow</w:t>
      </w:r>
      <w:r w:rsidR="00F4350E">
        <w:t>s</w:t>
      </w:r>
      <w:r w:rsidR="00D56989">
        <w:t xml:space="preserve"> the state of hatchery returners in the current year (</w:t>
      </w:r>
      <w:r w:rsidR="00D56989">
        <w:rPr>
          <w:rFonts w:ascii="MathJax_Math-italic" w:eastAsia="Times New Roman" w:hAnsi="MathJax_Math-italic" w:cs="Times New Roman"/>
          <w:kern w:val="0"/>
          <w:sz w:val="26"/>
          <w:szCs w:val="26"/>
          <w:bdr w:val="none" w:sz="0" w:space="0" w:color="auto" w:frame="1"/>
          <w14:ligatures w14:val="none"/>
        </w:rPr>
        <w:t>x</w:t>
      </w:r>
      <w:r w:rsidR="00D56989">
        <w:rPr>
          <w:rFonts w:ascii="MathJax_Math-italic" w:eastAsia="Times New Roman" w:hAnsi="MathJax_Math-italic" w:cs="Times New Roman"/>
          <w:kern w:val="0"/>
          <w:sz w:val="26"/>
          <w:szCs w:val="26"/>
          <w:bdr w:val="none" w:sz="0" w:space="0" w:color="auto" w:frame="1"/>
          <w:vertAlign w:val="subscript"/>
          <w14:ligatures w14:val="none"/>
        </w:rPr>
        <w:t>H</w:t>
      </w:r>
      <w:r w:rsidR="00D56989" w:rsidRPr="00C64BF8">
        <w:rPr>
          <w:rFonts w:ascii="MathJax_Math-italic" w:eastAsia="Times New Roman" w:hAnsi="MathJax_Math-italic" w:cs="Times New Roman"/>
          <w:kern w:val="0"/>
          <w:sz w:val="26"/>
          <w:szCs w:val="26"/>
          <w:bdr w:val="none" w:sz="0" w:space="0" w:color="auto" w:frame="1"/>
          <w:vertAlign w:val="subscript"/>
          <w14:ligatures w14:val="none"/>
        </w:rPr>
        <w:t>,t</w:t>
      </w:r>
      <w:r w:rsidR="00D56989">
        <w:t xml:space="preserve">) to be composed of smolts reared from the previous brood (and released in the prior year), as well as wild born fish from Indian River straying to the hatchery. </w:t>
      </w:r>
      <w:r w:rsidR="00670218">
        <w:t>An example of such a model’s process equation written out in matrix form follows:</w:t>
      </w:r>
    </w:p>
    <w:p w14:paraId="1D32533F" w14:textId="77777777" w:rsidR="00741B88" w:rsidRDefault="00741B88" w:rsidP="00C64BF8">
      <w:pPr>
        <w:spacing w:after="0" w:line="480" w:lineRule="auto"/>
      </w:pPr>
    </w:p>
    <w:p w14:paraId="6E0812E8" w14:textId="30B8E28A" w:rsidR="00670218" w:rsidRDefault="00741B88" w:rsidP="00741B88">
      <w:pPr>
        <w:pStyle w:val="ListParagraph"/>
        <w:spacing w:after="0" w:line="480" w:lineRule="auto"/>
        <w:ind w:left="360"/>
        <w:jc w:val="center"/>
      </w:pPr>
      <w:r w:rsidRPr="00741B88">
        <w:rPr>
          <w:noProof/>
        </w:rPr>
        <w:drawing>
          <wp:inline distT="0" distB="0" distL="0" distR="0" wp14:anchorId="3FD7898C" wp14:editId="13D97C27">
            <wp:extent cx="3791145" cy="419122"/>
            <wp:effectExtent l="0" t="0" r="0" b="0"/>
            <wp:doc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pic:cNvPicPr/>
                  </pic:nvPicPr>
                  <pic:blipFill>
                    <a:blip r:embed="rId5"/>
                    <a:stretch>
                      <a:fillRect/>
                    </a:stretch>
                  </pic:blipFill>
                  <pic:spPr>
                    <a:xfrm>
                      <a:off x="0" y="0"/>
                      <a:ext cx="3791145" cy="419122"/>
                    </a:xfrm>
                    <a:prstGeom prst="rect">
                      <a:avLst/>
                    </a:prstGeom>
                  </pic:spPr>
                </pic:pic>
              </a:graphicData>
            </a:graphic>
          </wp:inline>
        </w:drawing>
      </w:r>
    </w:p>
    <w:p w14:paraId="5AC17653" w14:textId="77777777" w:rsidR="00670218" w:rsidRDefault="00670218" w:rsidP="00612D9D">
      <w:pPr>
        <w:pStyle w:val="ListParagraph"/>
        <w:spacing w:after="0" w:line="480" w:lineRule="auto"/>
        <w:ind w:left="360"/>
      </w:pPr>
    </w:p>
    <w:p w14:paraId="4AE546A3" w14:textId="00CF08DD" w:rsidR="00670218" w:rsidRDefault="00670218" w:rsidP="00C64BF8">
      <w:pPr>
        <w:spacing w:after="0" w:line="480" w:lineRule="auto"/>
      </w:pPr>
      <w:r>
        <w:t xml:space="preserve">Of particular interest </w:t>
      </w:r>
      <w:r w:rsidR="00E65F33">
        <w:t>is the</w:t>
      </w:r>
      <w:r>
        <w:t xml:space="preserve"> term </w:t>
      </w:r>
      <w:r w:rsidRPr="00C64BF8">
        <w:rPr>
          <w:rFonts w:ascii="MathJax_Math-italic" w:eastAsia="Times New Roman" w:hAnsi="MathJax_Math-italic" w:cs="Times New Roman"/>
          <w:kern w:val="0"/>
          <w:sz w:val="26"/>
          <w:szCs w:val="26"/>
          <w:bdr w:val="none" w:sz="0" w:space="0" w:color="auto" w:frame="1"/>
          <w14:ligatures w14:val="none"/>
        </w:rPr>
        <w:t>b</w:t>
      </w:r>
      <w:r w:rsidRPr="00C64BF8">
        <w:rPr>
          <w:rFonts w:ascii="MathJax_Math-italic" w:eastAsia="Times New Roman" w:hAnsi="MathJax_Math-italic" w:cs="Times New Roman"/>
          <w:kern w:val="0"/>
          <w:sz w:val="26"/>
          <w:szCs w:val="26"/>
          <w:bdr w:val="none" w:sz="0" w:space="0" w:color="auto" w:frame="1"/>
          <w:vertAlign w:val="subscript"/>
          <w14:ligatures w14:val="none"/>
        </w:rPr>
        <w:t>RH</w:t>
      </w:r>
      <w:r>
        <w:t>, which describe</w:t>
      </w:r>
      <w:r w:rsidR="00E65F33">
        <w:t>s</w:t>
      </w:r>
      <w:r>
        <w:t xml:space="preserve"> the effect of fish returning to SJH in year </w:t>
      </w:r>
      <w:r w:rsidRPr="00C64BF8">
        <w:rPr>
          <w:rFonts w:ascii="MathJax_Math-italic" w:eastAsia="Times New Roman" w:hAnsi="MathJax_Math-italic" w:cs="Times New Roman"/>
          <w:kern w:val="0"/>
          <w:sz w:val="26"/>
          <w:szCs w:val="26"/>
          <w:bdr w:val="none" w:sz="0" w:space="0" w:color="auto" w:frame="1"/>
          <w14:ligatures w14:val="none"/>
        </w:rPr>
        <w:t>t-1</w:t>
      </w:r>
      <w:r>
        <w:t xml:space="preserve"> on the abundance of fish returning to the Indian River in year </w:t>
      </w:r>
      <w:r w:rsidRPr="00C64BF8">
        <w:rPr>
          <w:rFonts w:ascii="MathJax_Math-italic" w:eastAsia="Times New Roman" w:hAnsi="MathJax_Math-italic" w:cs="Times New Roman"/>
          <w:kern w:val="0"/>
          <w:sz w:val="26"/>
          <w:szCs w:val="26"/>
          <w:bdr w:val="none" w:sz="0" w:space="0" w:color="auto" w:frame="1"/>
          <w14:ligatures w14:val="none"/>
        </w:rPr>
        <w:t>t</w:t>
      </w:r>
      <w:r>
        <w:t>.</w:t>
      </w:r>
      <w:r w:rsidR="00E65F33">
        <w:t xml:space="preserve"> Observation error is site specific, while process error is shared by both states (river and hatchery returners) due to fish encountering the same conditions throughout their lifespan at sea as well as the same commercial fishing effort upon their return.</w:t>
      </w:r>
    </w:p>
    <w:p w14:paraId="7FCF4F38" w14:textId="77777777" w:rsidR="00670218" w:rsidRDefault="00670218" w:rsidP="00612D9D">
      <w:pPr>
        <w:spacing w:after="0" w:line="480" w:lineRule="auto"/>
      </w:pPr>
    </w:p>
    <w:p w14:paraId="4F1F1CCA" w14:textId="77777777" w:rsidR="00670218" w:rsidRPr="008C144E" w:rsidRDefault="00670218" w:rsidP="008C144E">
      <w:pPr>
        <w:spacing w:after="0" w:line="480" w:lineRule="auto"/>
        <w:rPr>
          <w:b/>
          <w:bCs/>
          <w:u w:val="single"/>
        </w:rPr>
      </w:pPr>
      <w:bookmarkStart w:id="1" w:name="_Hlk201668133"/>
      <w:r w:rsidRPr="008C144E">
        <w:rPr>
          <w:b/>
          <w:bCs/>
          <w:u w:val="single"/>
        </w:rPr>
        <w:t>Results</w:t>
      </w:r>
    </w:p>
    <w:p w14:paraId="21BB6878" w14:textId="77777777" w:rsidR="00F4350E" w:rsidRDefault="00F4350E" w:rsidP="00F4350E">
      <w:pPr>
        <w:spacing w:after="0" w:line="480" w:lineRule="auto"/>
        <w:rPr>
          <w:b/>
          <w:bCs/>
        </w:rPr>
      </w:pPr>
      <w:r w:rsidRPr="00C64BF8">
        <w:rPr>
          <w:b/>
          <w:bCs/>
        </w:rPr>
        <w:t>Regional Abundance</w:t>
      </w:r>
    </w:p>
    <w:p w14:paraId="03F45F5B" w14:textId="02D97819" w:rsidR="00C3066D" w:rsidRDefault="00C3066D" w:rsidP="00F4350E">
      <w:pPr>
        <w:spacing w:after="0" w:line="480" w:lineRule="auto"/>
      </w:pPr>
      <w:r>
        <w:t>Figures 4 &amp; 5 describe the underlying state of Indian River pink salmon abundance relative to the underlying state representing an average pink salmon index stream in the surrounding region (even- and odd-year runs respectively). In each case, Indian River abundances at the beginning of the time series are below the regional average abundance. Over the course of the time series, Indian River abundances for both runs “catch-up” to what would be expected of an average pink salmon index stream</w:t>
      </w:r>
      <w:r w:rsidR="001A405D">
        <w:t xml:space="preserve">, although odd-year Indian River runs take some years to </w:t>
      </w:r>
      <w:r w:rsidR="001A405D">
        <w:lastRenderedPageBreak/>
        <w:t>accomplish this and do not exceed this statistical average until 1997. From the middle 1990s onward, both runs are closely aligned with the average index stream, exceeding the average in some years and falling short in others, but in either case not by an amount that appears drastic when visually appraised.</w:t>
      </w:r>
    </w:p>
    <w:p w14:paraId="11C443BF" w14:textId="28C8E6F0" w:rsidR="001A405D" w:rsidRDefault="006A0FFE" w:rsidP="00F4350E">
      <w:pPr>
        <w:spacing w:after="0" w:line="480" w:lineRule="auto"/>
      </w:pPr>
      <w:r>
        <w:tab/>
        <w:t xml:space="preserve">Figures 4 &amp; 5 would seem to indicate that in pink salmon abundances observed in recent years at Indian River have not been out of the ordinary (and indeed, odd-year runs may have been considerably below average density from the 1960s until about 1995). However, plotting these time series is not enough to conclusively state that abundances at Indian River do not differ from those that would be expected of an average pink salmon index stream in the region in a statistically significant way. </w:t>
      </w:r>
      <w:r w:rsidR="00344905">
        <w:t xml:space="preserve">Table 1 describes the results of various statistical tests performed to evaluate the difference between these two time series for both even- and odd-year runs. </w:t>
      </w:r>
      <w:r w:rsidR="0080336B">
        <w:t xml:space="preserve">All time series were found to be non-stationary when evaluated using ADF tests, but passed KPSS tests, suggesting they were each stationary around some trend (since these are annually observed data, seasonality was not considered).  </w:t>
      </w:r>
      <w:r w:rsidR="00C61B5A">
        <w:t xml:space="preserve">When differenced, time series describing even-year runs were found stationary by both statistical tests. However, time series describing odd-year runs required </w:t>
      </w:r>
      <w:r w:rsidR="000D21FB">
        <w:t>third</w:t>
      </w:r>
      <w:r w:rsidR="00C61B5A">
        <w:t xml:space="preserve"> order differencing</w:t>
      </w:r>
      <w:r w:rsidR="00421CE7">
        <w:t xml:space="preserve"> (</w:t>
      </w:r>
      <w:r w:rsidR="00421CE7">
        <w:rPr>
          <w:rFonts w:cstheme="minorHAnsi"/>
        </w:rPr>
        <w:t>Δ</w:t>
      </w:r>
      <w:r w:rsidR="00421CE7" w:rsidRPr="00421CE7">
        <w:rPr>
          <w:rFonts w:cstheme="minorHAnsi"/>
          <w:vertAlign w:val="superscript"/>
        </w:rPr>
        <w:t>3</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cstheme="minorHAnsi"/>
        </w:rPr>
        <w:t xml:space="preserve"> = Δ(Δ</w:t>
      </w:r>
      <w:r w:rsidR="00421CE7">
        <w:rPr>
          <w:rFonts w:cstheme="minorHAnsi"/>
          <w:vertAlign w:val="superscript"/>
        </w:rPr>
        <w:t>2</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cstheme="minorHAnsi"/>
        </w:rPr>
        <w:t xml:space="preserve">) = </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cstheme="minorHAnsi"/>
        </w:rPr>
        <w:t xml:space="preserve"> - 3</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ascii="MathJax_Math-italic" w:eastAsia="Times New Roman" w:hAnsi="MathJax_Math-italic" w:cs="Times New Roman"/>
          <w:kern w:val="0"/>
          <w:sz w:val="26"/>
          <w:szCs w:val="26"/>
          <w:bdr w:val="none" w:sz="0" w:space="0" w:color="auto" w:frame="1"/>
          <w:vertAlign w:val="subscript"/>
          <w14:ligatures w14:val="none"/>
        </w:rPr>
        <w:t xml:space="preserve">-1 </w:t>
      </w:r>
      <w:r w:rsidR="00421CE7">
        <w:rPr>
          <w:rFonts w:cstheme="minorHAnsi"/>
        </w:rPr>
        <w:t>- 3</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ascii="MathJax_Math-italic" w:eastAsia="Times New Roman" w:hAnsi="MathJax_Math-italic" w:cs="Times New Roman"/>
          <w:kern w:val="0"/>
          <w:sz w:val="26"/>
          <w:szCs w:val="26"/>
          <w:bdr w:val="none" w:sz="0" w:space="0" w:color="auto" w:frame="1"/>
          <w:vertAlign w:val="subscript"/>
          <w14:ligatures w14:val="none"/>
        </w:rPr>
        <w:t>-2</w:t>
      </w:r>
      <w:r w:rsidR="00C61B5A">
        <w:t xml:space="preserve"> </w:t>
      </w:r>
      <w:r w:rsidR="00421CE7">
        <w:t xml:space="preserve">- </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ascii="MathJax_Math-italic" w:eastAsia="Times New Roman" w:hAnsi="MathJax_Math-italic" w:cs="Times New Roman"/>
          <w:kern w:val="0"/>
          <w:sz w:val="26"/>
          <w:szCs w:val="26"/>
          <w:bdr w:val="none" w:sz="0" w:space="0" w:color="auto" w:frame="1"/>
          <w:vertAlign w:val="subscript"/>
          <w14:ligatures w14:val="none"/>
        </w:rPr>
        <w:t xml:space="preserve">-3 </w:t>
      </w:r>
      <w:r w:rsidR="00421CE7">
        <w:t xml:space="preserve">) before ADF tests determined them to be stationary. </w:t>
      </w:r>
      <w:r w:rsidR="00F66F22">
        <w:t xml:space="preserve">This level of differencing indicates the need to compensate for some complex cubic trend in the time series and risks over-differencing, which may introduce noise and dampen information related to long-term trends. </w:t>
      </w:r>
      <w:r w:rsidR="000D21FB">
        <w:t xml:space="preserve">While initial (first order) differencing of the odd-year time series did not yield statistically stationary results, ADF tests estimated test statistics within 20% of the significance thresholds (i.e., &gt;80% </w:t>
      </w:r>
      <w:r w:rsidR="000D21FB">
        <w:lastRenderedPageBreak/>
        <w:t>confidence these time series are stationary). Both sets of differenced odd-year time series (first order and third order) are compared in Table 1.</w:t>
      </w:r>
    </w:p>
    <w:p w14:paraId="09E780EF" w14:textId="6B920B1A" w:rsidR="00FC2324" w:rsidRPr="00C3066D" w:rsidRDefault="000D21FB" w:rsidP="00F4350E">
      <w:pPr>
        <w:spacing w:after="0" w:line="480" w:lineRule="auto"/>
      </w:pPr>
      <w:r>
        <w:tab/>
        <w:t>For even-year runs, no significant lags are observed once the time series are differenced to compensate for linear trends. The means and variances of these differenced time series are not found to significantly differ</w:t>
      </w:r>
      <w:r w:rsidR="00FC2324">
        <w:t>, and Welch’s t-test finds that the trends are likewise not statistically different</w:t>
      </w:r>
      <w:r>
        <w:t>.</w:t>
      </w:r>
      <w:r w:rsidR="00FC2324">
        <w:t xml:space="preserve"> Based on these four characteristics it may be said with some confidence that even-year pink salmon abundances observed at Indian River are very much in line with those that might be expected of an average stream in the </w:t>
      </w:r>
      <w:r w:rsidR="00FC2324" w:rsidRPr="003C6E79">
        <w:rPr>
          <w:i/>
          <w:iCs/>
        </w:rPr>
        <w:t>north southeast (outside)</w:t>
      </w:r>
      <w:r w:rsidR="00FC2324">
        <w:t xml:space="preserve"> region. The picture is much less clear for odd-year runs. </w:t>
      </w:r>
      <w:r w:rsidR="00B50797">
        <w:t xml:space="preserve">While both the first and third order differenced time series show no significant difference in terms of mean or variance, the trends estimated in both cases are not the same. Additionally, both sets of time series show significant first lags, meaning there is likely some persistent autocorrelation, even despite the third order differencing! It is therefore impossible to conclude that odd-year pink salmon abundances observed at Indian River are in line with regional expectations. Returning to Figure 5, this may be due to the </w:t>
      </w:r>
      <w:r w:rsidR="005B1667">
        <w:t xml:space="preserve">large </w:t>
      </w:r>
      <w:r w:rsidR="00B50797">
        <w:t xml:space="preserve">differences between time series observed during the period from 1961-1995. </w:t>
      </w:r>
    </w:p>
    <w:p w14:paraId="737A3141" w14:textId="77777777" w:rsidR="00C3066D" w:rsidRDefault="00C3066D" w:rsidP="00F4350E">
      <w:pPr>
        <w:spacing w:after="0" w:line="480" w:lineRule="auto"/>
        <w:rPr>
          <w:b/>
          <w:bCs/>
        </w:rPr>
      </w:pPr>
    </w:p>
    <w:p w14:paraId="146C7F99" w14:textId="50623083" w:rsidR="00F4350E" w:rsidRDefault="00F4350E" w:rsidP="00F4350E">
      <w:pPr>
        <w:spacing w:after="0" w:line="480" w:lineRule="auto"/>
        <w:rPr>
          <w:b/>
          <w:bCs/>
        </w:rPr>
      </w:pPr>
      <w:r w:rsidRPr="00C64BF8">
        <w:rPr>
          <w:b/>
          <w:bCs/>
        </w:rPr>
        <w:t>Effect of Hatchery Operations</w:t>
      </w:r>
    </w:p>
    <w:p w14:paraId="7EF4F367" w14:textId="0291F4BD" w:rsidR="00376A4E" w:rsidRDefault="00773DA7" w:rsidP="00F4350E">
      <w:pPr>
        <w:spacing w:after="0" w:line="480" w:lineRule="auto"/>
      </w:pPr>
      <w:r>
        <w:t xml:space="preserve">Difference-in-difference </w:t>
      </w:r>
      <w:r w:rsidR="008E7DF4">
        <w:t xml:space="preserve">studies </w:t>
      </w:r>
      <w:r>
        <w:t xml:space="preserve">were undertaken to evaluate both the effect of SJH operations on pink salmon abundances at Indian River (treatment year = 1980), as well as the effect of SJH’s expansion of permitted pink salmon releases from 1 million to 3 million (treatment year = 2010). </w:t>
      </w:r>
      <w:r w:rsidR="00BB4FE2">
        <w:t>M</w:t>
      </w:r>
      <w:r w:rsidR="00376A4E">
        <w:t xml:space="preserve">odels pertaining to each run </w:t>
      </w:r>
      <w:r w:rsidR="007B55B0">
        <w:t xml:space="preserve">(even- and odd-year) </w:t>
      </w:r>
      <w:r w:rsidR="002A355E">
        <w:t xml:space="preserve">and </w:t>
      </w:r>
      <w:r w:rsidR="00376A4E">
        <w:t xml:space="preserve">treatment period </w:t>
      </w:r>
      <w:r w:rsidR="007B55B0">
        <w:t xml:space="preserve">(1980 and </w:t>
      </w:r>
      <w:r w:rsidR="007B55B0">
        <w:lastRenderedPageBreak/>
        <w:t xml:space="preserve">2010) </w:t>
      </w:r>
      <w:r w:rsidR="00376A4E">
        <w:t>were specified</w:t>
      </w:r>
      <w:r w:rsidR="00BB4FE2">
        <w:t xml:space="preserve"> in four ways:</w:t>
      </w:r>
      <w:r w:rsidR="00376A4E">
        <w:t xml:space="preserve"> control</w:t>
      </w:r>
      <w:r w:rsidR="00BB4FE2">
        <w:t>ling</w:t>
      </w:r>
      <w:r w:rsidR="00376A4E">
        <w:t xml:space="preserve"> for the prior year’s ocean climate</w:t>
      </w:r>
      <w:r w:rsidR="007B55B0">
        <w:t xml:space="preserve"> via lagged PDO</w:t>
      </w:r>
      <w:r w:rsidR="00376A4E">
        <w:t xml:space="preserve">, </w:t>
      </w:r>
      <w:r w:rsidR="00BB4FE2">
        <w:t xml:space="preserve">controlling for </w:t>
      </w:r>
      <w:r w:rsidR="00376A4E">
        <w:t xml:space="preserve">the </w:t>
      </w:r>
      <w:r w:rsidR="002A355E">
        <w:t xml:space="preserve">biologist conducting each observation, </w:t>
      </w:r>
      <w:r w:rsidR="00BB4FE2">
        <w:t xml:space="preserve">controlling for </w:t>
      </w:r>
      <w:r w:rsidR="002A355E">
        <w:t xml:space="preserve">both of these sets of covariates, and no </w:t>
      </w:r>
      <w:r w:rsidR="00BB4FE2">
        <w:t xml:space="preserve">including no </w:t>
      </w:r>
      <w:r w:rsidR="002A355E">
        <w:t xml:space="preserve">covariates (only dummy indicators of time period and treatment group). From these, the </w:t>
      </w:r>
      <w:r w:rsidR="007B55B0">
        <w:t>best fit model was selected using AIC, with the most parsimonious model being chosen in cases where AIC values were within 2 of one another.</w:t>
      </w:r>
    </w:p>
    <w:p w14:paraId="19D43027" w14:textId="21EF8CDD" w:rsidR="008E7DF4" w:rsidRDefault="008E7DF4" w:rsidP="00376A4E">
      <w:pPr>
        <w:spacing w:after="0" w:line="480" w:lineRule="auto"/>
        <w:ind w:firstLine="720"/>
      </w:pPr>
      <w:r>
        <w:t>As mentioned above, a necessary pre-condition of difference-in-difference models is the satisfaction of the parallel trends assumption, which asserts that treatment and control groups</w:t>
      </w:r>
      <w:r w:rsidR="009C0C6B">
        <w:t xml:space="preserve"> must be</w:t>
      </w:r>
      <w:r>
        <w:t xml:space="preserve"> mathematically similar in the pre-treatment period.</w:t>
      </w:r>
      <w:r w:rsidR="008F33A8">
        <w:t xml:space="preserve"> Event studies in the form of simple linear models were undertaken to support this assumption. These models are structured to isolate the effect of Indian River on pink salmon abundances during pre-treatment periods, as illustrated below:</w:t>
      </w:r>
    </w:p>
    <w:p w14:paraId="2875F5A1" w14:textId="77777777" w:rsidR="008F33A8" w:rsidRDefault="008F33A8" w:rsidP="00F4350E">
      <w:pPr>
        <w:spacing w:after="0" w:line="480" w:lineRule="auto"/>
      </w:pPr>
    </w:p>
    <w:p w14:paraId="3104ABB3" w14:textId="1BCE0C3D" w:rsidR="008F33A8" w:rsidRPr="008F33A8" w:rsidRDefault="008F33A8" w:rsidP="008F33A8">
      <w:pPr>
        <w:spacing w:after="0" w:line="480" w:lineRule="auto"/>
        <w:jc w:val="center"/>
        <w:rPr>
          <w:rFonts w:ascii="Times New Roman" w:eastAsia="Times New Roman" w:hAnsi="Times New Roman" w:cs="Times New Roman"/>
          <w:kern w:val="0"/>
          <w:sz w:val="26"/>
          <w:szCs w:val="26"/>
          <w14:ligatures w14:val="none"/>
        </w:rP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Indian River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0C54D086" w14:textId="77777777" w:rsidR="008F33A8" w:rsidRDefault="008F33A8" w:rsidP="00F4350E">
      <w:pPr>
        <w:spacing w:after="0" w:line="480" w:lineRule="auto"/>
      </w:pPr>
    </w:p>
    <w:p w14:paraId="4A2F5397" w14:textId="1BBE242F" w:rsidR="00C3066D" w:rsidRPr="00C3066D" w:rsidRDefault="00647DF2" w:rsidP="00F4350E">
      <w:pPr>
        <w:spacing w:after="0" w:line="480" w:lineRule="auto"/>
      </w:pPr>
      <w:r>
        <w:t xml:space="preserve">Here, the variable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Indian River </w:t>
      </w:r>
      <w:r>
        <w:t>indicates whether or not an observation was taken at Indian River</w:t>
      </w:r>
      <w:r w:rsidR="006B1A2E">
        <w:t xml:space="preserve"> (</w:t>
      </w:r>
      <w:r w:rsidR="006B1A2E">
        <w:rPr>
          <w:rFonts w:ascii="MathJax_Math-italic" w:eastAsia="Times New Roman" w:hAnsi="MathJax_Math-italic" w:cs="Times New Roman"/>
          <w:kern w:val="0"/>
          <w:sz w:val="26"/>
          <w:szCs w:val="26"/>
          <w:bdr w:val="none" w:sz="0" w:space="0" w:color="auto" w:frame="1"/>
          <w14:ligatures w14:val="none"/>
        </w:rPr>
        <w:t>D</w:t>
      </w:r>
      <w:r w:rsidR="006B1A2E">
        <w:rPr>
          <w:rFonts w:ascii="MathJax_Math-italic" w:eastAsia="Times New Roman" w:hAnsi="MathJax_Math-italic" w:cs="Times New Roman"/>
          <w:kern w:val="0"/>
          <w:sz w:val="26"/>
          <w:szCs w:val="26"/>
          <w:bdr w:val="none" w:sz="0" w:space="0" w:color="auto" w:frame="1"/>
          <w:vertAlign w:val="subscript"/>
          <w14:ligatures w14:val="none"/>
        </w:rPr>
        <w:t>Indian River</w:t>
      </w:r>
      <w:r w:rsidR="006B1A2E">
        <w:t xml:space="preserve"> = 1)</w:t>
      </w:r>
      <w:r>
        <w:t xml:space="preserve"> or elsewhere in the </w:t>
      </w:r>
      <w:r w:rsidRPr="003C6E79">
        <w:rPr>
          <w:i/>
          <w:iCs/>
        </w:rPr>
        <w:t>north southeast (outside)</w:t>
      </w:r>
      <w:r>
        <w:t xml:space="preserve"> region</w:t>
      </w:r>
      <w:r w:rsidR="006B1A2E">
        <w:t xml:space="preserve"> (</w:t>
      </w:r>
      <w:r w:rsidR="006B1A2E">
        <w:rPr>
          <w:rFonts w:ascii="MathJax_Math-italic" w:eastAsia="Times New Roman" w:hAnsi="MathJax_Math-italic" w:cs="Times New Roman"/>
          <w:kern w:val="0"/>
          <w:sz w:val="26"/>
          <w:szCs w:val="26"/>
          <w:bdr w:val="none" w:sz="0" w:space="0" w:color="auto" w:frame="1"/>
          <w14:ligatures w14:val="none"/>
        </w:rPr>
        <w:t>D</w:t>
      </w:r>
      <w:r w:rsidR="006B1A2E">
        <w:rPr>
          <w:rFonts w:ascii="MathJax_Math-italic" w:eastAsia="Times New Roman" w:hAnsi="MathJax_Math-italic" w:cs="Times New Roman"/>
          <w:kern w:val="0"/>
          <w:sz w:val="26"/>
          <w:szCs w:val="26"/>
          <w:bdr w:val="none" w:sz="0" w:space="0" w:color="auto" w:frame="1"/>
          <w:vertAlign w:val="subscript"/>
          <w14:ligatures w14:val="none"/>
        </w:rPr>
        <w:t>Indian River</w:t>
      </w:r>
      <w:r w:rsidR="006B1A2E">
        <w:t xml:space="preserve"> = 0)</w:t>
      </w:r>
      <w:r>
        <w:t xml:space="preserve">. </w:t>
      </w:r>
      <w:r w:rsidR="006B1A2E">
        <w:t>If indeed treatment and control groups are similar during the pre-treatment period, then the effect of Indian River on pink salmon abundances (</w:t>
      </w:r>
      <w:r w:rsidR="006B1A2E" w:rsidRPr="00530885">
        <w:rPr>
          <w:rFonts w:ascii="MathJax_Math-italic" w:eastAsia="Times New Roman" w:hAnsi="MathJax_Math-italic" w:cs="Times New Roman"/>
          <w:kern w:val="0"/>
          <w:sz w:val="26"/>
          <w:szCs w:val="26"/>
          <w:bdr w:val="none" w:sz="0" w:space="0" w:color="auto" w:frame="1"/>
          <w14:ligatures w14:val="none"/>
        </w:rPr>
        <w:t>β</w:t>
      </w:r>
      <w:r w:rsidR="006B1A2E">
        <w:rPr>
          <w:rFonts w:ascii="MathJax_Math-italic" w:eastAsia="Times New Roman" w:hAnsi="MathJax_Math-italic" w:cs="Times New Roman"/>
          <w:kern w:val="0"/>
          <w:sz w:val="26"/>
          <w:szCs w:val="26"/>
          <w:bdr w:val="none" w:sz="0" w:space="0" w:color="auto" w:frame="1"/>
          <w:vertAlign w:val="subscript"/>
          <w14:ligatures w14:val="none"/>
        </w:rPr>
        <w:t>1</w:t>
      </w:r>
      <w:r w:rsidR="006B1A2E">
        <w:t xml:space="preserve">) should </w:t>
      </w:r>
      <w:r w:rsidR="00D45C26">
        <w:t xml:space="preserve">not </w:t>
      </w:r>
      <w:r w:rsidR="006B1A2E">
        <w:t xml:space="preserve">be statistically significant. </w:t>
      </w:r>
      <w:r>
        <w:t>T</w:t>
      </w:r>
      <w:r w:rsidR="00773DA7">
        <w:t xml:space="preserve">able 2 describes the effect of </w:t>
      </w:r>
      <w:r w:rsidR="00376A4E">
        <w:t xml:space="preserve">Indian River </w:t>
      </w:r>
      <w:r w:rsidR="00BB4FE2">
        <w:t xml:space="preserve">in the pre-treatment period in all four models. </w:t>
      </w:r>
      <w:r w:rsidR="0033098E">
        <w:t xml:space="preserve">For even-year runs there exists some significant difference between trends at Indian River and elsewhere in the region prior to 1980. Due to this difference, a synthetic control group time series was </w:t>
      </w:r>
      <w:r w:rsidR="0033098E">
        <w:lastRenderedPageBreak/>
        <w:t>constructed for comparison with the treatment group. All other models satisfy the parallel trends assumption.</w:t>
      </w:r>
    </w:p>
    <w:p w14:paraId="6D6BBACD" w14:textId="61BB68E0" w:rsidR="00C3066D" w:rsidRDefault="00CD3E62" w:rsidP="00F4350E">
      <w:pPr>
        <w:spacing w:after="0" w:line="480" w:lineRule="auto"/>
        <w:rPr>
          <w:b/>
          <w:bCs/>
        </w:rPr>
      </w:pPr>
      <w:r>
        <w:tab/>
        <w:t>Table 3 describes the results of these difference-in-difference studies. The effect of SJH operations commencing in 1980 is shown to have driven a significant increase in odd-year pink salmon abundances at Indian River</w:t>
      </w:r>
      <w:r w:rsidR="00DC67C0">
        <w:t>, while no significant impact is found affecting even-year runs</w:t>
      </w:r>
      <w:r>
        <w:t xml:space="preserve">. </w:t>
      </w:r>
      <w:r w:rsidR="00DC67C0">
        <w:t>T</w:t>
      </w:r>
      <w:r>
        <w:t xml:space="preserve">he expansion of </w:t>
      </w:r>
      <w:r>
        <w:t>permitted pink salmon releases from 1 million to 3 million</w:t>
      </w:r>
      <w:r>
        <w:t xml:space="preserve"> in 2010 is shown to have </w:t>
      </w:r>
      <w:r>
        <w:t>driven significant increase</w:t>
      </w:r>
      <w:r>
        <w:t xml:space="preserve">s </w:t>
      </w:r>
      <w:r>
        <w:t>in</w:t>
      </w:r>
      <w:r>
        <w:t xml:space="preserve"> both even- and</w:t>
      </w:r>
      <w:r>
        <w:t xml:space="preserve"> odd-year abundances.</w:t>
      </w:r>
      <w:r>
        <w:t xml:space="preserve"> </w:t>
      </w:r>
      <w:r w:rsidR="00DC67C0">
        <w:t>The difference in time periods (pre- and post</w:t>
      </w:r>
      <w:r w:rsidR="00E73316">
        <w:t>-</w:t>
      </w:r>
      <w:r w:rsidR="00DC67C0">
        <w:t xml:space="preserve">1980, and pre- and post-2010) is found to be a significant driver of pink salmon abundances both at Indian River and throughout </w:t>
      </w:r>
      <w:r w:rsidR="00E73316">
        <w:t xml:space="preserve">the </w:t>
      </w:r>
      <w:r w:rsidR="00E73316" w:rsidRPr="003C6E79">
        <w:rPr>
          <w:i/>
          <w:iCs/>
        </w:rPr>
        <w:t>north southeast (outside)</w:t>
      </w:r>
      <w:r w:rsidR="00E73316">
        <w:t xml:space="preserve"> region</w:t>
      </w:r>
      <w:r w:rsidR="00E73316">
        <w:t xml:space="preserve">. This result is consistent with trends seen in ADFG’s survey data (Figures 2 &amp; 3), as well as the estimated states of pink salmon abundance depicted in Figures 4 &amp; 5. </w:t>
      </w:r>
    </w:p>
    <w:p w14:paraId="0E88E592" w14:textId="77777777" w:rsidR="00CD3E62" w:rsidRPr="00C64BF8" w:rsidRDefault="00CD3E62" w:rsidP="00F4350E">
      <w:pPr>
        <w:spacing w:after="0" w:line="480" w:lineRule="auto"/>
        <w:rPr>
          <w:b/>
          <w:bCs/>
        </w:rPr>
      </w:pPr>
    </w:p>
    <w:p w14:paraId="34D26D14" w14:textId="77777777" w:rsidR="00F4350E" w:rsidRPr="00C64BF8" w:rsidRDefault="00F4350E" w:rsidP="00F4350E">
      <w:pPr>
        <w:spacing w:after="0" w:line="480" w:lineRule="auto"/>
        <w:rPr>
          <w:b/>
          <w:bCs/>
        </w:rPr>
      </w:pPr>
      <w:r w:rsidRPr="00C64BF8">
        <w:rPr>
          <w:b/>
          <w:bCs/>
        </w:rPr>
        <w:t>Effect of Hatchery Releases</w:t>
      </w:r>
    </w:p>
    <w:p w14:paraId="25A43606" w14:textId="080F073D" w:rsidR="00C3066D" w:rsidRDefault="00976473" w:rsidP="008C144E">
      <w:pPr>
        <w:spacing w:after="0" w:line="480" w:lineRule="auto"/>
      </w:pPr>
      <w:r>
        <w:t>With difference-in-difference studies suggesting that hatchery operations are having some influence on Indian River pink salmon abundances, the last stage of this research seeks to directly evaluate the effect o</w:t>
      </w:r>
      <w:r w:rsidR="005227E4">
        <w:t>f the volume of pink salmon coming from each source (the river and the hatchery) in brood year t-1 has on the other in brood year t</w:t>
      </w:r>
      <w:r>
        <w:t xml:space="preserve">. </w:t>
      </w:r>
      <w:r w:rsidR="005227E4">
        <w:t xml:space="preserve">For this purpose, MARSS models are employed with </w:t>
      </w:r>
      <w:r w:rsidR="005227E4" w:rsidRPr="00C64BF8">
        <w:rPr>
          <w:rFonts w:ascii="MathJax_Math-italic" w:eastAsia="Times New Roman" w:hAnsi="MathJax_Math-italic" w:cs="Times New Roman"/>
          <w:b/>
          <w:bCs/>
          <w:kern w:val="0"/>
          <w:sz w:val="26"/>
          <w:szCs w:val="26"/>
          <w:bdr w:val="none" w:sz="0" w:space="0" w:color="auto" w:frame="1"/>
          <w14:ligatures w14:val="none"/>
        </w:rPr>
        <w:t>B</w:t>
      </w:r>
      <w:r w:rsidR="005227E4">
        <w:t xml:space="preserve"> specified specifically to capture these cross effects.</w:t>
      </w:r>
      <w:r w:rsidR="00090DA1">
        <w:t xml:space="preserve"> As mentioned above, the element of </w:t>
      </w:r>
      <w:r w:rsidR="00090DA1" w:rsidRPr="00C64BF8">
        <w:rPr>
          <w:rFonts w:ascii="MathJax_Math-italic" w:eastAsia="Times New Roman" w:hAnsi="MathJax_Math-italic" w:cs="Times New Roman"/>
          <w:b/>
          <w:bCs/>
          <w:kern w:val="0"/>
          <w:sz w:val="26"/>
          <w:szCs w:val="26"/>
          <w:bdr w:val="none" w:sz="0" w:space="0" w:color="auto" w:frame="1"/>
          <w14:ligatures w14:val="none"/>
        </w:rPr>
        <w:t>B</w:t>
      </w:r>
      <w:r w:rsidR="00090DA1">
        <w:t xml:space="preserve"> that would capture the influence of hatchery returns in </w:t>
      </w:r>
      <w:r w:rsidR="00090DA1">
        <w:t>brood year t-1</w:t>
      </w:r>
      <w:r w:rsidR="00090DA1">
        <w:t xml:space="preserve"> on hatchery returns in brood year t is set at zero, due to hatchery releases in year t not being the direct result of returns in the previous brood year. Figure 6 describes </w:t>
      </w:r>
      <w:r w:rsidR="00090DA1" w:rsidRPr="00C64BF8">
        <w:rPr>
          <w:rFonts w:ascii="MathJax_Math-italic" w:eastAsia="Times New Roman" w:hAnsi="MathJax_Math-italic" w:cs="Times New Roman"/>
          <w:b/>
          <w:bCs/>
          <w:kern w:val="0"/>
          <w:sz w:val="26"/>
          <w:szCs w:val="26"/>
          <w:bdr w:val="none" w:sz="0" w:space="0" w:color="auto" w:frame="1"/>
          <w14:ligatures w14:val="none"/>
        </w:rPr>
        <w:t>B</w:t>
      </w:r>
      <w:r w:rsidR="00090DA1">
        <w:t xml:space="preserve"> parameter estimates </w:t>
      </w:r>
      <w:r w:rsidR="00090DA1">
        <w:lastRenderedPageBreak/>
        <w:t xml:space="preserve">from these MARSS models, including the parameter of greatest interest – the </w:t>
      </w:r>
      <w:r w:rsidR="00090DA1">
        <w:t>e</w:t>
      </w:r>
      <w:r w:rsidR="00090DA1" w:rsidRPr="00090DA1">
        <w:t>ffect of prior brood year hatchery returns on current brood year Indian River abundance</w:t>
      </w:r>
      <w:r w:rsidR="00090DA1">
        <w:t xml:space="preserve">, as well as the effect of </w:t>
      </w:r>
      <w:r w:rsidR="00090DA1" w:rsidRPr="00090DA1">
        <w:t>prior brood year Indian River abundance on current brood year</w:t>
      </w:r>
      <w:r w:rsidR="00090DA1">
        <w:t xml:space="preserve"> </w:t>
      </w:r>
      <w:r w:rsidR="00090DA1" w:rsidRPr="00090DA1">
        <w:t>hatchery returns</w:t>
      </w:r>
      <w:r w:rsidR="00090DA1">
        <w:t xml:space="preserve">, and the </w:t>
      </w:r>
      <w:r w:rsidR="00090DA1">
        <w:t>effect of prior brood year Indian River abundance on current brood year</w:t>
      </w:r>
      <w:r w:rsidR="00090DA1">
        <w:t xml:space="preserve"> </w:t>
      </w:r>
      <w:r w:rsidR="00090DA1">
        <w:t>Indian River abundance</w:t>
      </w:r>
      <w:r w:rsidR="00090DA1">
        <w:t xml:space="preserve">. Parametric bootstrapping is employed to construct confidence intervals around these parameter estimates. </w:t>
      </w:r>
    </w:p>
    <w:p w14:paraId="7DBD0C0C" w14:textId="1BE0EBB0" w:rsidR="00090DA1" w:rsidRDefault="00090DA1" w:rsidP="008C144E">
      <w:pPr>
        <w:spacing w:after="0" w:line="480" w:lineRule="auto"/>
      </w:pPr>
      <w:r>
        <w:tab/>
        <w:t>The parameter of interest</w:t>
      </w:r>
      <w:r w:rsidR="006D7969">
        <w:t xml:space="preserve"> (</w:t>
      </w:r>
      <w:r w:rsidR="006D7969">
        <w:t>the e</w:t>
      </w:r>
      <w:r w:rsidR="006D7969" w:rsidRPr="00090DA1">
        <w:t>ffect of prior brood year hatchery returns on current brood year Indian River abundance</w:t>
      </w:r>
      <w:r w:rsidR="006D7969">
        <w:t>) i</w:t>
      </w:r>
      <w:r w:rsidR="009F6B38">
        <w:t>s</w:t>
      </w:r>
      <w:r w:rsidR="006D7969">
        <w:t xml:space="preserve"> found to be </w:t>
      </w:r>
      <w:r w:rsidR="009F6B38">
        <w:t xml:space="preserve">positive and </w:t>
      </w:r>
      <w:r w:rsidR="006D7969">
        <w:t>significant for both even- and odd-year runs</w:t>
      </w:r>
      <w:r w:rsidR="009F6B38">
        <w:t>, although this is the smallest of the three effects observed for each run, with point estimates of 0.</w:t>
      </w:r>
      <w:r w:rsidR="00086DA1">
        <w:t>089</w:t>
      </w:r>
      <w:r w:rsidR="009F6B38">
        <w:t xml:space="preserve"> and 0.</w:t>
      </w:r>
      <w:r w:rsidR="00086DA1">
        <w:t>04</w:t>
      </w:r>
      <w:r w:rsidR="009F6B38">
        <w:t xml:space="preserve"> respectively</w:t>
      </w:r>
      <w:r w:rsidR="006D7969">
        <w:t xml:space="preserve">. </w:t>
      </w:r>
      <w:r w:rsidR="009F6B38">
        <w:t>Not surprisingly t</w:t>
      </w:r>
      <w:r w:rsidR="006D7969">
        <w:t xml:space="preserve">he river shows a significant positive effect on itself for both odd- and even-year runs, with </w:t>
      </w:r>
      <w:r w:rsidR="003633DB">
        <w:t>point estimates</w:t>
      </w:r>
      <w:r w:rsidR="006D7969">
        <w:t xml:space="preserve"> of </w:t>
      </w:r>
      <w:r w:rsidR="009F6B38">
        <w:t>0.</w:t>
      </w:r>
      <w:r w:rsidR="00086DA1">
        <w:t>92</w:t>
      </w:r>
      <w:r w:rsidR="006D7969">
        <w:t xml:space="preserve"> in even years and 0.</w:t>
      </w:r>
      <w:r w:rsidR="00086DA1">
        <w:t>96</w:t>
      </w:r>
      <w:r w:rsidR="006D7969">
        <w:t xml:space="preserve"> in odd years. </w:t>
      </w:r>
      <w:r w:rsidR="009F6B38">
        <w:t>B</w:t>
      </w:r>
      <w:r w:rsidR="006D7969">
        <w:t xml:space="preserve">oth even- and odd-year hatchery returns are </w:t>
      </w:r>
      <w:r w:rsidR="009F6B38">
        <w:t xml:space="preserve">also </w:t>
      </w:r>
      <w:r w:rsidR="006D7969">
        <w:t xml:space="preserve">significantly influenced by </w:t>
      </w:r>
      <w:r w:rsidR="006D7969" w:rsidRPr="00090DA1">
        <w:t>prior brood year</w:t>
      </w:r>
      <w:r w:rsidR="006D7969">
        <w:t xml:space="preserve"> Indian River abundances</w:t>
      </w:r>
      <w:r w:rsidR="003633DB">
        <w:t>, with the model</w:t>
      </w:r>
      <w:r w:rsidR="009F6B38">
        <w:t xml:space="preserve"> finding respective</w:t>
      </w:r>
      <w:r w:rsidR="003633DB">
        <w:t xml:space="preserve"> point estimates of </w:t>
      </w:r>
      <w:r w:rsidR="009F6B38">
        <w:t>0</w:t>
      </w:r>
      <w:r w:rsidR="003633DB">
        <w:t>.</w:t>
      </w:r>
      <w:r w:rsidR="009F6B38">
        <w:t>6</w:t>
      </w:r>
      <w:r w:rsidR="00086DA1">
        <w:t>31</w:t>
      </w:r>
      <w:r w:rsidR="003633DB">
        <w:t xml:space="preserve"> and 0.</w:t>
      </w:r>
      <w:r w:rsidR="00086DA1">
        <w:t>311</w:t>
      </w:r>
      <w:r w:rsidR="006D7969">
        <w:t>.</w:t>
      </w:r>
      <w:r w:rsidR="009F6B38">
        <w:t xml:space="preserve"> </w:t>
      </w:r>
    </w:p>
    <w:p w14:paraId="791283B6" w14:textId="77777777" w:rsidR="00344905" w:rsidRDefault="00344905" w:rsidP="008C144E">
      <w:pPr>
        <w:spacing w:after="0" w:line="480" w:lineRule="auto"/>
      </w:pPr>
    </w:p>
    <w:bookmarkEnd w:id="1"/>
    <w:p w14:paraId="79B6696A" w14:textId="78F6E4BB" w:rsidR="00670218" w:rsidRPr="008C144E" w:rsidRDefault="0093781E" w:rsidP="008C144E">
      <w:pPr>
        <w:spacing w:after="0" w:line="480" w:lineRule="auto"/>
        <w:rPr>
          <w:b/>
          <w:bCs/>
          <w:u w:val="single"/>
        </w:rPr>
      </w:pPr>
      <w:r w:rsidRPr="008C144E">
        <w:rPr>
          <w:b/>
          <w:bCs/>
          <w:u w:val="single"/>
        </w:rPr>
        <w:t>Discussion</w:t>
      </w:r>
    </w:p>
    <w:p w14:paraId="4C8C71F7" w14:textId="6C1B0AED" w:rsidR="00BF04BF" w:rsidRDefault="00670218" w:rsidP="008C144E">
      <w:pPr>
        <w:spacing w:after="0" w:line="480" w:lineRule="auto"/>
      </w:pPr>
      <w:r>
        <w:t xml:space="preserve">The results of this work are intended first and foremost to provide management at SITK with a comprehensive description of both the impacts of SJH operations and of the population dynamics of pink salmon throughout the broader region. Understanding whether pink salmon at Indian River exist within a ‘natural range of variation’ requires context, and placing Indian River within this context will enable park officials to better understand their duties with regard to a potential overabundance of these fish. Additionally, estimating the effects of various levels </w:t>
      </w:r>
      <w:r>
        <w:lastRenderedPageBreak/>
        <w:t>of straying on pink salmon abundance may enable park officials to better understand when abundances are being driven by hatchery strays and when they are reflecting regional trends (although this would require more robust monitoring of stray rates).</w:t>
      </w:r>
      <w:bookmarkEnd w:id="0"/>
    </w:p>
    <w:sectPr w:rsidR="00BF04BF" w:rsidSect="001E1CBF">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730089"/>
    <w:multiLevelType w:val="multilevel"/>
    <w:tmpl w:val="8E8288AA"/>
    <w:lvl w:ilvl="0">
      <w:start w:val="1"/>
      <w:numFmt w:val="decimal"/>
      <w:lvlText w:val="%1"/>
      <w:lvlJc w:val="left"/>
      <w:pPr>
        <w:ind w:left="360" w:hanging="36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218"/>
    <w:rsid w:val="00044435"/>
    <w:rsid w:val="0006107E"/>
    <w:rsid w:val="00086DA1"/>
    <w:rsid w:val="00090DA1"/>
    <w:rsid w:val="000D21FB"/>
    <w:rsid w:val="00106EE6"/>
    <w:rsid w:val="00114A77"/>
    <w:rsid w:val="00121CF4"/>
    <w:rsid w:val="00143CB9"/>
    <w:rsid w:val="001A405D"/>
    <w:rsid w:val="001A6AA2"/>
    <w:rsid w:val="001D51EA"/>
    <w:rsid w:val="001D5683"/>
    <w:rsid w:val="001E1CBF"/>
    <w:rsid w:val="001E29F4"/>
    <w:rsid w:val="001F775B"/>
    <w:rsid w:val="00232D52"/>
    <w:rsid w:val="00252296"/>
    <w:rsid w:val="002A355E"/>
    <w:rsid w:val="0033098E"/>
    <w:rsid w:val="00344905"/>
    <w:rsid w:val="003633DB"/>
    <w:rsid w:val="00376A4E"/>
    <w:rsid w:val="003B4882"/>
    <w:rsid w:val="003C5745"/>
    <w:rsid w:val="003C6E79"/>
    <w:rsid w:val="003C77AC"/>
    <w:rsid w:val="00412816"/>
    <w:rsid w:val="004217D3"/>
    <w:rsid w:val="00421CE7"/>
    <w:rsid w:val="004B019B"/>
    <w:rsid w:val="004C58F2"/>
    <w:rsid w:val="005078EE"/>
    <w:rsid w:val="005227E4"/>
    <w:rsid w:val="005363D0"/>
    <w:rsid w:val="00572D2B"/>
    <w:rsid w:val="005B1667"/>
    <w:rsid w:val="00606949"/>
    <w:rsid w:val="00612D9D"/>
    <w:rsid w:val="00614E66"/>
    <w:rsid w:val="00633AFA"/>
    <w:rsid w:val="00647DF2"/>
    <w:rsid w:val="00670218"/>
    <w:rsid w:val="006A0FFE"/>
    <w:rsid w:val="006B1A2E"/>
    <w:rsid w:val="006B5A94"/>
    <w:rsid w:val="006D7969"/>
    <w:rsid w:val="00731AF8"/>
    <w:rsid w:val="00741B88"/>
    <w:rsid w:val="00773DA7"/>
    <w:rsid w:val="00795151"/>
    <w:rsid w:val="007B55B0"/>
    <w:rsid w:val="007F1518"/>
    <w:rsid w:val="00802542"/>
    <w:rsid w:val="0080336B"/>
    <w:rsid w:val="0087408B"/>
    <w:rsid w:val="008C0B8C"/>
    <w:rsid w:val="008C0E5E"/>
    <w:rsid w:val="008C144E"/>
    <w:rsid w:val="008D0E15"/>
    <w:rsid w:val="008E7DF4"/>
    <w:rsid w:val="008F33A8"/>
    <w:rsid w:val="0091309E"/>
    <w:rsid w:val="0093781E"/>
    <w:rsid w:val="009721BE"/>
    <w:rsid w:val="00976473"/>
    <w:rsid w:val="009978CD"/>
    <w:rsid w:val="009A59EE"/>
    <w:rsid w:val="009C0C6B"/>
    <w:rsid w:val="009D4DE7"/>
    <w:rsid w:val="009F6B38"/>
    <w:rsid w:val="00A017CB"/>
    <w:rsid w:val="00A368FA"/>
    <w:rsid w:val="00A527C1"/>
    <w:rsid w:val="00A93D33"/>
    <w:rsid w:val="00B23CD2"/>
    <w:rsid w:val="00B50797"/>
    <w:rsid w:val="00B67742"/>
    <w:rsid w:val="00BB4FE2"/>
    <w:rsid w:val="00BF04BF"/>
    <w:rsid w:val="00C16190"/>
    <w:rsid w:val="00C3066D"/>
    <w:rsid w:val="00C61B5A"/>
    <w:rsid w:val="00C64BF8"/>
    <w:rsid w:val="00C874A9"/>
    <w:rsid w:val="00CD3E62"/>
    <w:rsid w:val="00D011BB"/>
    <w:rsid w:val="00D362A0"/>
    <w:rsid w:val="00D368CD"/>
    <w:rsid w:val="00D45C26"/>
    <w:rsid w:val="00D56989"/>
    <w:rsid w:val="00D57B76"/>
    <w:rsid w:val="00D801ED"/>
    <w:rsid w:val="00D9784A"/>
    <w:rsid w:val="00DC67C0"/>
    <w:rsid w:val="00E47684"/>
    <w:rsid w:val="00E65279"/>
    <w:rsid w:val="00E65F33"/>
    <w:rsid w:val="00E73316"/>
    <w:rsid w:val="00EB0251"/>
    <w:rsid w:val="00ED5857"/>
    <w:rsid w:val="00ED689D"/>
    <w:rsid w:val="00F12190"/>
    <w:rsid w:val="00F4350E"/>
    <w:rsid w:val="00F5558B"/>
    <w:rsid w:val="00F66F22"/>
    <w:rsid w:val="00F67FB5"/>
    <w:rsid w:val="00F8028C"/>
    <w:rsid w:val="00F8072F"/>
    <w:rsid w:val="00F90233"/>
    <w:rsid w:val="00FA6A18"/>
    <w:rsid w:val="00FC23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DF41C"/>
  <w15:chartTrackingRefBased/>
  <w15:docId w15:val="{B678010A-981F-4809-B461-12D6F4F93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0218"/>
  </w:style>
  <w:style w:type="paragraph" w:styleId="Heading1">
    <w:name w:val="heading 1"/>
    <w:basedOn w:val="Normal"/>
    <w:next w:val="Normal"/>
    <w:link w:val="Heading1Char"/>
    <w:uiPriority w:val="9"/>
    <w:qFormat/>
    <w:rsid w:val="006702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702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702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702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02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02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02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02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02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02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702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702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702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02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02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02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02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0218"/>
    <w:rPr>
      <w:rFonts w:eastAsiaTheme="majorEastAsia" w:cstheme="majorBidi"/>
      <w:color w:val="272727" w:themeColor="text1" w:themeTint="D8"/>
    </w:rPr>
  </w:style>
  <w:style w:type="paragraph" w:styleId="Title">
    <w:name w:val="Title"/>
    <w:basedOn w:val="Normal"/>
    <w:next w:val="Normal"/>
    <w:link w:val="TitleChar"/>
    <w:uiPriority w:val="10"/>
    <w:qFormat/>
    <w:rsid w:val="006702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02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02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02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0218"/>
    <w:pPr>
      <w:spacing w:before="160"/>
      <w:jc w:val="center"/>
    </w:pPr>
    <w:rPr>
      <w:i/>
      <w:iCs/>
      <w:color w:val="404040" w:themeColor="text1" w:themeTint="BF"/>
    </w:rPr>
  </w:style>
  <w:style w:type="character" w:customStyle="1" w:styleId="QuoteChar">
    <w:name w:val="Quote Char"/>
    <w:basedOn w:val="DefaultParagraphFont"/>
    <w:link w:val="Quote"/>
    <w:uiPriority w:val="29"/>
    <w:rsid w:val="00670218"/>
    <w:rPr>
      <w:i/>
      <w:iCs/>
      <w:color w:val="404040" w:themeColor="text1" w:themeTint="BF"/>
    </w:rPr>
  </w:style>
  <w:style w:type="paragraph" w:styleId="ListParagraph">
    <w:name w:val="List Paragraph"/>
    <w:basedOn w:val="Normal"/>
    <w:uiPriority w:val="34"/>
    <w:qFormat/>
    <w:rsid w:val="00670218"/>
    <w:pPr>
      <w:ind w:left="720"/>
      <w:contextualSpacing/>
    </w:pPr>
  </w:style>
  <w:style w:type="character" w:styleId="IntenseEmphasis">
    <w:name w:val="Intense Emphasis"/>
    <w:basedOn w:val="DefaultParagraphFont"/>
    <w:uiPriority w:val="21"/>
    <w:qFormat/>
    <w:rsid w:val="00670218"/>
    <w:rPr>
      <w:i/>
      <w:iCs/>
      <w:color w:val="2F5496" w:themeColor="accent1" w:themeShade="BF"/>
    </w:rPr>
  </w:style>
  <w:style w:type="paragraph" w:styleId="IntenseQuote">
    <w:name w:val="Intense Quote"/>
    <w:basedOn w:val="Normal"/>
    <w:next w:val="Normal"/>
    <w:link w:val="IntenseQuoteChar"/>
    <w:uiPriority w:val="30"/>
    <w:qFormat/>
    <w:rsid w:val="006702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0218"/>
    <w:rPr>
      <w:i/>
      <w:iCs/>
      <w:color w:val="2F5496" w:themeColor="accent1" w:themeShade="BF"/>
    </w:rPr>
  </w:style>
  <w:style w:type="character" w:styleId="IntenseReference">
    <w:name w:val="Intense Reference"/>
    <w:basedOn w:val="DefaultParagraphFont"/>
    <w:uiPriority w:val="32"/>
    <w:qFormat/>
    <w:rsid w:val="00670218"/>
    <w:rPr>
      <w:b/>
      <w:bCs/>
      <w:smallCaps/>
      <w:color w:val="2F5496" w:themeColor="accent1" w:themeShade="BF"/>
      <w:spacing w:val="5"/>
    </w:rPr>
  </w:style>
  <w:style w:type="character" w:customStyle="1" w:styleId="mi">
    <w:name w:val="mi"/>
    <w:basedOn w:val="DefaultParagraphFont"/>
    <w:rsid w:val="00670218"/>
  </w:style>
  <w:style w:type="character" w:styleId="Hyperlink">
    <w:name w:val="Hyperlink"/>
    <w:basedOn w:val="DefaultParagraphFont"/>
    <w:uiPriority w:val="99"/>
    <w:unhideWhenUsed/>
    <w:rsid w:val="00BF04BF"/>
    <w:rPr>
      <w:color w:val="0563C1" w:themeColor="hyperlink"/>
      <w:u w:val="single"/>
    </w:rPr>
  </w:style>
  <w:style w:type="character" w:styleId="LineNumber">
    <w:name w:val="line number"/>
    <w:basedOn w:val="DefaultParagraphFont"/>
    <w:uiPriority w:val="99"/>
    <w:semiHidden/>
    <w:unhideWhenUsed/>
    <w:rsid w:val="001E1CB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1073</TotalTime>
  <Pages>21</Pages>
  <Words>5382</Words>
  <Characters>30679</Characters>
  <Application>Microsoft Office Word</Application>
  <DocSecurity>0</DocSecurity>
  <Lines>255</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McGreal</cp:lastModifiedBy>
  <cp:revision>59</cp:revision>
  <dcterms:created xsi:type="dcterms:W3CDTF">2026-01-12T21:48:00Z</dcterms:created>
  <dcterms:modified xsi:type="dcterms:W3CDTF">2026-02-27T22:18:00Z</dcterms:modified>
</cp:coreProperties>
</file>