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4841" w14:textId="1925739F" w:rsidR="00584844" w:rsidRDefault="00584844" w:rsidP="00584844">
      <w:pPr>
        <w:spacing w:line="240" w:lineRule="auto"/>
        <w:rPr>
          <w:b/>
          <w:bCs/>
        </w:rPr>
      </w:pPr>
      <w:commentRangeStart w:id="0"/>
      <w:r>
        <w:rPr>
          <w:b/>
          <w:bCs/>
        </w:rPr>
        <w:t>Figures and Tables</w:t>
      </w:r>
      <w:commentRangeEnd w:id="0"/>
      <w:r w:rsidR="00701FC2">
        <w:rPr>
          <w:rStyle w:val="CommentReference"/>
        </w:rPr>
        <w:commentReference w:id="0"/>
      </w:r>
    </w:p>
    <w:p w14:paraId="3F9E70AB" w14:textId="77777777" w:rsidR="00584844" w:rsidRDefault="00584844" w:rsidP="00584844">
      <w:pPr>
        <w:pStyle w:val="ListParagraph"/>
        <w:spacing w:after="0" w:line="240" w:lineRule="auto"/>
        <w:ind w:left="360"/>
        <w:rPr>
          <w:i/>
          <w:iCs/>
          <w:sz w:val="20"/>
          <w:szCs w:val="20"/>
        </w:rPr>
      </w:pPr>
      <w:commentRangeStart w:id="1"/>
      <w:r>
        <w:rPr>
          <w:noProof/>
        </w:rPr>
        <w:drawing>
          <wp:inline distT="0" distB="0" distL="0" distR="0" wp14:anchorId="01A915B6" wp14:editId="4EB2AA7A">
            <wp:extent cx="5915025" cy="4450172"/>
            <wp:effectExtent l="0" t="0" r="0" b="7620"/>
            <wp:docPr id="1170925063" name="Picture 117092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2956" cy="4456139"/>
                    </a:xfrm>
                    <a:prstGeom prst="rect">
                      <a:avLst/>
                    </a:prstGeom>
                  </pic:spPr>
                </pic:pic>
              </a:graphicData>
            </a:graphic>
          </wp:inline>
        </w:drawing>
      </w:r>
      <w:commentRangeEnd w:id="1"/>
      <w:r w:rsidR="0054104D">
        <w:rPr>
          <w:rStyle w:val="CommentReference"/>
        </w:rPr>
        <w:commentReference w:id="1"/>
      </w:r>
    </w:p>
    <w:p w14:paraId="3C551EDF" w14:textId="77777777" w:rsidR="00584844" w:rsidRDefault="00584844" w:rsidP="00584844">
      <w:pPr>
        <w:spacing w:after="0" w:line="240" w:lineRule="auto"/>
        <w:rPr>
          <w:i/>
          <w:iCs/>
          <w:sz w:val="20"/>
          <w:szCs w:val="20"/>
        </w:rPr>
      </w:pPr>
    </w:p>
    <w:p w14:paraId="288E272E" w14:textId="7692C377" w:rsidR="00FA2C4A" w:rsidRDefault="00584844" w:rsidP="00584844">
      <w:pPr>
        <w:spacing w:after="0" w:line="240" w:lineRule="auto"/>
        <w:ind w:left="360"/>
        <w:rPr>
          <w:i/>
          <w:iCs/>
          <w:sz w:val="20"/>
          <w:szCs w:val="20"/>
        </w:rPr>
      </w:pPr>
      <w:r w:rsidRPr="00D368CD">
        <w:rPr>
          <w:i/>
          <w:iCs/>
          <w:sz w:val="20"/>
          <w:szCs w:val="20"/>
        </w:rPr>
        <w:t xml:space="preserve">Figure </w:t>
      </w:r>
      <w:r w:rsidR="00FA2C4A">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p>
    <w:p w14:paraId="796D4196" w14:textId="77777777" w:rsidR="00FA2C4A" w:rsidRDefault="00FA2C4A">
      <w:pPr>
        <w:rPr>
          <w:i/>
          <w:iCs/>
          <w:sz w:val="20"/>
          <w:szCs w:val="20"/>
        </w:rPr>
      </w:pPr>
      <w:r>
        <w:rPr>
          <w:i/>
          <w:iCs/>
          <w:sz w:val="20"/>
          <w:szCs w:val="20"/>
        </w:rPr>
        <w:br w:type="page"/>
      </w:r>
    </w:p>
    <w:p w14:paraId="6F7A069C" w14:textId="67E0B4A0" w:rsidR="00FA2C4A" w:rsidRDefault="00FA2C4A" w:rsidP="00FA2C4A">
      <w:pPr>
        <w:pStyle w:val="ListParagraph"/>
        <w:spacing w:after="0" w:line="240" w:lineRule="auto"/>
        <w:ind w:left="360"/>
        <w:rPr>
          <w:i/>
          <w:iCs/>
          <w:sz w:val="20"/>
          <w:szCs w:val="20"/>
        </w:rPr>
      </w:pPr>
      <w:commentRangeStart w:id="2"/>
      <w:r>
        <w:rPr>
          <w:i/>
          <w:iCs/>
          <w:noProof/>
          <w:sz w:val="20"/>
          <w:szCs w:val="20"/>
        </w:rPr>
        <w:lastRenderedPageBreak/>
        <w:drawing>
          <wp:inline distT="0" distB="0" distL="0" distR="0" wp14:anchorId="0844D533" wp14:editId="028684D8">
            <wp:extent cx="5943600" cy="3495675"/>
            <wp:effectExtent l="0" t="0" r="0" b="9525"/>
            <wp:docPr id="1196939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commentRangeEnd w:id="2"/>
      <w:r w:rsidR="00983998">
        <w:rPr>
          <w:rStyle w:val="CommentReference"/>
        </w:rPr>
        <w:commentReference w:id="2"/>
      </w:r>
    </w:p>
    <w:p w14:paraId="714A2281" w14:textId="6B12D38D" w:rsidR="00FA2C4A" w:rsidRPr="007E0A7D" w:rsidRDefault="00FA2C4A" w:rsidP="00FA2C4A">
      <w:pPr>
        <w:pStyle w:val="ListParagraph"/>
        <w:spacing w:after="0" w:line="240" w:lineRule="auto"/>
        <w:ind w:left="360"/>
        <w:rPr>
          <w:i/>
          <w:iCs/>
          <w:sz w:val="20"/>
          <w:szCs w:val="20"/>
        </w:rPr>
      </w:pPr>
      <w:r w:rsidRPr="007E0A7D">
        <w:rPr>
          <w:i/>
          <w:iCs/>
          <w:sz w:val="20"/>
          <w:szCs w:val="20"/>
        </w:rPr>
        <w:t xml:space="preserve">Figure </w:t>
      </w:r>
      <w:r>
        <w:rPr>
          <w:i/>
          <w:iCs/>
          <w:sz w:val="20"/>
          <w:szCs w:val="20"/>
        </w:rPr>
        <w:t>2</w:t>
      </w:r>
      <w:r w:rsidRPr="007E0A7D">
        <w:rPr>
          <w:i/>
          <w:iCs/>
          <w:sz w:val="20"/>
          <w:szCs w:val="20"/>
        </w:rPr>
        <w:t xml:space="preserve">: </w:t>
      </w:r>
      <w:r>
        <w:rPr>
          <w:i/>
          <w:iCs/>
          <w:sz w:val="20"/>
          <w:szCs w:val="20"/>
        </w:rPr>
        <w:t>Even-year p</w:t>
      </w:r>
      <w:r w:rsidRPr="007E0A7D">
        <w:rPr>
          <w:i/>
          <w:iCs/>
          <w:sz w:val="20"/>
          <w:szCs w:val="20"/>
        </w:rPr>
        <w:t xml:space="preserve">eak pink salmon escapement </w:t>
      </w:r>
      <w:r>
        <w:rPr>
          <w:i/>
          <w:iCs/>
          <w:sz w:val="20"/>
          <w:szCs w:val="20"/>
        </w:rPr>
        <w:t>from 1960 to 2022</w:t>
      </w:r>
      <w:r w:rsidRPr="007E0A7D">
        <w:rPr>
          <w:i/>
          <w:iCs/>
          <w:sz w:val="20"/>
          <w:szCs w:val="20"/>
        </w:rPr>
        <w:t xml:space="preserve"> in</w:t>
      </w:r>
      <w:r>
        <w:rPr>
          <w:i/>
          <w:iCs/>
          <w:sz w:val="20"/>
          <w:szCs w:val="20"/>
        </w:rPr>
        <w:t xml:space="preserve"> Indian River and</w:t>
      </w:r>
      <w:r w:rsidRPr="007E0A7D">
        <w:rPr>
          <w:i/>
          <w:iCs/>
          <w:sz w:val="20"/>
          <w:szCs w:val="20"/>
        </w:rPr>
        <w:t xml:space="preserve"> 35 </w:t>
      </w:r>
      <w:r>
        <w:rPr>
          <w:i/>
          <w:iCs/>
          <w:sz w:val="20"/>
          <w:szCs w:val="20"/>
        </w:rPr>
        <w:t xml:space="preserve">index </w:t>
      </w:r>
      <w:r w:rsidRPr="007E0A7D">
        <w:rPr>
          <w:i/>
          <w:iCs/>
          <w:sz w:val="20"/>
          <w:szCs w:val="20"/>
        </w:rPr>
        <w:t>streams across ADFG’s designated Northern Southeast (Outside) region.</w:t>
      </w:r>
      <w:r>
        <w:rPr>
          <w:i/>
          <w:iCs/>
          <w:sz w:val="20"/>
          <w:szCs w:val="20"/>
        </w:rPr>
        <w:t xml:space="preserve"> Indian River counts highlighted.</w:t>
      </w:r>
      <w:r w:rsidRPr="007E0A7D">
        <w:rPr>
          <w:i/>
          <w:iCs/>
          <w:sz w:val="20"/>
          <w:szCs w:val="20"/>
        </w:rPr>
        <w:t xml:space="preserve"> Spawner counts are </w:t>
      </w:r>
      <w:r>
        <w:rPr>
          <w:i/>
          <w:iCs/>
          <w:sz w:val="20"/>
          <w:szCs w:val="20"/>
        </w:rPr>
        <w:t xml:space="preserve">scaled </w:t>
      </w:r>
      <w:r w:rsidRPr="007E0A7D">
        <w:rPr>
          <w:i/>
          <w:iCs/>
          <w:sz w:val="20"/>
          <w:szCs w:val="20"/>
        </w:rPr>
        <w:t>against stream length</w:t>
      </w:r>
      <w:r>
        <w:rPr>
          <w:i/>
          <w:iCs/>
          <w:sz w:val="20"/>
          <w:szCs w:val="20"/>
        </w:rPr>
        <w:t xml:space="preserve"> (km), then log transformed and standardized at the level of each stream</w:t>
      </w:r>
      <w:r w:rsidRPr="007E0A7D">
        <w:rPr>
          <w:i/>
          <w:iCs/>
          <w:sz w:val="20"/>
          <w:szCs w:val="20"/>
        </w:rPr>
        <w:t>.</w:t>
      </w:r>
    </w:p>
    <w:p w14:paraId="28953A52" w14:textId="77777777" w:rsidR="00584844" w:rsidRPr="00D368CD" w:rsidRDefault="00584844" w:rsidP="00584844">
      <w:pPr>
        <w:spacing w:after="0" w:line="240" w:lineRule="auto"/>
        <w:ind w:left="360"/>
        <w:rPr>
          <w:i/>
          <w:iCs/>
          <w:sz w:val="20"/>
          <w:szCs w:val="20"/>
        </w:rPr>
      </w:pPr>
    </w:p>
    <w:p w14:paraId="7C777489" w14:textId="77777777" w:rsidR="00FA2C4A" w:rsidRDefault="00FA2C4A">
      <w:pPr>
        <w:rPr>
          <w:i/>
          <w:iCs/>
          <w:sz w:val="20"/>
          <w:szCs w:val="20"/>
        </w:rPr>
      </w:pPr>
      <w:r>
        <w:rPr>
          <w:i/>
          <w:iCs/>
          <w:sz w:val="20"/>
          <w:szCs w:val="20"/>
        </w:rPr>
        <w:br w:type="page"/>
      </w:r>
    </w:p>
    <w:p w14:paraId="007A7BE1" w14:textId="77777777" w:rsidR="00517E09" w:rsidRDefault="00FA2C4A" w:rsidP="00FA2C4A">
      <w:pPr>
        <w:pStyle w:val="ListParagraph"/>
        <w:spacing w:after="0" w:line="240" w:lineRule="auto"/>
        <w:ind w:left="360"/>
        <w:rPr>
          <w:i/>
          <w:iCs/>
          <w:sz w:val="20"/>
          <w:szCs w:val="20"/>
        </w:rPr>
      </w:pPr>
      <w:commentRangeStart w:id="3"/>
      <w:r>
        <w:rPr>
          <w:b/>
          <w:bCs/>
          <w:noProof/>
        </w:rPr>
        <w:lastRenderedPageBreak/>
        <w:drawing>
          <wp:inline distT="0" distB="0" distL="0" distR="0" wp14:anchorId="367111FB" wp14:editId="327E5A2C">
            <wp:extent cx="5943600" cy="3495675"/>
            <wp:effectExtent l="0" t="0" r="0" b="9525"/>
            <wp:docPr id="623453106" name="Picture 12" descr="The image is a line graph showing the logarithmic peak escapement per kilometer of stream for pink salmon in the Indian River among ADFG Northern Southeast (Outside) streams, with data points for the years 1980, 2000, and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3106" name="Picture 12" descr="The image is a line graph showing the logarithmic peak escapement per kilometer of stream for pink salmon in the Indian River among ADFG Northern Southeast (Outside) streams, with data points for the years 1980, 2000, and 2020.&#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commentRangeEnd w:id="3"/>
      <w:r w:rsidR="00983998">
        <w:rPr>
          <w:rStyle w:val="CommentReference"/>
        </w:rPr>
        <w:commentReference w:id="3"/>
      </w:r>
      <w:r w:rsidRPr="007E0A7D">
        <w:rPr>
          <w:i/>
          <w:iCs/>
          <w:sz w:val="20"/>
          <w:szCs w:val="20"/>
        </w:rPr>
        <w:t xml:space="preserve">Figure </w:t>
      </w:r>
      <w:r>
        <w:rPr>
          <w:i/>
          <w:iCs/>
          <w:sz w:val="20"/>
          <w:szCs w:val="20"/>
        </w:rPr>
        <w:t>3</w:t>
      </w:r>
      <w:r w:rsidRPr="007E0A7D">
        <w:rPr>
          <w:i/>
          <w:iCs/>
          <w:sz w:val="20"/>
          <w:szCs w:val="20"/>
        </w:rPr>
        <w:t xml:space="preserve">: </w:t>
      </w:r>
      <w:r>
        <w:rPr>
          <w:i/>
          <w:iCs/>
          <w:sz w:val="20"/>
          <w:szCs w:val="20"/>
        </w:rPr>
        <w:t>Odd-year p</w:t>
      </w:r>
      <w:r w:rsidRPr="007E0A7D">
        <w:rPr>
          <w:i/>
          <w:iCs/>
          <w:sz w:val="20"/>
          <w:szCs w:val="20"/>
        </w:rPr>
        <w:t xml:space="preserve">eak pink salmon escapement </w:t>
      </w:r>
      <w:r>
        <w:rPr>
          <w:i/>
          <w:iCs/>
          <w:sz w:val="20"/>
          <w:szCs w:val="20"/>
        </w:rPr>
        <w:t>from 1960 to 2023</w:t>
      </w:r>
      <w:r w:rsidRPr="007E0A7D">
        <w:rPr>
          <w:i/>
          <w:iCs/>
          <w:sz w:val="20"/>
          <w:szCs w:val="20"/>
        </w:rPr>
        <w:t xml:space="preserve"> in</w:t>
      </w:r>
      <w:r>
        <w:rPr>
          <w:i/>
          <w:iCs/>
          <w:sz w:val="20"/>
          <w:szCs w:val="20"/>
        </w:rPr>
        <w:t xml:space="preserve"> Indian River and</w:t>
      </w:r>
      <w:r w:rsidRPr="007E0A7D">
        <w:rPr>
          <w:i/>
          <w:iCs/>
          <w:sz w:val="20"/>
          <w:szCs w:val="20"/>
        </w:rPr>
        <w:t xml:space="preserve"> 35 </w:t>
      </w:r>
      <w:r>
        <w:rPr>
          <w:i/>
          <w:iCs/>
          <w:sz w:val="20"/>
          <w:szCs w:val="20"/>
        </w:rPr>
        <w:t xml:space="preserve">index </w:t>
      </w:r>
      <w:r w:rsidRPr="007E0A7D">
        <w:rPr>
          <w:i/>
          <w:iCs/>
          <w:sz w:val="20"/>
          <w:szCs w:val="20"/>
        </w:rPr>
        <w:t>streams across ADFG’s designated Northern Southeast (Outside) region.</w:t>
      </w:r>
      <w:r>
        <w:rPr>
          <w:i/>
          <w:iCs/>
          <w:sz w:val="20"/>
          <w:szCs w:val="20"/>
        </w:rPr>
        <w:t xml:space="preserve"> Indian River counts highlighted.</w:t>
      </w:r>
      <w:r w:rsidRPr="007E0A7D">
        <w:rPr>
          <w:i/>
          <w:iCs/>
          <w:sz w:val="20"/>
          <w:szCs w:val="20"/>
        </w:rPr>
        <w:t xml:space="preserve"> Spawner counts are </w:t>
      </w:r>
      <w:r>
        <w:rPr>
          <w:i/>
          <w:iCs/>
          <w:sz w:val="20"/>
          <w:szCs w:val="20"/>
        </w:rPr>
        <w:t xml:space="preserve">scaled </w:t>
      </w:r>
      <w:r w:rsidRPr="007E0A7D">
        <w:rPr>
          <w:i/>
          <w:iCs/>
          <w:sz w:val="20"/>
          <w:szCs w:val="20"/>
        </w:rPr>
        <w:t>against stream length</w:t>
      </w:r>
      <w:r>
        <w:rPr>
          <w:i/>
          <w:iCs/>
          <w:sz w:val="20"/>
          <w:szCs w:val="20"/>
        </w:rPr>
        <w:t xml:space="preserve"> (km), then log transformed and standardized at the level of each stream</w:t>
      </w:r>
    </w:p>
    <w:p w14:paraId="724627B4" w14:textId="77777777" w:rsidR="00517E09" w:rsidRDefault="00517E09">
      <w:pPr>
        <w:rPr>
          <w:i/>
          <w:iCs/>
          <w:sz w:val="20"/>
          <w:szCs w:val="20"/>
        </w:rPr>
      </w:pPr>
      <w:r>
        <w:rPr>
          <w:i/>
          <w:iCs/>
          <w:sz w:val="20"/>
          <w:szCs w:val="20"/>
        </w:rPr>
        <w:br w:type="page"/>
      </w:r>
    </w:p>
    <w:p w14:paraId="75C6449E" w14:textId="75EF2407" w:rsidR="00FA2C4A" w:rsidRDefault="00FA2C4A" w:rsidP="00FA2C4A">
      <w:pPr>
        <w:pStyle w:val="ListParagraph"/>
        <w:spacing w:after="0" w:line="240" w:lineRule="auto"/>
        <w:ind w:left="360"/>
        <w:rPr>
          <w:i/>
          <w:iCs/>
          <w:sz w:val="20"/>
          <w:szCs w:val="20"/>
        </w:rPr>
      </w:pPr>
      <w:r w:rsidRPr="007E0A7D">
        <w:rPr>
          <w:i/>
          <w:iCs/>
          <w:sz w:val="20"/>
          <w:szCs w:val="20"/>
        </w:rPr>
        <w:lastRenderedPageBreak/>
        <w:t>.</w:t>
      </w:r>
    </w:p>
    <w:p w14:paraId="0B2A034E" w14:textId="40CFE175" w:rsidR="00FA2C4A" w:rsidRDefault="00FA2C4A">
      <w:pPr>
        <w:rPr>
          <w:i/>
          <w:iCs/>
          <w:sz w:val="20"/>
          <w:szCs w:val="20"/>
        </w:rPr>
      </w:pPr>
    </w:p>
    <w:p w14:paraId="4242DF65" w14:textId="49BAC6A0" w:rsidR="00584844" w:rsidRDefault="003821EC" w:rsidP="00584844">
      <w:pPr>
        <w:spacing w:line="240" w:lineRule="auto"/>
        <w:rPr>
          <w:b/>
          <w:bCs/>
        </w:rPr>
      </w:pPr>
      <w:commentRangeStart w:id="4"/>
      <w:r>
        <w:rPr>
          <w:b/>
          <w:bCs/>
          <w:noProof/>
        </w:rPr>
        <w:drawing>
          <wp:inline distT="0" distB="0" distL="0" distR="0" wp14:anchorId="1E7CEB6B" wp14:editId="12E0CDA4">
            <wp:extent cx="5943600" cy="3962400"/>
            <wp:effectExtent l="0" t="0" r="0" b="0"/>
            <wp:docPr id="24119097" name="Picture 1" descr="The graph shows a decline in even-year pink salmon peak returns in 36 Southeast Alaska streams from 1960 to 2020, with the Indian River being a specific foc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9097" name="Picture 1" descr="The graph shows a decline in even-year pink salmon peak returns in 36 Southeast Alaska streams from 1960 to 2020, with the Indian River being a specific focu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commentRangeEnd w:id="4"/>
      <w:r w:rsidR="00983998">
        <w:rPr>
          <w:rStyle w:val="CommentReference"/>
        </w:rPr>
        <w:commentReference w:id="4"/>
      </w:r>
    </w:p>
    <w:p w14:paraId="1A8107ED" w14:textId="63BF6CEF" w:rsidR="00584844" w:rsidRDefault="00584844" w:rsidP="00584844">
      <w:pPr>
        <w:spacing w:after="0" w:line="240" w:lineRule="auto"/>
        <w:ind w:left="360"/>
      </w:pPr>
      <w:r w:rsidRPr="00D368CD">
        <w:rPr>
          <w:i/>
          <w:iCs/>
          <w:sz w:val="20"/>
          <w:szCs w:val="20"/>
        </w:rPr>
        <w:t xml:space="preserve">Figure </w:t>
      </w:r>
      <w:r w:rsidR="00FA2C4A">
        <w:rPr>
          <w:i/>
          <w:iCs/>
          <w:sz w:val="20"/>
          <w:szCs w:val="20"/>
        </w:rPr>
        <w:t>4</w:t>
      </w:r>
      <w:r w:rsidRPr="00D368CD">
        <w:rPr>
          <w:i/>
          <w:iCs/>
          <w:sz w:val="20"/>
          <w:szCs w:val="20"/>
        </w:rPr>
        <w:t xml:space="preserve">: MARSS model results estimating the underlying states of even-year pink salmon abundance at Indian River (highlighted in pink) and throughout </w:t>
      </w:r>
      <w:r w:rsidR="003821EC">
        <w:rPr>
          <w:i/>
          <w:iCs/>
          <w:sz w:val="20"/>
          <w:szCs w:val="20"/>
        </w:rPr>
        <w:t>‘</w:t>
      </w:r>
      <w:r w:rsidRPr="00D368CD">
        <w:rPr>
          <w:i/>
          <w:iCs/>
          <w:sz w:val="20"/>
          <w:szCs w:val="20"/>
        </w:rPr>
        <w:t>north southeast (outside)</w:t>
      </w:r>
      <w:r w:rsidR="003821EC">
        <w:rPr>
          <w:i/>
          <w:iCs/>
          <w:sz w:val="20"/>
          <w:szCs w:val="20"/>
        </w:rPr>
        <w:t>’</w:t>
      </w:r>
      <w:r w:rsidRPr="00D368CD">
        <w:rPr>
          <w:i/>
          <w:iCs/>
          <w:sz w:val="20"/>
          <w:szCs w:val="20"/>
        </w:rPr>
        <w:t xml:space="preserve"> region (grey). Abundance estimates are scaled by stream length and z-standardized at the stream level. </w:t>
      </w:r>
    </w:p>
    <w:p w14:paraId="6319C797" w14:textId="0177B78D" w:rsidR="00584844" w:rsidRDefault="00584844" w:rsidP="00584844">
      <w:pPr>
        <w:rPr>
          <w:b/>
          <w:bCs/>
        </w:rPr>
      </w:pPr>
    </w:p>
    <w:p w14:paraId="290614A7" w14:textId="310FE88E" w:rsidR="003821EC" w:rsidRDefault="003821EC" w:rsidP="00584844">
      <w:pPr>
        <w:rPr>
          <w:b/>
          <w:bCs/>
        </w:rPr>
      </w:pPr>
      <w:commentRangeStart w:id="5"/>
      <w:r>
        <w:rPr>
          <w:noProof/>
        </w:rPr>
        <w:lastRenderedPageBreak/>
        <w:drawing>
          <wp:inline distT="0" distB="0" distL="0" distR="0" wp14:anchorId="286F054D" wp14:editId="3E59B77B">
            <wp:extent cx="5943600" cy="3962400"/>
            <wp:effectExtent l="0" t="0" r="0" b="0"/>
            <wp:docPr id="2040418082" name="Picture 2" descr="The image displays a chart with a downward trend in odd-year pink salmon peak returns in 36 southeast Alaska streams from 1980 to 2020, with the Indian River specifically highligh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8082" name="Picture 2" descr="The image displays a chart with a downward trend in odd-year pink salmon peak returns in 36 southeast Alaska streams from 1980 to 2020, with the Indian River specifically highlighte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commentRangeEnd w:id="5"/>
      <w:r w:rsidR="00983998">
        <w:rPr>
          <w:rStyle w:val="CommentReference"/>
        </w:rPr>
        <w:commentReference w:id="5"/>
      </w:r>
    </w:p>
    <w:p w14:paraId="69532435" w14:textId="6DBE91ED" w:rsidR="003821EC" w:rsidRDefault="003821EC" w:rsidP="003821EC">
      <w:pPr>
        <w:spacing w:after="0" w:line="240" w:lineRule="auto"/>
        <w:ind w:left="360"/>
      </w:pPr>
      <w:r w:rsidRPr="00D368CD">
        <w:rPr>
          <w:i/>
          <w:iCs/>
          <w:sz w:val="20"/>
          <w:szCs w:val="20"/>
        </w:rPr>
        <w:t xml:space="preserve">Figure </w:t>
      </w:r>
      <w:r w:rsidR="00FA2C4A">
        <w:rPr>
          <w:i/>
          <w:iCs/>
          <w:sz w:val="20"/>
          <w:szCs w:val="20"/>
        </w:rPr>
        <w:t>5</w:t>
      </w:r>
      <w:r w:rsidRPr="00D368CD">
        <w:rPr>
          <w:i/>
          <w:iCs/>
          <w:sz w:val="20"/>
          <w:szCs w:val="20"/>
        </w:rPr>
        <w:t xml:space="preserve">: MARSS model results estimating the underlying states of </w:t>
      </w:r>
      <w:r>
        <w:rPr>
          <w:i/>
          <w:iCs/>
          <w:sz w:val="20"/>
          <w:szCs w:val="20"/>
        </w:rPr>
        <w:t>odd</w:t>
      </w:r>
      <w:r w:rsidRPr="00D368CD">
        <w:rPr>
          <w:i/>
          <w:iCs/>
          <w:sz w:val="20"/>
          <w:szCs w:val="20"/>
        </w:rPr>
        <w:t xml:space="preserve">-year pink salmon abundance at Indian River (highlighted in pink) and throughout </w:t>
      </w:r>
      <w:r>
        <w:rPr>
          <w:i/>
          <w:iCs/>
          <w:sz w:val="20"/>
          <w:szCs w:val="20"/>
        </w:rPr>
        <w:t>‘</w:t>
      </w:r>
      <w:r w:rsidRPr="00D368CD">
        <w:rPr>
          <w:i/>
          <w:iCs/>
          <w:sz w:val="20"/>
          <w:szCs w:val="20"/>
        </w:rPr>
        <w:t>north southeast (outside)</w:t>
      </w:r>
      <w:r>
        <w:rPr>
          <w:i/>
          <w:iCs/>
          <w:sz w:val="20"/>
          <w:szCs w:val="20"/>
        </w:rPr>
        <w:t>’</w:t>
      </w:r>
      <w:r w:rsidRPr="00D368CD">
        <w:rPr>
          <w:i/>
          <w:iCs/>
          <w:sz w:val="20"/>
          <w:szCs w:val="20"/>
        </w:rPr>
        <w:t xml:space="preserve"> region (grey). Abundance estimates are scaled by stream length and z-standardized at the stream level. </w:t>
      </w:r>
    </w:p>
    <w:p w14:paraId="38229530" w14:textId="7A2ED604" w:rsidR="001159C6" w:rsidRDefault="001159C6" w:rsidP="00584844">
      <w:pPr>
        <w:rPr>
          <w:b/>
          <w:bCs/>
        </w:rPr>
      </w:pPr>
    </w:p>
    <w:p w14:paraId="21C233C6" w14:textId="138BEDCF" w:rsidR="001159C6" w:rsidRDefault="00941C18" w:rsidP="001159C6">
      <w:pPr>
        <w:spacing w:after="0" w:line="240" w:lineRule="auto"/>
        <w:ind w:left="360"/>
        <w:rPr>
          <w:sz w:val="20"/>
          <w:szCs w:val="20"/>
        </w:rPr>
      </w:pPr>
      <w:commentRangeStart w:id="6"/>
      <w:r>
        <w:rPr>
          <w:i/>
          <w:iCs/>
          <w:noProof/>
          <w:sz w:val="20"/>
          <w:szCs w:val="20"/>
        </w:rPr>
        <w:lastRenderedPageBreak/>
        <w:drawing>
          <wp:inline distT="0" distB="0" distL="0" distR="0" wp14:anchorId="44FB20AD" wp14:editId="55D5FBF2">
            <wp:extent cx="5932805" cy="3317240"/>
            <wp:effectExtent l="0" t="0" r="0" b="0"/>
            <wp:docPr id="2079965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3317240"/>
                    </a:xfrm>
                    <a:prstGeom prst="rect">
                      <a:avLst/>
                    </a:prstGeom>
                    <a:noFill/>
                    <a:ln>
                      <a:noFill/>
                    </a:ln>
                  </pic:spPr>
                </pic:pic>
              </a:graphicData>
            </a:graphic>
          </wp:inline>
        </w:drawing>
      </w:r>
      <w:commentRangeEnd w:id="6"/>
      <w:r w:rsidR="00983998">
        <w:rPr>
          <w:rStyle w:val="CommentReference"/>
        </w:rPr>
        <w:commentReference w:id="6"/>
      </w:r>
      <w:r w:rsidR="001159C6" w:rsidRPr="00D368CD">
        <w:rPr>
          <w:i/>
          <w:iCs/>
          <w:sz w:val="20"/>
          <w:szCs w:val="20"/>
        </w:rPr>
        <w:t xml:space="preserve">Figure </w:t>
      </w:r>
      <w:r w:rsidR="00FA2C4A">
        <w:rPr>
          <w:i/>
          <w:iCs/>
          <w:sz w:val="20"/>
          <w:szCs w:val="20"/>
        </w:rPr>
        <w:t>6</w:t>
      </w:r>
      <w:r w:rsidR="001159C6" w:rsidRPr="00D368CD">
        <w:rPr>
          <w:i/>
          <w:iCs/>
          <w:sz w:val="20"/>
          <w:szCs w:val="20"/>
        </w:rPr>
        <w:t xml:space="preserve">: </w:t>
      </w:r>
      <w:r w:rsidR="001159C6">
        <w:rPr>
          <w:i/>
          <w:iCs/>
          <w:sz w:val="20"/>
          <w:szCs w:val="20"/>
        </w:rPr>
        <w:t>Estimated effect of brood year-to-brood year interactions between Indian River pink salmon runs and Sheldon Jackson Hatchery pink salmon releases.</w:t>
      </w:r>
    </w:p>
    <w:p w14:paraId="5615BE89" w14:textId="77777777" w:rsidR="00A2788C" w:rsidRDefault="001159C6">
      <w:pPr>
        <w:rPr>
          <w:sz w:val="20"/>
          <w:szCs w:val="20"/>
        </w:rPr>
      </w:pPr>
      <w:r>
        <w:rPr>
          <w:sz w:val="20"/>
          <w:szCs w:val="20"/>
        </w:rPr>
        <w:br w:type="page"/>
      </w:r>
      <w:commentRangeStart w:id="7"/>
      <w:commentRangeStart w:id="8"/>
      <w:r w:rsidR="00A2788C" w:rsidRPr="00A2788C">
        <w:rPr>
          <w:noProof/>
          <w:sz w:val="20"/>
          <w:szCs w:val="20"/>
        </w:rPr>
        <w:lastRenderedPageBreak/>
        <w:drawing>
          <wp:inline distT="0" distB="0" distL="0" distR="0" wp14:anchorId="314270D1" wp14:editId="77A1070B">
            <wp:extent cx="6182962" cy="3643952"/>
            <wp:effectExtent l="0" t="0" r="8890" b="0"/>
            <wp:docPr id="1637114464" name="Picture 1" descr="The image displays a table comparing the Indian River's regional abundance for even and odd years, presenting statistical results such as autocorrelation function, F-test for variance, t-test for means, and Welch's t-test for trends, indicating significant differences in certain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14464" name="Picture 1" descr="The image displays a table comparing the Indian River's regional abundance for even and odd years, presenting statistical results such as autocorrelation function, F-test for variance, t-test for means, and Welch's t-test for trends, indicating significant differences in certain cases.&#10;&#10;AI-generated content may be incorrect."/>
                    <pic:cNvPicPr/>
                  </pic:nvPicPr>
                  <pic:blipFill>
                    <a:blip r:embed="rId14"/>
                    <a:stretch>
                      <a:fillRect/>
                    </a:stretch>
                  </pic:blipFill>
                  <pic:spPr>
                    <a:xfrm>
                      <a:off x="0" y="0"/>
                      <a:ext cx="6223385" cy="3667775"/>
                    </a:xfrm>
                    <a:prstGeom prst="rect">
                      <a:avLst/>
                    </a:prstGeom>
                  </pic:spPr>
                </pic:pic>
              </a:graphicData>
            </a:graphic>
          </wp:inline>
        </w:drawing>
      </w:r>
      <w:commentRangeEnd w:id="7"/>
      <w:commentRangeEnd w:id="8"/>
      <w:r w:rsidR="00701FC2">
        <w:rPr>
          <w:rStyle w:val="CommentReference"/>
        </w:rPr>
        <w:commentReference w:id="8"/>
      </w:r>
      <w:r w:rsidR="00983998">
        <w:rPr>
          <w:rStyle w:val="CommentReference"/>
        </w:rPr>
        <w:commentReference w:id="7"/>
      </w:r>
    </w:p>
    <w:p w14:paraId="2B515DB1" w14:textId="5860A08F" w:rsidR="008F08E3" w:rsidRDefault="00A2788C">
      <w:pPr>
        <w:rPr>
          <w:i/>
          <w:iCs/>
          <w:sz w:val="20"/>
          <w:szCs w:val="20"/>
        </w:rPr>
      </w:pPr>
      <w:commentRangeStart w:id="9"/>
      <w:r w:rsidRPr="001159C6">
        <w:rPr>
          <w:i/>
          <w:iCs/>
          <w:sz w:val="20"/>
          <w:szCs w:val="20"/>
        </w:rPr>
        <w:t>Table 1</w:t>
      </w:r>
      <w:r>
        <w:rPr>
          <w:i/>
          <w:iCs/>
          <w:sz w:val="20"/>
          <w:szCs w:val="20"/>
        </w:rPr>
        <w:t xml:space="preserve">: </w:t>
      </w:r>
      <w:r w:rsidR="002F66CC">
        <w:rPr>
          <w:i/>
          <w:iCs/>
          <w:sz w:val="20"/>
          <w:szCs w:val="20"/>
        </w:rPr>
        <w:t xml:space="preserve">Statistical test results comparing time series data. Each column describes a comparison between fitted states of Indian River pink salmon abundance to fitted states of an “average” pink salmon index stream in ADFG’s </w:t>
      </w:r>
      <w:r w:rsidR="002F66CC" w:rsidRPr="002F66CC">
        <w:rPr>
          <w:i/>
          <w:iCs/>
          <w:sz w:val="20"/>
          <w:szCs w:val="20"/>
        </w:rPr>
        <w:t>‘north southeast (outside)’</w:t>
      </w:r>
      <w:r w:rsidR="002F66CC">
        <w:rPr>
          <w:i/>
          <w:iCs/>
          <w:sz w:val="20"/>
          <w:szCs w:val="20"/>
        </w:rPr>
        <w:t xml:space="preserve"> region.</w:t>
      </w:r>
      <w:commentRangeEnd w:id="9"/>
      <w:r w:rsidR="00701FC2">
        <w:rPr>
          <w:rStyle w:val="CommentReference"/>
        </w:rPr>
        <w:commentReference w:id="9"/>
      </w:r>
      <w:r w:rsidR="002F66CC">
        <w:rPr>
          <w:i/>
          <w:iCs/>
          <w:sz w:val="20"/>
          <w:szCs w:val="20"/>
        </w:rPr>
        <w:t xml:space="preserve"> </w:t>
      </w:r>
    </w:p>
    <w:p w14:paraId="0DFC80F8" w14:textId="77777777" w:rsidR="008F08E3" w:rsidRDefault="008F08E3">
      <w:pPr>
        <w:rPr>
          <w:i/>
          <w:iCs/>
          <w:sz w:val="20"/>
          <w:szCs w:val="20"/>
        </w:rPr>
      </w:pPr>
      <w:r>
        <w:rPr>
          <w:i/>
          <w:iCs/>
          <w:sz w:val="20"/>
          <w:szCs w:val="20"/>
        </w:rPr>
        <w:br w:type="page"/>
      </w:r>
    </w:p>
    <w:p w14:paraId="7359D581" w14:textId="0F400245" w:rsidR="00A2788C" w:rsidRDefault="008F08E3">
      <w:pPr>
        <w:rPr>
          <w:sz w:val="20"/>
          <w:szCs w:val="20"/>
        </w:rPr>
      </w:pPr>
      <w:r>
        <w:rPr>
          <w:noProof/>
          <w:sz w:val="20"/>
          <w:szCs w:val="20"/>
        </w:rPr>
        <w:lastRenderedPageBreak/>
        <w:drawing>
          <wp:inline distT="0" distB="0" distL="0" distR="0" wp14:anchorId="36821689" wp14:editId="1DC3A914">
            <wp:extent cx="5937885" cy="3265805"/>
            <wp:effectExtent l="0" t="0" r="5715" b="0"/>
            <wp:docPr id="45335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3265805"/>
                    </a:xfrm>
                    <a:prstGeom prst="rect">
                      <a:avLst/>
                    </a:prstGeom>
                    <a:noFill/>
                    <a:ln>
                      <a:noFill/>
                    </a:ln>
                  </pic:spPr>
                </pic:pic>
              </a:graphicData>
            </a:graphic>
          </wp:inline>
        </w:drawing>
      </w:r>
    </w:p>
    <w:p w14:paraId="151FAC89" w14:textId="50222CE6" w:rsidR="008F08E3" w:rsidRDefault="008F08E3" w:rsidP="008F08E3">
      <w:pPr>
        <w:rPr>
          <w:i/>
          <w:iCs/>
          <w:sz w:val="20"/>
          <w:szCs w:val="20"/>
        </w:rPr>
      </w:pPr>
      <w:commentRangeStart w:id="10"/>
      <w:r w:rsidRPr="001159C6">
        <w:rPr>
          <w:i/>
          <w:iCs/>
          <w:sz w:val="20"/>
          <w:szCs w:val="20"/>
        </w:rPr>
        <w:t xml:space="preserve">Table </w:t>
      </w:r>
      <w:r>
        <w:rPr>
          <w:i/>
          <w:iCs/>
          <w:sz w:val="20"/>
          <w:szCs w:val="20"/>
        </w:rPr>
        <w:t>2: Event studies evaluating the effect of Indian River on pink salmon abundances during pre-treatment periods. Parallel trends assumption holds in all cases except for even-year runs prior to 1980. It is necessary to construct a synthetic control group for this model.</w:t>
      </w:r>
      <w:commentRangeEnd w:id="10"/>
      <w:r w:rsidR="00701FC2">
        <w:rPr>
          <w:rStyle w:val="CommentReference"/>
        </w:rPr>
        <w:commentReference w:id="10"/>
      </w:r>
    </w:p>
    <w:p w14:paraId="4D0141C8" w14:textId="77777777" w:rsidR="001159C6" w:rsidRDefault="001159C6">
      <w:pPr>
        <w:rPr>
          <w:sz w:val="20"/>
          <w:szCs w:val="20"/>
        </w:rPr>
      </w:pPr>
    </w:p>
    <w:p w14:paraId="3CF2518C" w14:textId="7853F01D" w:rsidR="001159C6" w:rsidRDefault="001F4C2E" w:rsidP="001159C6">
      <w:pPr>
        <w:spacing w:after="0" w:line="240" w:lineRule="auto"/>
        <w:ind w:left="360"/>
      </w:pPr>
      <w:r>
        <w:rPr>
          <w:noProof/>
        </w:rPr>
        <w:lastRenderedPageBreak/>
        <w:drawing>
          <wp:inline distT="0" distB="0" distL="0" distR="0" wp14:anchorId="5DCAB4DC" wp14:editId="29346369">
            <wp:extent cx="5934075" cy="4933950"/>
            <wp:effectExtent l="0" t="0" r="9525" b="0"/>
            <wp:docPr id="8714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r w:rsidR="00941C18">
        <w:rPr>
          <w:noProof/>
        </w:rPr>
        <w:lastRenderedPageBreak/>
        <w:drawing>
          <wp:inline distT="0" distB="0" distL="0" distR="0" wp14:anchorId="5F1535D2" wp14:editId="793DE062">
            <wp:extent cx="5932805" cy="3317240"/>
            <wp:effectExtent l="0" t="0" r="0" b="0"/>
            <wp:docPr id="179461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3317240"/>
                    </a:xfrm>
                    <a:prstGeom prst="rect">
                      <a:avLst/>
                    </a:prstGeom>
                    <a:noFill/>
                    <a:ln>
                      <a:noFill/>
                    </a:ln>
                  </pic:spPr>
                </pic:pic>
              </a:graphicData>
            </a:graphic>
          </wp:inline>
        </w:drawing>
      </w:r>
    </w:p>
    <w:p w14:paraId="18BC8120" w14:textId="77777777" w:rsidR="001159C6" w:rsidRDefault="001159C6" w:rsidP="001159C6">
      <w:pPr>
        <w:spacing w:after="0" w:line="240" w:lineRule="auto"/>
        <w:ind w:left="360"/>
        <w:rPr>
          <w:i/>
          <w:iCs/>
          <w:sz w:val="20"/>
          <w:szCs w:val="20"/>
        </w:rPr>
      </w:pPr>
    </w:p>
    <w:p w14:paraId="05D18362" w14:textId="7E3DA3D9" w:rsidR="001159C6" w:rsidRPr="001159C6" w:rsidRDefault="001159C6" w:rsidP="001159C6">
      <w:pPr>
        <w:spacing w:after="0" w:line="240" w:lineRule="auto"/>
        <w:ind w:left="360"/>
        <w:rPr>
          <w:i/>
          <w:iCs/>
          <w:sz w:val="20"/>
          <w:szCs w:val="20"/>
        </w:rPr>
      </w:pPr>
      <w:r w:rsidRPr="001159C6">
        <w:rPr>
          <w:i/>
          <w:iCs/>
          <w:sz w:val="20"/>
          <w:szCs w:val="20"/>
        </w:rPr>
        <w:t xml:space="preserve">Table </w:t>
      </w:r>
      <w:r w:rsidR="008F08E3">
        <w:rPr>
          <w:i/>
          <w:iCs/>
          <w:sz w:val="20"/>
          <w:szCs w:val="20"/>
        </w:rPr>
        <w:t>3</w:t>
      </w:r>
      <w:r>
        <w:rPr>
          <w:i/>
          <w:iCs/>
          <w:sz w:val="20"/>
          <w:szCs w:val="20"/>
        </w:rPr>
        <w:t>: Difference-in-difference results estimating the impact of Sheldon Jackson Hatchery operations on Indian River pink salmon abundances.</w:t>
      </w:r>
      <w:r w:rsidR="00814143">
        <w:rPr>
          <w:i/>
          <w:iCs/>
          <w:sz w:val="20"/>
          <w:szCs w:val="20"/>
        </w:rPr>
        <w:t xml:space="preserve"> Standard errors in parentheses. </w:t>
      </w:r>
      <w:r>
        <w:rPr>
          <w:i/>
          <w:iCs/>
          <w:sz w:val="20"/>
          <w:szCs w:val="20"/>
        </w:rPr>
        <w:t xml:space="preserve"> </w:t>
      </w:r>
    </w:p>
    <w:p w14:paraId="6F0AEA68" w14:textId="51FED447" w:rsidR="00584844" w:rsidRDefault="00584844" w:rsidP="00584844">
      <w:pPr>
        <w:rPr>
          <w:b/>
          <w:bCs/>
        </w:rPr>
      </w:pPr>
      <w:r>
        <w:rPr>
          <w:b/>
          <w:bCs/>
        </w:rPr>
        <w:br w:type="page"/>
      </w:r>
    </w:p>
    <w:p w14:paraId="10CF8FF8" w14:textId="77777777" w:rsidR="00584844" w:rsidRPr="00B81603" w:rsidRDefault="00584844" w:rsidP="00584844">
      <w:pPr>
        <w:spacing w:line="240" w:lineRule="auto"/>
        <w:rPr>
          <w:b/>
          <w:bCs/>
        </w:rPr>
      </w:pPr>
      <w:r w:rsidRPr="00B81603">
        <w:rPr>
          <w:b/>
          <w:bCs/>
        </w:rPr>
        <w:lastRenderedPageBreak/>
        <w:t>References</w:t>
      </w:r>
    </w:p>
    <w:p w14:paraId="05D2DE0F" w14:textId="77777777" w:rsidR="00584844" w:rsidRDefault="00584844" w:rsidP="00584844">
      <w:pPr>
        <w:spacing w:line="240" w:lineRule="auto"/>
        <w:ind w:left="720" w:hanging="720"/>
      </w:pPr>
      <w:r>
        <w:t xml:space="preserve">Alaska Department of Fish and Game. 2024a. Commercial Salmon Fisheries – Southeast Alaska &amp; Yakutat Research: Pink Salmon. Available at: </w:t>
      </w:r>
      <w:hyperlink r:id="rId17" w:history="1">
        <w:r w:rsidRPr="007B1A5E">
          <w:rPr>
            <w:rStyle w:val="Hyperlink"/>
          </w:rPr>
          <w:t>https://www.adfg.alaska.gov/index.cfm?adfg=commercialbyareasoutheast.salmon_research_pink</w:t>
        </w:r>
      </w:hyperlink>
      <w:r>
        <w:t xml:space="preserve"> (accessed December 14, 2024)</w:t>
      </w:r>
    </w:p>
    <w:p w14:paraId="059DAB70" w14:textId="77777777" w:rsidR="00584844" w:rsidRDefault="00584844" w:rsidP="00584844">
      <w:pPr>
        <w:spacing w:line="240" w:lineRule="auto"/>
        <w:ind w:left="720" w:hanging="720"/>
      </w:pPr>
      <w:r>
        <w:t xml:space="preserve">Alaska Department of Fish and Game. 2024b. Mark Recovery Laboratory – Otolith Marking. Available at: </w:t>
      </w:r>
      <w:hyperlink r:id="rId18" w:history="1">
        <w:r w:rsidRPr="007B1A5E">
          <w:rPr>
            <w:rStyle w:val="Hyperlink"/>
          </w:rPr>
          <w:t>https://mtalab.adfg.alaska.gov/OTO/marking.aspx</w:t>
        </w:r>
      </w:hyperlink>
      <w:r>
        <w:t xml:space="preserve"> (accessed December 14, 2024)</w:t>
      </w:r>
    </w:p>
    <w:p w14:paraId="0CC68DD4" w14:textId="77777777" w:rsidR="00584844" w:rsidRPr="00E66FA7" w:rsidRDefault="00584844" w:rsidP="00584844">
      <w:pPr>
        <w:spacing w:line="240" w:lineRule="auto"/>
        <w:ind w:left="720" w:hanging="720"/>
      </w:pPr>
      <w:r>
        <w:t xml:space="preserve">Beckett, K., E. Elle, C. Kremen, A. Sherwood, S. McComb, T. G. Martin. 2022. Hyperabundant black-tailed deer impact endangered Garry oak ecosystem floral and bumblebee communities. </w:t>
      </w:r>
      <w:r>
        <w:rPr>
          <w:i/>
          <w:iCs/>
        </w:rPr>
        <w:t>Global Ecology and Conservation</w:t>
      </w:r>
      <w:r>
        <w:t xml:space="preserve"> 38: 14pp.</w:t>
      </w:r>
    </w:p>
    <w:p w14:paraId="383BC2F3" w14:textId="77777777" w:rsidR="00584844" w:rsidRPr="008776F4" w:rsidRDefault="00584844" w:rsidP="00584844">
      <w:pPr>
        <w:spacing w:line="240" w:lineRule="auto"/>
        <w:ind w:left="720" w:hanging="720"/>
      </w:pPr>
      <w:r>
        <w:t xml:space="preserve">Cunningham, S. 2021. </w:t>
      </w:r>
      <w:r>
        <w:rPr>
          <w:i/>
          <w:iCs/>
        </w:rPr>
        <w:t>Causal Inference: The Mixtape.</w:t>
      </w:r>
      <w:r>
        <w:t xml:space="preserve"> Yale University Press, 352 pp.</w:t>
      </w:r>
    </w:p>
    <w:p w14:paraId="67B2C24F" w14:textId="77777777" w:rsidR="00584844" w:rsidRDefault="00584844" w:rsidP="00584844">
      <w:pPr>
        <w:spacing w:line="240" w:lineRule="auto"/>
        <w:ind w:left="720" w:hanging="720"/>
      </w:pPr>
      <w:r>
        <w:t xml:space="preserve">Gende, S. and B. Carter. 2015. </w:t>
      </w:r>
      <w:r w:rsidRPr="00942C32">
        <w:rPr>
          <w:i/>
          <w:iCs/>
        </w:rPr>
        <w:t>Straying rates of pink salmon into the Indian River, Sitka National Historical Park. Final Report – ADF&amp;G Permit # SF2015-225.</w:t>
      </w:r>
      <w:r>
        <w:t xml:space="preserve"> National Park Service, 11 pp.</w:t>
      </w:r>
    </w:p>
    <w:p w14:paraId="13FD7306" w14:textId="17B4251D" w:rsidR="00D20860" w:rsidRDefault="00D20860" w:rsidP="00D20860">
      <w:pPr>
        <w:spacing w:line="240" w:lineRule="auto"/>
        <w:ind w:left="720" w:hanging="720"/>
      </w:pPr>
      <w:r>
        <w:t xml:space="preserve">Gibson, K., K. Skov, S. Kegley, C. Jorgensen, S. Smith, and J. Witcosky. 2008. </w:t>
      </w:r>
      <w:r w:rsidRPr="00DB7D2F">
        <w:t>Mountain Pine Beetle Impacts in High-Elevation Five-Needle Pines: Current Trends and Challenges.</w:t>
      </w:r>
      <w:r>
        <w:t xml:space="preserve"> USDA Forest Service – Forest Health Protection, 40 pp.</w:t>
      </w:r>
    </w:p>
    <w:p w14:paraId="4FD54F54" w14:textId="5C0702A6" w:rsidR="00584844" w:rsidRDefault="00584844" w:rsidP="00584844">
      <w:pPr>
        <w:spacing w:line="240" w:lineRule="auto"/>
        <w:ind w:left="720" w:hanging="720"/>
      </w:pPr>
      <w:r>
        <w:t xml:space="preserve">Holmes, E. E., E. J. Ward, and K. Wills. 2012. MARSS: Multivariate Autoregressive State-space Models for Analyzing Time-series Data. </w:t>
      </w:r>
      <w:r>
        <w:rPr>
          <w:i/>
          <w:iCs/>
        </w:rPr>
        <w:t>The R Journal</w:t>
      </w:r>
      <w:r>
        <w:t xml:space="preserve"> 4(1): 11-19.</w:t>
      </w:r>
    </w:p>
    <w:p w14:paraId="4551224E" w14:textId="77777777" w:rsidR="00584844" w:rsidRDefault="00584844" w:rsidP="00584844">
      <w:pPr>
        <w:spacing w:line="240" w:lineRule="auto"/>
        <w:ind w:left="720" w:hanging="720"/>
      </w:pPr>
      <w:r>
        <w:t xml:space="preserve">Knudsen, E. E., P. S. Rand, K. B. Gorman, D. R. Bernard, W. D. Templin. 2021. Hatchery-origin stray rates and total run characteristics for Pink Salmon and Chum Salmon returning to Prince William Sound, Alaska in 2013-2015. </w:t>
      </w:r>
      <w:r>
        <w:rPr>
          <w:i/>
          <w:iCs/>
        </w:rPr>
        <w:t xml:space="preserve">Marine and Coastal Fisheries </w:t>
      </w:r>
      <w:r>
        <w:t>13(1): 41-68.</w:t>
      </w:r>
    </w:p>
    <w:p w14:paraId="78A196FB" w14:textId="77777777" w:rsidR="00BA3D67" w:rsidRDefault="0088198E" w:rsidP="0088198E">
      <w:pPr>
        <w:spacing w:line="240" w:lineRule="auto"/>
        <w:ind w:left="720" w:hanging="720"/>
      </w:pPr>
      <w:r>
        <w:t>Manhard, C. V., J. E. Joyce, W. W. Smoker, and A. J. Gharrett. 2017. Ecological factors influencing lifetime productivity of pink salmon (</w:t>
      </w:r>
      <w:r w:rsidRPr="00177F5D">
        <w:rPr>
          <w:i/>
          <w:iCs/>
        </w:rPr>
        <w:t xml:space="preserve">Oncorhynchus </w:t>
      </w:r>
      <w:proofErr w:type="spellStart"/>
      <w:r w:rsidRPr="00177F5D">
        <w:rPr>
          <w:i/>
          <w:iCs/>
        </w:rPr>
        <w:t>gorbuscha</w:t>
      </w:r>
      <w:proofErr w:type="spellEnd"/>
      <w:r>
        <w:t xml:space="preserve">) in an Alaskan stream. </w:t>
      </w:r>
      <w:r w:rsidRPr="00BA3D67">
        <w:rPr>
          <w:i/>
          <w:iCs/>
        </w:rPr>
        <w:t>Canadian Journal of Fisheries and Aquatic Sciences</w:t>
      </w:r>
      <w:r>
        <w:t xml:space="preserve"> 74(9): 1325-1336.</w:t>
      </w:r>
    </w:p>
    <w:p w14:paraId="2F4B5E33" w14:textId="56D6533F" w:rsidR="0088198E" w:rsidRDefault="00BA3D67" w:rsidP="0088198E">
      <w:pPr>
        <w:spacing w:line="240" w:lineRule="auto"/>
        <w:ind w:left="720" w:hanging="720"/>
      </w:pPr>
      <w:r>
        <w:t xml:space="preserve">Mantua, N. J., S. R. Hare, Y. Zhang, J. M. Wallace, and R. C. Francis. A Pacific Interdecadal Climate Oscillation with Impacts on Salmon Production. </w:t>
      </w:r>
      <w:r>
        <w:rPr>
          <w:i/>
          <w:iCs/>
        </w:rPr>
        <w:t>Bulletin of the American Meteorological Society</w:t>
      </w:r>
      <w:r>
        <w:t xml:space="preserve"> 78(6): 1069-1079. </w:t>
      </w:r>
      <w:r w:rsidR="0088198E">
        <w:t xml:space="preserve"> </w:t>
      </w:r>
    </w:p>
    <w:p w14:paraId="1F254F56" w14:textId="6516BA57" w:rsidR="00496748" w:rsidRDefault="00496748" w:rsidP="00496748">
      <w:pPr>
        <w:spacing w:line="240" w:lineRule="auto"/>
        <w:ind w:left="720" w:hanging="720"/>
      </w:pPr>
      <w:r>
        <w:t xml:space="preserve">Miller, K. M., S. J. Perles, J. P. Schmit, E. R. Matthews, A. S. Weed, J. A. Comiskey, M. R. Marshall, P. Nelson, N. A. </w:t>
      </w:r>
      <w:proofErr w:type="spellStart"/>
      <w:r>
        <w:t>Fisichelli</w:t>
      </w:r>
      <w:proofErr w:type="spellEnd"/>
      <w:r>
        <w:t xml:space="preserve">. 2023. </w:t>
      </w:r>
      <w:r w:rsidRPr="00656692">
        <w:t>Overabundant deer and invasive plants drive widespread regeneration debt in eastern United States national parks.</w:t>
      </w:r>
      <w:r>
        <w:t xml:space="preserve"> </w:t>
      </w:r>
      <w:r w:rsidRPr="00147E1E">
        <w:t>Ecological Applications</w:t>
      </w:r>
      <w:r>
        <w:rPr>
          <w:i/>
          <w:iCs/>
        </w:rPr>
        <w:t xml:space="preserve"> </w:t>
      </w:r>
      <w:r>
        <w:t>33: 24pp.</w:t>
      </w:r>
    </w:p>
    <w:p w14:paraId="549DED8A" w14:textId="77777777" w:rsidR="00584844" w:rsidRPr="00E66FA7" w:rsidRDefault="00584844" w:rsidP="00584844">
      <w:pPr>
        <w:spacing w:line="240" w:lineRule="auto"/>
        <w:ind w:left="720" w:hanging="720"/>
      </w:pPr>
      <w:r>
        <w:t xml:space="preserve">Moore, J. H., L. Gibson, Z. Amir, W. </w:t>
      </w:r>
      <w:proofErr w:type="spellStart"/>
      <w:r>
        <w:t>Chanthorn</w:t>
      </w:r>
      <w:proofErr w:type="spellEnd"/>
      <w:r>
        <w:t xml:space="preserve">, A. H. Ahmad, P. A. Jansen, C. P. Mendes, M. Onuma, C. A. Peres, M. S. Luskin. 2023. The rise of hyperabundant native generalists threatens both humans and nature. </w:t>
      </w:r>
      <w:r>
        <w:rPr>
          <w:i/>
          <w:iCs/>
        </w:rPr>
        <w:t>Biological Reviews</w:t>
      </w:r>
      <w:r>
        <w:t xml:space="preserve"> 98(5): 1829-1844.</w:t>
      </w:r>
    </w:p>
    <w:p w14:paraId="49AEB3DA" w14:textId="77777777" w:rsidR="00584844" w:rsidRDefault="00584844" w:rsidP="00584844">
      <w:pPr>
        <w:spacing w:line="240" w:lineRule="auto"/>
        <w:ind w:left="720" w:hanging="720"/>
      </w:pPr>
      <w:r>
        <w:lastRenderedPageBreak/>
        <w:t xml:space="preserve">National Park Service. 2025a. Organic Act of 1916. Available at: </w:t>
      </w:r>
      <w:hyperlink r:id="rId19" w:history="1">
        <w:r w:rsidRPr="00096DB2">
          <w:rPr>
            <w:rStyle w:val="Hyperlink"/>
          </w:rPr>
          <w:t>https://www.nps.gov/grba/learn/management/organic-act-of-1916.htm</w:t>
        </w:r>
      </w:hyperlink>
      <w:r>
        <w:t xml:space="preserve"> (accessed March 27, 2025)</w:t>
      </w:r>
    </w:p>
    <w:p w14:paraId="4E36A18A" w14:textId="77777777" w:rsidR="00584844" w:rsidRPr="00096DB2" w:rsidRDefault="00584844" w:rsidP="00584844">
      <w:pPr>
        <w:spacing w:line="240" w:lineRule="auto"/>
        <w:ind w:left="720" w:hanging="720"/>
        <w:rPr>
          <w:i/>
          <w:iCs/>
        </w:rPr>
      </w:pPr>
      <w:r>
        <w:t xml:space="preserve">National Park Service. 2025b. Sitka National Historical Park. Available at: </w:t>
      </w:r>
      <w:hyperlink r:id="rId20" w:history="1">
        <w:r w:rsidRPr="00096DB2">
          <w:rPr>
            <w:rStyle w:val="Hyperlink"/>
          </w:rPr>
          <w:t>https://www.nps.gov/sitk/index.htm</w:t>
        </w:r>
      </w:hyperlink>
      <w:r>
        <w:t xml:space="preserve"> (accessed March 18, 2025)</w:t>
      </w:r>
      <w:r>
        <w:rPr>
          <w:i/>
          <w:iCs/>
        </w:rPr>
        <w:t xml:space="preserve"> </w:t>
      </w:r>
    </w:p>
    <w:p w14:paraId="20E001D4" w14:textId="77777777" w:rsidR="00584844" w:rsidRDefault="00584844" w:rsidP="00584844">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CB2DB8F" w14:textId="77777777" w:rsidR="00584844" w:rsidRDefault="00584844" w:rsidP="00584844">
      <w:pPr>
        <w:spacing w:line="240" w:lineRule="auto"/>
        <w:ind w:left="720" w:hanging="720"/>
      </w:pPr>
      <w:proofErr w:type="spellStart"/>
      <w:r>
        <w:t>Sambaraju</w:t>
      </w:r>
      <w:proofErr w:type="spellEnd"/>
      <w:r>
        <w:t xml:space="preserve">, K. R., D. W. Goodman. 2021. Mountain pine beetle: an example of a climate-driven eruptive insect impacting conifer forest ecosystems. </w:t>
      </w:r>
      <w:r>
        <w:rPr>
          <w:i/>
          <w:iCs/>
        </w:rPr>
        <w:t>CABI Reviews</w:t>
      </w:r>
      <w:r>
        <w:t>: 18pp.</w:t>
      </w:r>
    </w:p>
    <w:p w14:paraId="049DE9F9" w14:textId="77777777" w:rsidR="00584844" w:rsidRPr="005810E6" w:rsidRDefault="00584844" w:rsidP="00584844">
      <w:pPr>
        <w:spacing w:line="240" w:lineRule="auto"/>
        <w:ind w:left="720" w:hanging="720"/>
      </w:pPr>
      <w:r>
        <w:t xml:space="preserve">Sergeant, C. J., J. R. Bellmore, C. McConnell, 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3925B3F3" w14:textId="77777777" w:rsidR="00584844" w:rsidRDefault="00584844" w:rsidP="00584844">
      <w:pPr>
        <w:spacing w:line="240" w:lineRule="auto"/>
        <w:ind w:left="720" w:hanging="720"/>
      </w:pPr>
      <w:r>
        <w:t xml:space="preserve">Sergeant, C. J., J. R. Bellmore, R. A. Bellmore, J. A. Falke, F. J. </w:t>
      </w:r>
      <w:proofErr w:type="spellStart"/>
      <w:r>
        <w:t>Mueter</w:t>
      </w:r>
      <w:proofErr w:type="spellEnd"/>
      <w:r>
        <w:t xml:space="preserve">, and P. A. H. Westley. 2023. Hypoxia vulnerability in the salmon watersheds of Southeast Alaska. </w:t>
      </w:r>
      <w:r>
        <w:rPr>
          <w:i/>
          <w:iCs/>
        </w:rPr>
        <w:t xml:space="preserve">Science of the Total Environment </w:t>
      </w:r>
      <w:r>
        <w:t>896:</w:t>
      </w:r>
      <w:r w:rsidRPr="00C5517B">
        <w:t xml:space="preserve"> </w:t>
      </w:r>
      <w:r>
        <w:t>12pp.</w:t>
      </w:r>
    </w:p>
    <w:p w14:paraId="7675377B" w14:textId="77777777" w:rsidR="00584844" w:rsidRPr="008776F4" w:rsidRDefault="00584844" w:rsidP="00584844">
      <w:pPr>
        <w:spacing w:line="240" w:lineRule="auto"/>
        <w:ind w:left="720" w:hanging="720"/>
        <w:rPr>
          <w:i/>
          <w:iCs/>
        </w:rPr>
      </w:pPr>
      <w:proofErr w:type="spellStart"/>
      <w:r>
        <w:t>Stopha</w:t>
      </w:r>
      <w:proofErr w:type="spellEnd"/>
      <w:r>
        <w:t xml:space="preserve">,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09DE7175" w14:textId="77777777" w:rsidR="00584844" w:rsidRDefault="00584844" w:rsidP="00584844">
      <w:pPr>
        <w:spacing w:line="240" w:lineRule="auto"/>
        <w:ind w:left="720" w:hanging="720"/>
      </w:pPr>
      <w:r>
        <w:t xml:space="preserve">Thornton, T. F. 1998. </w:t>
      </w:r>
      <w:r>
        <w:rPr>
          <w:i/>
          <w:iCs/>
        </w:rPr>
        <w:t>Traditional Tlingit Use of Sitka National Historical Park</w:t>
      </w:r>
      <w:r>
        <w:t>. National Park Service, 170 pp.</w:t>
      </w:r>
    </w:p>
    <w:p w14:paraId="35B34E13" w14:textId="77777777" w:rsidR="00584844" w:rsidRDefault="00584844" w:rsidP="00584844">
      <w:pPr>
        <w:spacing w:line="240" w:lineRule="auto"/>
        <w:ind w:left="720" w:hanging="720"/>
      </w:pPr>
      <w:r>
        <w:t>Tillotson, M. D.,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3AC70E10" w14:textId="77777777" w:rsidR="00584844" w:rsidRDefault="00584844" w:rsidP="00584844">
      <w:pPr>
        <w:spacing w:line="240" w:lineRule="auto"/>
        <w:ind w:left="720" w:hanging="720"/>
      </w:pPr>
      <w:r>
        <w:t xml:space="preserve">Van Alen, B. W. 2000. Status and Stewardship of Salmon Stocks in Southeast Alaska. In E. E. Knudsen, Steward, C. R., MacDonald, D. D., Williams, J. E., Reiser, D. W. </w:t>
      </w:r>
      <w:r w:rsidRPr="00613DCC">
        <w:t xml:space="preserve">Sustainable Fisheries </w:t>
      </w:r>
      <w:proofErr w:type="spellStart"/>
      <w:r w:rsidRPr="00613DCC">
        <w:t>Managemnt</w:t>
      </w:r>
      <w:proofErr w:type="spellEnd"/>
      <w:r w:rsidRPr="00613DCC">
        <w:t xml:space="preserve"> – Pacific Salmon,</w:t>
      </w:r>
      <w:r>
        <w:t xml:space="preserve"> 161-193. Lewis Publishers.</w:t>
      </w:r>
    </w:p>
    <w:p w14:paraId="7AD4182E" w14:textId="77777777" w:rsidR="00584844" w:rsidRDefault="00584844"/>
    <w:sectPr w:rsidR="005848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Scheuerell" w:date="2026-03-07T09:33:00Z" w:initials="s">
    <w:p w14:paraId="79302886" w14:textId="26AF5F26" w:rsidR="00701FC2" w:rsidRDefault="00701FC2">
      <w:pPr>
        <w:pStyle w:val="CommentText"/>
      </w:pPr>
      <w:r>
        <w:rPr>
          <w:rStyle w:val="CommentReference"/>
        </w:rPr>
        <w:annotationRef/>
      </w:r>
      <w:r>
        <w:t>I suggest that you just embed these in the main body of the manuscript for the purposes of review with me and your committee (and perhaps for your dissertation as well).</w:t>
      </w:r>
    </w:p>
  </w:comment>
  <w:comment w:id="1" w:author="Mark Scheuerell" w:date="2026-03-07T09:16:00Z" w:initials="s">
    <w:p w14:paraId="1BFCD98B" w14:textId="77777777" w:rsidR="0054104D" w:rsidRDefault="0054104D">
      <w:pPr>
        <w:pStyle w:val="CommentText"/>
      </w:pPr>
      <w:r>
        <w:rPr>
          <w:rStyle w:val="CommentReference"/>
        </w:rPr>
        <w:annotationRef/>
      </w:r>
      <w:r>
        <w:t>You’ll need to provide the source for this and be sure it’s in the public domain. Alternatively, you could use your mapping skills and make your own.</w:t>
      </w:r>
    </w:p>
    <w:p w14:paraId="58DBC738" w14:textId="77777777" w:rsidR="00983998" w:rsidRDefault="00983998">
      <w:pPr>
        <w:pStyle w:val="CommentText"/>
      </w:pPr>
    </w:p>
    <w:p w14:paraId="1B6B7FD8" w14:textId="60124703" w:rsidR="00983998" w:rsidRDefault="00983998">
      <w:pPr>
        <w:pStyle w:val="CommentText"/>
      </w:pPr>
      <w:r>
        <w:t>Also, the red polygons with the green shading will create accessibility problems for some folks.</w:t>
      </w:r>
    </w:p>
  </w:comment>
  <w:comment w:id="2" w:author="Mark Scheuerell" w:date="2026-03-07T09:18:00Z" w:initials="s">
    <w:p w14:paraId="75C284D0" w14:textId="77777777" w:rsidR="00983998" w:rsidRDefault="00983998">
      <w:pPr>
        <w:pStyle w:val="CommentText"/>
        <w:rPr>
          <w:rStyle w:val="CommentReference"/>
        </w:rPr>
      </w:pPr>
      <w:r>
        <w:rPr>
          <w:rStyle w:val="CommentReference"/>
        </w:rPr>
        <w:annotationRef/>
      </w:r>
      <w:r>
        <w:rPr>
          <w:rStyle w:val="CommentReference"/>
        </w:rPr>
        <w:t>It’s standard practice to minimize the marginal text in figures if it’s better done in the caption, and here it doesn’t add anything beyond what’s already in the caption.</w:t>
      </w:r>
    </w:p>
    <w:p w14:paraId="16A889D0" w14:textId="77777777" w:rsidR="00983998" w:rsidRDefault="00983998">
      <w:pPr>
        <w:pStyle w:val="CommentText"/>
        <w:rPr>
          <w:rStyle w:val="CommentReference"/>
        </w:rPr>
      </w:pPr>
    </w:p>
    <w:p w14:paraId="11E3EA2D" w14:textId="3E264FFA" w:rsidR="00983998" w:rsidRDefault="00983998">
      <w:pPr>
        <w:pStyle w:val="CommentText"/>
        <w:rPr>
          <w:rStyle w:val="CommentReference"/>
        </w:rPr>
      </w:pPr>
      <w:r>
        <w:rPr>
          <w:rStyle w:val="CommentReference"/>
        </w:rPr>
        <w:t>I would increase the line weight for the IR by 1 pt and use a color other than red.</w:t>
      </w:r>
    </w:p>
    <w:p w14:paraId="3B216708" w14:textId="77777777" w:rsidR="00983998" w:rsidRDefault="00983998">
      <w:pPr>
        <w:pStyle w:val="CommentText"/>
        <w:rPr>
          <w:rStyle w:val="CommentReference"/>
        </w:rPr>
      </w:pPr>
    </w:p>
    <w:p w14:paraId="6F8509A1" w14:textId="56FA47E6" w:rsidR="00983998" w:rsidRDefault="00983998">
      <w:pPr>
        <w:pStyle w:val="CommentText"/>
      </w:pPr>
      <w:r>
        <w:t xml:space="preserve">The font size on the axes and labels needs to be larger. Also, I don’t like how </w:t>
      </w:r>
      <w:proofErr w:type="spellStart"/>
      <w:r>
        <w:t>ggplot</w:t>
      </w:r>
      <w:proofErr w:type="spellEnd"/>
      <w:r>
        <w:t xml:space="preserve"> places the axis labels right next to the scales. I recommend adding the html code for a new line (</w:t>
      </w:r>
      <w:proofErr w:type="spellStart"/>
      <w:r>
        <w:t>ie</w:t>
      </w:r>
      <w:proofErr w:type="spellEnd"/>
      <w:r>
        <w:t>, `\n`) at the end of the y-axis label and the beginning of the x-axis label.</w:t>
      </w:r>
    </w:p>
  </w:comment>
  <w:comment w:id="3" w:author="Mark Scheuerell" w:date="2026-03-07T09:23:00Z" w:initials="s">
    <w:p w14:paraId="37F5F9DD" w14:textId="224D70D3" w:rsidR="00983998" w:rsidRDefault="00983998">
      <w:pPr>
        <w:pStyle w:val="CommentText"/>
      </w:pPr>
      <w:r>
        <w:rPr>
          <w:rStyle w:val="CommentReference"/>
        </w:rPr>
        <w:annotationRef/>
      </w:r>
      <w:r>
        <w:t>Same comments as for fig 2</w:t>
      </w:r>
    </w:p>
  </w:comment>
  <w:comment w:id="4" w:author="Mark Scheuerell" w:date="2026-03-07T09:23:00Z" w:initials="s">
    <w:p w14:paraId="5B1ED73E" w14:textId="2948B71F" w:rsidR="00983998" w:rsidRDefault="00983998">
      <w:pPr>
        <w:pStyle w:val="CommentText"/>
      </w:pPr>
      <w:r>
        <w:rPr>
          <w:rStyle w:val="CommentReference"/>
        </w:rPr>
        <w:annotationRef/>
      </w:r>
      <w:r>
        <w:t>See comments on fig 2</w:t>
      </w:r>
    </w:p>
  </w:comment>
  <w:comment w:id="5" w:author="Mark Scheuerell" w:date="2026-03-07T09:24:00Z" w:initials="s">
    <w:p w14:paraId="07F36744" w14:textId="2F5A175B" w:rsidR="00983998" w:rsidRDefault="00983998">
      <w:pPr>
        <w:pStyle w:val="CommentText"/>
      </w:pPr>
      <w:r>
        <w:rPr>
          <w:rStyle w:val="CommentReference"/>
        </w:rPr>
        <w:annotationRef/>
      </w:r>
      <w:r>
        <w:t>See comments on fig 2</w:t>
      </w:r>
    </w:p>
  </w:comment>
  <w:comment w:id="6" w:author="Mark Scheuerell" w:date="2026-03-07T09:24:00Z" w:initials="s">
    <w:p w14:paraId="02634F42" w14:textId="77777777" w:rsidR="00983998" w:rsidRDefault="00983998">
      <w:pPr>
        <w:pStyle w:val="CommentText"/>
      </w:pPr>
      <w:r>
        <w:rPr>
          <w:rStyle w:val="CommentReference"/>
        </w:rPr>
        <w:annotationRef/>
      </w:r>
      <w:r>
        <w:t xml:space="preserve">I think this would look better if you grouped the odd- and even-year runs with each of the parameters. Something like this: </w:t>
      </w:r>
    </w:p>
    <w:p w14:paraId="656A8F5D" w14:textId="0E695185" w:rsidR="00983998" w:rsidRDefault="00983998">
      <w:pPr>
        <w:pStyle w:val="CommentText"/>
      </w:pPr>
      <w:r>
        <w:fldChar w:fldCharType="begin"/>
      </w:r>
      <w:r>
        <w:instrText xml:space="preserve"> INCLUDEPICTURE "https://d2mvzyuse3lwjc.cloudfront.net/doc/en/UserGuide/images/Double_Y_Box_Chart/DoubleY_box_chart.png?v=76228" \* MERGEFORMATINET </w:instrText>
      </w:r>
      <w:r>
        <w:fldChar w:fldCharType="separate"/>
      </w:r>
      <w:r>
        <w:rPr>
          <w:noProof/>
        </w:rPr>
        <w:drawing>
          <wp:inline distT="0" distB="0" distL="0" distR="0" wp14:anchorId="7969178E" wp14:editId="4FB9A449">
            <wp:extent cx="2420781" cy="1800585"/>
            <wp:effectExtent l="0" t="0" r="5080" b="3175"/>
            <wp:docPr id="1794118899" name="Picture 1" descr="Help Online - Origin Help - 2Ys Box Char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p Online - Origin Help - 2Ys Box Chart Grap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0800" cy="1815475"/>
                    </a:xfrm>
                    <a:prstGeom prst="rect">
                      <a:avLst/>
                    </a:prstGeom>
                    <a:noFill/>
                    <a:ln>
                      <a:noFill/>
                    </a:ln>
                  </pic:spPr>
                </pic:pic>
              </a:graphicData>
            </a:graphic>
          </wp:inline>
        </w:drawing>
      </w:r>
      <w:r>
        <w:fldChar w:fldCharType="end"/>
      </w:r>
    </w:p>
  </w:comment>
  <w:comment w:id="8" w:author="Mark Scheuerell" w:date="2026-03-07T09:27:00Z" w:initials="s">
    <w:p w14:paraId="613FC35D" w14:textId="77777777" w:rsidR="00701FC2" w:rsidRDefault="00701FC2">
      <w:pPr>
        <w:pStyle w:val="CommentText"/>
      </w:pPr>
      <w:r>
        <w:rPr>
          <w:rStyle w:val="CommentReference"/>
        </w:rPr>
        <w:annotationRef/>
      </w:r>
      <w:r>
        <w:t xml:space="preserve">You need to decide on a critical p-vale first and then just indicate if p &lt; </w:t>
      </w:r>
      <w:proofErr w:type="spellStart"/>
      <w:r>
        <w:t>p_crit</w:t>
      </w:r>
      <w:proofErr w:type="spellEnd"/>
      <w:r>
        <w:t xml:space="preserve"> (</w:t>
      </w:r>
      <w:proofErr w:type="spellStart"/>
      <w:r>
        <w:t>ie</w:t>
      </w:r>
      <w:proofErr w:type="spellEnd"/>
      <w:r>
        <w:t>, p-values are not weights of evidence).</w:t>
      </w:r>
    </w:p>
    <w:p w14:paraId="5AE7B2D6" w14:textId="77777777" w:rsidR="00701FC2" w:rsidRDefault="00701FC2">
      <w:pPr>
        <w:pStyle w:val="CommentText"/>
      </w:pPr>
    </w:p>
    <w:p w14:paraId="7DCDA63E" w14:textId="14B0F1ED" w:rsidR="00701FC2" w:rsidRDefault="00701FC2">
      <w:pPr>
        <w:pStyle w:val="CommentText"/>
      </w:pPr>
      <w:r>
        <w:t>Also, I don’t see why you couldn’t just fit models with and without an explicit trend (bias) term and compare AIC?</w:t>
      </w:r>
    </w:p>
  </w:comment>
  <w:comment w:id="7" w:author="Mark Scheuerell" w:date="2026-03-07T09:26:00Z" w:initials="s">
    <w:p w14:paraId="1287E386" w14:textId="18330E50" w:rsidR="00983998" w:rsidRDefault="00983998">
      <w:pPr>
        <w:pStyle w:val="CommentText"/>
      </w:pPr>
      <w:r>
        <w:rPr>
          <w:rStyle w:val="CommentReference"/>
        </w:rPr>
        <w:annotationRef/>
      </w:r>
      <w:r>
        <w:rPr>
          <w:rStyle w:val="CommentReference"/>
        </w:rPr>
        <w:t>Journal</w:t>
      </w:r>
      <w:r>
        <w:t>s typically say to list the tables before figs</w:t>
      </w:r>
    </w:p>
  </w:comment>
  <w:comment w:id="9" w:author="Mark Scheuerell" w:date="2026-03-07T09:33:00Z" w:initials="s">
    <w:p w14:paraId="74943A58" w14:textId="6CE14FF9" w:rsidR="00701FC2" w:rsidRDefault="00701FC2">
      <w:pPr>
        <w:pStyle w:val="CommentText"/>
      </w:pPr>
      <w:r>
        <w:rPr>
          <w:rStyle w:val="CommentReference"/>
        </w:rPr>
        <w:annotationRef/>
      </w:r>
      <w:r>
        <w:t>What are the values in parentheses?</w:t>
      </w:r>
    </w:p>
  </w:comment>
  <w:comment w:id="10" w:author="Mark Scheuerell" w:date="2026-03-07T09:32:00Z" w:initials="s">
    <w:p w14:paraId="1389D96F" w14:textId="6030792F" w:rsidR="00701FC2" w:rsidRDefault="00701FC2">
      <w:pPr>
        <w:pStyle w:val="CommentText"/>
      </w:pPr>
      <w:r>
        <w:rPr>
          <w:rStyle w:val="CommentReference"/>
        </w:rPr>
        <w:annotationRef/>
      </w:r>
      <w:r>
        <w:t>What are the values in parentheses?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302886" w15:done="0"/>
  <w15:commentEx w15:paraId="1B6B7FD8" w15:done="0"/>
  <w15:commentEx w15:paraId="6F8509A1" w15:done="0"/>
  <w15:commentEx w15:paraId="37F5F9DD" w15:done="0"/>
  <w15:commentEx w15:paraId="5B1ED73E" w15:done="0"/>
  <w15:commentEx w15:paraId="07F36744" w15:done="0"/>
  <w15:commentEx w15:paraId="656A8F5D" w15:done="0"/>
  <w15:commentEx w15:paraId="7DCDA63E" w15:done="0"/>
  <w15:commentEx w15:paraId="1287E386" w15:done="0"/>
  <w15:commentEx w15:paraId="74943A58" w15:done="0"/>
  <w15:commentEx w15:paraId="1389D9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DACF4F" w16cex:dateUtc="2026-03-07T17:33:00Z"/>
  <w16cex:commentExtensible w16cex:durableId="4C16336A" w16cex:dateUtc="2026-03-07T17:16:00Z"/>
  <w16cex:commentExtensible w16cex:durableId="5A9B3AB2" w16cex:dateUtc="2026-03-07T17:18:00Z"/>
  <w16cex:commentExtensible w16cex:durableId="20BBC9F4" w16cex:dateUtc="2026-03-07T17:23:00Z"/>
  <w16cex:commentExtensible w16cex:durableId="47FD8072" w16cex:dateUtc="2026-03-07T17:23:00Z"/>
  <w16cex:commentExtensible w16cex:durableId="419AC222" w16cex:dateUtc="2026-03-07T17:24:00Z"/>
  <w16cex:commentExtensible w16cex:durableId="03D1D3B1" w16cex:dateUtc="2026-03-07T17:24:00Z"/>
  <w16cex:commentExtensible w16cex:durableId="1100426F" w16cex:dateUtc="2026-03-07T17:27:00Z"/>
  <w16cex:commentExtensible w16cex:durableId="31CC610E" w16cex:dateUtc="2026-03-07T17:26:00Z"/>
  <w16cex:commentExtensible w16cex:durableId="2DB5B025" w16cex:dateUtc="2026-03-07T17:33:00Z"/>
  <w16cex:commentExtensible w16cex:durableId="548177F0" w16cex:dateUtc="2026-03-07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302886" w16cid:durableId="4DDACF4F"/>
  <w16cid:commentId w16cid:paraId="1B6B7FD8" w16cid:durableId="4C16336A"/>
  <w16cid:commentId w16cid:paraId="6F8509A1" w16cid:durableId="5A9B3AB2"/>
  <w16cid:commentId w16cid:paraId="37F5F9DD" w16cid:durableId="20BBC9F4"/>
  <w16cid:commentId w16cid:paraId="5B1ED73E" w16cid:durableId="47FD8072"/>
  <w16cid:commentId w16cid:paraId="07F36744" w16cid:durableId="419AC222"/>
  <w16cid:commentId w16cid:paraId="656A8F5D" w16cid:durableId="03D1D3B1"/>
  <w16cid:commentId w16cid:paraId="7DCDA63E" w16cid:durableId="1100426F"/>
  <w16cid:commentId w16cid:paraId="1287E386" w16cid:durableId="31CC610E"/>
  <w16cid:commentId w16cid:paraId="74943A58" w16cid:durableId="2DB5B025"/>
  <w16cid:commentId w16cid:paraId="1389D96F" w16cid:durableId="548177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44"/>
    <w:rsid w:val="001159C6"/>
    <w:rsid w:val="001D5683"/>
    <w:rsid w:val="001D716E"/>
    <w:rsid w:val="001F4C2E"/>
    <w:rsid w:val="002731F8"/>
    <w:rsid w:val="002C38CB"/>
    <w:rsid w:val="002F66CC"/>
    <w:rsid w:val="00370A9F"/>
    <w:rsid w:val="003821EC"/>
    <w:rsid w:val="00402423"/>
    <w:rsid w:val="00496748"/>
    <w:rsid w:val="00517E09"/>
    <w:rsid w:val="0054104D"/>
    <w:rsid w:val="00584844"/>
    <w:rsid w:val="005D1695"/>
    <w:rsid w:val="005F00F2"/>
    <w:rsid w:val="00633AFA"/>
    <w:rsid w:val="006A6DF1"/>
    <w:rsid w:val="00701FC2"/>
    <w:rsid w:val="00720050"/>
    <w:rsid w:val="007652DC"/>
    <w:rsid w:val="00786913"/>
    <w:rsid w:val="00795151"/>
    <w:rsid w:val="00814143"/>
    <w:rsid w:val="00843FC5"/>
    <w:rsid w:val="008600A7"/>
    <w:rsid w:val="0088198E"/>
    <w:rsid w:val="008941D8"/>
    <w:rsid w:val="008F08E3"/>
    <w:rsid w:val="00941C18"/>
    <w:rsid w:val="0095349A"/>
    <w:rsid w:val="00983998"/>
    <w:rsid w:val="009D4DE7"/>
    <w:rsid w:val="00A2788C"/>
    <w:rsid w:val="00BA3D67"/>
    <w:rsid w:val="00CA65D7"/>
    <w:rsid w:val="00D20860"/>
    <w:rsid w:val="00E00F85"/>
    <w:rsid w:val="00EB0251"/>
    <w:rsid w:val="00F613AD"/>
    <w:rsid w:val="00FA2C4A"/>
    <w:rsid w:val="00FA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F5CE"/>
  <w15:chartTrackingRefBased/>
  <w15:docId w15:val="{419423C5-1318-4533-810C-FCDFDC8C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844"/>
  </w:style>
  <w:style w:type="paragraph" w:styleId="Heading1">
    <w:name w:val="heading 1"/>
    <w:basedOn w:val="Normal"/>
    <w:next w:val="Normal"/>
    <w:link w:val="Heading1Char"/>
    <w:uiPriority w:val="9"/>
    <w:qFormat/>
    <w:rsid w:val="005848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8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8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8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8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8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8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44"/>
    <w:rPr>
      <w:rFonts w:eastAsiaTheme="majorEastAsia" w:cstheme="majorBidi"/>
      <w:color w:val="272727" w:themeColor="text1" w:themeTint="D8"/>
    </w:rPr>
  </w:style>
  <w:style w:type="paragraph" w:styleId="Title">
    <w:name w:val="Title"/>
    <w:basedOn w:val="Normal"/>
    <w:next w:val="Normal"/>
    <w:link w:val="TitleChar"/>
    <w:uiPriority w:val="10"/>
    <w:qFormat/>
    <w:rsid w:val="00584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44"/>
    <w:pPr>
      <w:spacing w:before="160"/>
      <w:jc w:val="center"/>
    </w:pPr>
    <w:rPr>
      <w:i/>
      <w:iCs/>
      <w:color w:val="404040" w:themeColor="text1" w:themeTint="BF"/>
    </w:rPr>
  </w:style>
  <w:style w:type="character" w:customStyle="1" w:styleId="QuoteChar">
    <w:name w:val="Quote Char"/>
    <w:basedOn w:val="DefaultParagraphFont"/>
    <w:link w:val="Quote"/>
    <w:uiPriority w:val="29"/>
    <w:rsid w:val="00584844"/>
    <w:rPr>
      <w:i/>
      <w:iCs/>
      <w:color w:val="404040" w:themeColor="text1" w:themeTint="BF"/>
    </w:rPr>
  </w:style>
  <w:style w:type="paragraph" w:styleId="ListParagraph">
    <w:name w:val="List Paragraph"/>
    <w:basedOn w:val="Normal"/>
    <w:uiPriority w:val="34"/>
    <w:qFormat/>
    <w:rsid w:val="00584844"/>
    <w:pPr>
      <w:ind w:left="720"/>
      <w:contextualSpacing/>
    </w:pPr>
  </w:style>
  <w:style w:type="character" w:styleId="IntenseEmphasis">
    <w:name w:val="Intense Emphasis"/>
    <w:basedOn w:val="DefaultParagraphFont"/>
    <w:uiPriority w:val="21"/>
    <w:qFormat/>
    <w:rsid w:val="00584844"/>
    <w:rPr>
      <w:i/>
      <w:iCs/>
      <w:color w:val="2F5496" w:themeColor="accent1" w:themeShade="BF"/>
    </w:rPr>
  </w:style>
  <w:style w:type="paragraph" w:styleId="IntenseQuote">
    <w:name w:val="Intense Quote"/>
    <w:basedOn w:val="Normal"/>
    <w:next w:val="Normal"/>
    <w:link w:val="IntenseQuoteChar"/>
    <w:uiPriority w:val="30"/>
    <w:qFormat/>
    <w:rsid w:val="00584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844"/>
    <w:rPr>
      <w:i/>
      <w:iCs/>
      <w:color w:val="2F5496" w:themeColor="accent1" w:themeShade="BF"/>
    </w:rPr>
  </w:style>
  <w:style w:type="character" w:styleId="IntenseReference">
    <w:name w:val="Intense Reference"/>
    <w:basedOn w:val="DefaultParagraphFont"/>
    <w:uiPriority w:val="32"/>
    <w:qFormat/>
    <w:rsid w:val="00584844"/>
    <w:rPr>
      <w:b/>
      <w:bCs/>
      <w:smallCaps/>
      <w:color w:val="2F5496" w:themeColor="accent1" w:themeShade="BF"/>
      <w:spacing w:val="5"/>
    </w:rPr>
  </w:style>
  <w:style w:type="character" w:styleId="Hyperlink">
    <w:name w:val="Hyperlink"/>
    <w:basedOn w:val="DefaultParagraphFont"/>
    <w:uiPriority w:val="99"/>
    <w:unhideWhenUsed/>
    <w:rsid w:val="00584844"/>
    <w:rPr>
      <w:color w:val="0563C1" w:themeColor="hyperlink"/>
      <w:u w:val="single"/>
    </w:rPr>
  </w:style>
  <w:style w:type="paragraph" w:styleId="Revision">
    <w:name w:val="Revision"/>
    <w:hidden/>
    <w:uiPriority w:val="99"/>
    <w:semiHidden/>
    <w:rsid w:val="0054104D"/>
    <w:pPr>
      <w:spacing w:after="0" w:line="240" w:lineRule="auto"/>
    </w:pPr>
  </w:style>
  <w:style w:type="character" w:styleId="CommentReference">
    <w:name w:val="annotation reference"/>
    <w:basedOn w:val="DefaultParagraphFont"/>
    <w:uiPriority w:val="99"/>
    <w:semiHidden/>
    <w:unhideWhenUsed/>
    <w:rsid w:val="0054104D"/>
    <w:rPr>
      <w:sz w:val="16"/>
      <w:szCs w:val="16"/>
    </w:rPr>
  </w:style>
  <w:style w:type="paragraph" w:styleId="CommentText">
    <w:name w:val="annotation text"/>
    <w:basedOn w:val="Normal"/>
    <w:link w:val="CommentTextChar"/>
    <w:uiPriority w:val="99"/>
    <w:semiHidden/>
    <w:unhideWhenUsed/>
    <w:rsid w:val="0054104D"/>
    <w:pPr>
      <w:spacing w:line="240" w:lineRule="auto"/>
    </w:pPr>
    <w:rPr>
      <w:sz w:val="20"/>
      <w:szCs w:val="20"/>
    </w:rPr>
  </w:style>
  <w:style w:type="character" w:customStyle="1" w:styleId="CommentTextChar">
    <w:name w:val="Comment Text Char"/>
    <w:basedOn w:val="DefaultParagraphFont"/>
    <w:link w:val="CommentText"/>
    <w:uiPriority w:val="99"/>
    <w:semiHidden/>
    <w:rsid w:val="0054104D"/>
    <w:rPr>
      <w:sz w:val="20"/>
      <w:szCs w:val="20"/>
    </w:rPr>
  </w:style>
  <w:style w:type="paragraph" w:styleId="CommentSubject">
    <w:name w:val="annotation subject"/>
    <w:basedOn w:val="CommentText"/>
    <w:next w:val="CommentText"/>
    <w:link w:val="CommentSubjectChar"/>
    <w:uiPriority w:val="99"/>
    <w:semiHidden/>
    <w:unhideWhenUsed/>
    <w:rsid w:val="0054104D"/>
    <w:rPr>
      <w:b/>
      <w:bCs/>
    </w:rPr>
  </w:style>
  <w:style w:type="character" w:customStyle="1" w:styleId="CommentSubjectChar">
    <w:name w:val="Comment Subject Char"/>
    <w:basedOn w:val="CommentTextChar"/>
    <w:link w:val="CommentSubject"/>
    <w:uiPriority w:val="99"/>
    <w:semiHidden/>
    <w:rsid w:val="005410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7.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talab.adfg.alaska.gov/OTO/marking.aspx"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hyperlink" Target="https://www.adfg.alaska.gov/index.cfm?adfg=commercialbyareasoutheast.salmon_research_pink"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www.nps.gov/sitk/index.htm%20" TargetMode="Externa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nps.gov/grba/learn/management/organic-act-of-1916.htm%20" TargetMode="External"/><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8.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1015</Words>
  <Characters>5940</Characters>
  <Application>Microsoft Office Word</Application>
  <DocSecurity>0</DocSecurity>
  <Lines>116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Mark Scheuerell</cp:lastModifiedBy>
  <cp:revision>4</cp:revision>
  <dcterms:created xsi:type="dcterms:W3CDTF">2026-03-07T17:16:00Z</dcterms:created>
  <dcterms:modified xsi:type="dcterms:W3CDTF">2026-03-07T17:35:00Z</dcterms:modified>
</cp:coreProperties>
</file>