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w:t>
      </w:r>
      <w:r>
        <w:lastRenderedPageBreak/>
        <w:t xml:space="preserve">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w:t>
      </w:r>
      <w:r w:rsidR="00336763">
        <w:lastRenderedPageBreak/>
        <w:t xml:space="preserve">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w:t>
      </w:r>
      <w:r>
        <w:lastRenderedPageBreak/>
        <w:t xml:space="preserve">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lastRenderedPageBreak/>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w:t>
      </w:r>
      <w:r>
        <w:lastRenderedPageBreak/>
        <w:t>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w:t>
      </w:r>
      <w:r>
        <w:lastRenderedPageBreak/>
        <w:t>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77777777" w:rsidR="00A2387C" w:rsidRDefault="00060EB8" w:rsidP="00A2387C">
      <w:pPr>
        <w:spacing w:after="0" w:line="480" w:lineRule="auto"/>
        <w:ind w:firstLine="360"/>
      </w:pPr>
      <w:r>
        <w:t xml:space="preserve">This research applies a DD framework to MARSS models in order to once again control for observation error and to capture the autoregressive behavior of the underlying state processes. The indicator variables described above are included as covariate data in the process equation </w:t>
      </w:r>
      <w:r>
        <w:lastRenderedPageBreak/>
        <w:t>(</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6"/>
      <w:r>
        <w:lastRenderedPageBreak/>
        <w:t xml:space="preserve">Parametric bootstrapping is employed on the best fit models to construct confidence intervals around these </w:t>
      </w:r>
      <w:commentRangeEnd w:id="36"/>
      <w:r w:rsidR="00A2387C">
        <w:rPr>
          <w:rStyle w:val="CommentReference"/>
          <w:sz w:val="24"/>
          <w:szCs w:val="24"/>
        </w:rPr>
        <w:commentReference w:id="36"/>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commentRangeStart w:id="39"/>
      <w:commentRangeStart w:id="40"/>
      <w:r w:rsidR="00670218">
        <w:t xml:space="preserve">It is important to consider the effect of straying both to and from Indian River, as both would influence the abundances observed in stream. </w:t>
      </w:r>
      <w:commentRangeEnd w:id="39"/>
      <w:r w:rsidR="00205B63">
        <w:rPr>
          <w:rStyle w:val="CommentReference"/>
          <w:sz w:val="24"/>
          <w:szCs w:val="24"/>
        </w:rPr>
        <w:commentReference w:id="39"/>
      </w:r>
      <w:commentRangeEnd w:id="40"/>
      <w:r w:rsidR="00F275C7">
        <w:rPr>
          <w:rStyle w:val="CommentReference"/>
          <w:sz w:val="24"/>
          <w:szCs w:val="24"/>
        </w:rPr>
        <w:commentReference w:id="40"/>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commentRangeEnd w:id="38"/>
      <w:r w:rsidR="00F275C7">
        <w:rPr>
          <w:rStyle w:val="CommentReference"/>
          <w:sz w:val="24"/>
          <w:szCs w:val="24"/>
        </w:rPr>
        <w:commentReference w:id="38"/>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w:t>
      </w:r>
      <w:r>
        <w:lastRenderedPageBreak/>
        <w:t xml:space="preserve">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2"/>
      <w:commentRangeStart w:id="43"/>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4"/>
      <w:r w:rsidR="00837571">
        <w:t>regional average</w:t>
      </w:r>
      <w:commentRangeEnd w:id="44"/>
      <w:r w:rsidR="00837571">
        <w:rPr>
          <w:rStyle w:val="CommentReference"/>
          <w:sz w:val="24"/>
          <w:szCs w:val="24"/>
        </w:rPr>
        <w:commentReference w:id="44"/>
      </w:r>
      <w:r w:rsidR="00837571">
        <w:t xml:space="preserve">, while odd-year Indian River abundance in 1961 was estimated to be 1.326 standard </w:t>
      </w:r>
      <w:r w:rsidR="00837571">
        <w:lastRenderedPageBreak/>
        <w:t>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42"/>
      <w:r w:rsidR="009C0B82">
        <w:rPr>
          <w:rStyle w:val="CommentReference"/>
          <w:sz w:val="24"/>
          <w:szCs w:val="24"/>
        </w:rPr>
        <w:commentReference w:id="42"/>
      </w:r>
      <w:commentRangeEnd w:id="43"/>
      <w:r w:rsidR="00F9527E">
        <w:rPr>
          <w:rStyle w:val="CommentReference"/>
          <w:sz w:val="24"/>
          <w:szCs w:val="24"/>
        </w:rPr>
        <w:commentReference w:id="43"/>
      </w:r>
    </w:p>
    <w:p w14:paraId="09E780EF" w14:textId="511D4277" w:rsidR="00FC2324" w:rsidRPr="00C3066D" w:rsidRDefault="006A0FFE" w:rsidP="00A2387C">
      <w:pPr>
        <w:spacing w:after="0" w:line="480" w:lineRule="auto"/>
      </w:pPr>
      <w:r>
        <w:tab/>
      </w:r>
      <w:r w:rsidR="007635F3">
        <w:t>P</w:t>
      </w:r>
      <w:commentRangeStart w:id="45"/>
      <w:r>
        <w:t>ink salmon abundances observed in recent years at Indian River</w:t>
      </w:r>
      <w:r w:rsidR="008D3168">
        <w:t xml:space="preserve"> do not seem to </w:t>
      </w:r>
      <w:r w:rsidR="001B7645">
        <w:t xml:space="preserve">deviate wildly from the </w:t>
      </w:r>
      <w:commentRangeStart w:id="46"/>
      <w:r w:rsidR="001B7645">
        <w:t>regional average</w:t>
      </w:r>
      <w:commentRangeEnd w:id="46"/>
      <w:r w:rsidR="00AF5677">
        <w:rPr>
          <w:rStyle w:val="CommentReference"/>
          <w:sz w:val="24"/>
          <w:szCs w:val="24"/>
        </w:rPr>
        <w:commentReference w:id="46"/>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5"/>
      <w:del w:id="47" w:author="Brian McGreal" w:date="2026-03-30T12:29:00Z" w16du:dateUtc="2026-03-30T19:29:00Z">
        <w:r w:rsidR="00AF5677" w:rsidDel="002A4213">
          <w:rPr>
            <w:rStyle w:val="CommentReference"/>
            <w:sz w:val="24"/>
            <w:szCs w:val="24"/>
          </w:rPr>
          <w:commentReference w:id="45"/>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w:t>
      </w:r>
      <w:r w:rsidR="00112BBF">
        <w:lastRenderedPageBreak/>
        <w:t xml:space="preserve">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77777777"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In both cases, </w:t>
      </w:r>
      <w:r w:rsidR="003D1E65">
        <w:t xml:space="preserve">AICc comparisons find that the best fit </w:t>
      </w:r>
      <w:r w:rsidR="00FE133B">
        <w:t>DD</w:t>
      </w:r>
      <w:r w:rsidR="003D1E65">
        <w:t xml:space="preserve"> models include </w:t>
      </w:r>
      <w:r>
        <w:t xml:space="preserve">only </w:t>
      </w:r>
      <w:r w:rsidR="003D1E65">
        <w:t xml:space="preserve">covariates controlling for observer, </w:t>
      </w:r>
      <w:r>
        <w:t>although the difference in AICc between the best fit model and the</w:t>
      </w:r>
      <w:r w:rsidR="00FE133B">
        <w:t xml:space="preserve"> full</w:t>
      </w:r>
      <w:r>
        <w:t xml:space="preserve"> model</w:t>
      </w:r>
      <w:r w:rsidR="003D1E65">
        <w:t xml:space="preserve"> </w:t>
      </w:r>
      <w:r w:rsidR="00FE133B">
        <w:t>(</w:t>
      </w:r>
      <w:r>
        <w:t>which</w:t>
      </w:r>
      <w:r w:rsidR="003D1E65">
        <w:t xml:space="preserve"> includ</w:t>
      </w:r>
      <w:r>
        <w:t>es</w:t>
      </w:r>
      <w:r w:rsidR="003D1E65">
        <w:t xml:space="preserve"> </w:t>
      </w:r>
      <w:r>
        <w:t xml:space="preserve">covariates for both observer and </w:t>
      </w:r>
      <w:r w:rsidR="003D1E65">
        <w:t>PDO</w:t>
      </w:r>
      <w:r w:rsidR="00FE133B">
        <w:t>)</w:t>
      </w:r>
      <w:r w:rsidR="003D1E65">
        <w:t xml:space="preserve"> </w:t>
      </w:r>
      <w:r>
        <w:t>is less than two</w:t>
      </w:r>
      <w:r w:rsidR="00FE133B">
        <w:t xml:space="preserve"> (</w:t>
      </w:r>
      <w:r w:rsidR="00FE133B">
        <w:rPr>
          <w:rFonts w:cstheme="minorHAnsi"/>
        </w:rPr>
        <w:t>Δ</w:t>
      </w:r>
      <w:r w:rsidR="00FE133B">
        <w:t xml:space="preserve">AICc = 1.577 in the post-1980 model set, and </w:t>
      </w:r>
      <w:r w:rsidR="00FE133B">
        <w:rPr>
          <w:rFonts w:cstheme="minorHAnsi"/>
        </w:rPr>
        <w:t>Δ</w:t>
      </w:r>
      <w:r w:rsidR="00FE133B">
        <w:t>AICc = 0.96 in the post-2010 model set)</w:t>
      </w:r>
      <w:r w:rsidR="003D1E65">
        <w:t xml:space="preserve">. </w:t>
      </w:r>
      <w:r w:rsidR="00FE133B">
        <w:t>This means that despite not being the best fit model, the statistical confidence to reject the full model is lacking. Due to this model uncertainty, an Akaike-weighted average of parameters from each model are</w:t>
      </w:r>
      <w:r w:rsidR="00BB24CA">
        <w:t xml:space="preserve"> evaluated (Burnham &amp; Anderson 2002)</w:t>
      </w:r>
      <w:r w:rsidR="00FE133B">
        <w:t>.</w:t>
      </w:r>
      <w:r w:rsidR="00BB24CA">
        <w:t xml:space="preserve"> </w:t>
      </w:r>
    </w:p>
    <w:p w14:paraId="19FCCE81" w14:textId="723D6094" w:rsidR="003D1E65" w:rsidRDefault="007B0F67" w:rsidP="007B0F67">
      <w:pPr>
        <w:spacing w:after="0" w:line="480" w:lineRule="auto"/>
        <w:ind w:firstLine="720"/>
      </w:pPr>
      <w:r>
        <w:t>When evaluating model fit in both the pre-treatment periods, AICc indicates that the best fit models include only covariates controlling for observer, meaning the</w:t>
      </w:r>
      <w:r w:rsidR="00BB24CA">
        <w:t xml:space="preserve"> </w:t>
      </w:r>
      <w:r w:rsidR="003D1E65">
        <w:t xml:space="preserve">parallel trends assumption </w:t>
      </w:r>
      <w:r w:rsidR="00BB24CA">
        <w:t xml:space="preserve">is </w:t>
      </w:r>
      <w:r>
        <w:t>will be evaluated including these covariates</w:t>
      </w:r>
      <w:r w:rsidR="00BB24CA">
        <w:t xml:space="preserve">. </w:t>
      </w:r>
      <w:r w:rsidR="003D1E65">
        <w:t>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2509FB1" w14:textId="77777777" w:rsidR="005B1CFB" w:rsidRDefault="00CD3E62" w:rsidP="005B1CFB">
      <w:pPr>
        <w:spacing w:after="0" w:line="480" w:lineRule="auto"/>
      </w:pPr>
      <w:r>
        <w:tab/>
      </w:r>
      <w:r w:rsidR="005B1CFB">
        <w:t xml:space="preserve">Parametric bootstrapping of DD effects of interest reveal interesting patterns of behavior. Critically, no significant effect of treatment group, treatment period, or the interaction </w:t>
      </w:r>
      <w:r w:rsidR="005B1CFB">
        <w:lastRenderedPageBreak/>
        <w:t xml:space="preserve">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xml:space="preserve">, and in both cases enough parameter estimates fell below zero to diminish statistical confidence in </w:t>
      </w:r>
      <w:r w:rsidR="00855FD8">
        <w:lastRenderedPageBreak/>
        <w:t>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41"/>
    <w:p w14:paraId="79B6696A" w14:textId="78F6E4BB" w:rsidR="00670218" w:rsidRPr="008C144E" w:rsidRDefault="0093781E" w:rsidP="008C144E">
      <w:pPr>
        <w:spacing w:after="0" w:line="480" w:lineRule="auto"/>
        <w:rPr>
          <w:b/>
          <w:bCs/>
          <w:u w:val="single"/>
        </w:rPr>
      </w:pPr>
      <w:commentRangeStart w:id="48"/>
      <w:r w:rsidRPr="008C144E">
        <w:rPr>
          <w:b/>
          <w:bCs/>
          <w:u w:val="single"/>
        </w:rPr>
        <w:t>Discussion</w:t>
      </w:r>
      <w:commentRangeEnd w:id="48"/>
      <w:r w:rsidR="00460B8F" w:rsidRPr="008C144E">
        <w:rPr>
          <w:rStyle w:val="CommentReference"/>
          <w:b/>
          <w:bCs/>
          <w:sz w:val="24"/>
          <w:szCs w:val="24"/>
          <w:u w:val="single"/>
        </w:rPr>
        <w:commentReference w:id="48"/>
      </w:r>
    </w:p>
    <w:p w14:paraId="798BA1B1" w14:textId="17DEA9EA" w:rsidR="003B6985" w:rsidRDefault="00716B1F" w:rsidP="008C144E">
      <w:pPr>
        <w:spacing w:after="0" w:line="480" w:lineRule="auto"/>
      </w:pPr>
      <w:commentRangeStart w:id="49"/>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49"/>
      <w:r w:rsidR="00351AE4">
        <w:rPr>
          <w:rStyle w:val="CommentReference"/>
          <w:sz w:val="24"/>
          <w:szCs w:val="24"/>
        </w:rPr>
        <w:commentReference w:id="49"/>
      </w:r>
      <w:commentRangeStart w:id="50"/>
      <w:r>
        <w:t xml:space="preserve">The state of pink salmon abundances in northern southeast Alaska is changing, as evidenced by Figures 2 &amp; 3. </w:t>
      </w:r>
      <w:commentRangeEnd w:id="50"/>
      <w:r w:rsidR="00351AE4">
        <w:rPr>
          <w:rStyle w:val="CommentReference"/>
          <w:sz w:val="24"/>
          <w:szCs w:val="24"/>
        </w:rPr>
        <w:commentReference w:id="50"/>
      </w:r>
      <w:commentRangeStart w:id="51"/>
      <w:r>
        <w:t xml:space="preserve">Understanding whether pink salmon at Indian River exist within a natural range of variation requires parsing this context. </w:t>
      </w:r>
      <w:commentRangeEnd w:id="51"/>
      <w:r w:rsidR="00351AE4">
        <w:rPr>
          <w:rStyle w:val="CommentReference"/>
          <w:sz w:val="24"/>
          <w:szCs w:val="24"/>
        </w:rPr>
        <w:commentReference w:id="51"/>
      </w:r>
      <w:commentRangeStart w:id="52"/>
      <w:r>
        <w:t xml:space="preserve">While pink salmon densities observed at Indian River in recent decades are high compared to those that were recorded decades ago, </w:t>
      </w:r>
      <w:ins w:id="53" w:author="Mark Scheuerell" w:date="2026-03-07T09:53:00Z" w16du:dateUtc="2026-03-07T17:53:00Z">
        <w:r w:rsidR="00351AE4">
          <w:t xml:space="preserve">more contemporary returns </w:t>
        </w:r>
      </w:ins>
      <w:ins w:id="54" w:author="Mark Scheuerell" w:date="2026-03-07T09:54:00Z" w16du:dateUtc="2026-03-07T17:54:00Z">
        <w:r w:rsidR="00351AE4">
          <w:t xml:space="preserve">of </w:t>
        </w:r>
      </w:ins>
      <w:ins w:id="55" w:author="Mark Scheuerell" w:date="2026-03-07T09:55:00Z" w16du:dateUtc="2026-03-07T17:55:00Z">
        <w:r w:rsidR="00351AE4">
          <w:t xml:space="preserve">adults </w:t>
        </w:r>
      </w:ins>
      <w:ins w:id="56" w:author="Mark Scheuerell" w:date="2026-03-07T09:53:00Z" w16du:dateUtc="2026-03-07T17:53:00Z">
        <w:r w:rsidR="00351AE4">
          <w:t xml:space="preserve">to the </w:t>
        </w:r>
      </w:ins>
      <w:del w:id="57" w:author="Mark Scheuerell" w:date="2026-03-07T09:52:00Z" w16du:dateUtc="2026-03-07T17:52:00Z">
        <w:r w:rsidDel="00351AE4">
          <w:delText xml:space="preserve">a statistical comparison of </w:delText>
        </w:r>
      </w:del>
      <w:r>
        <w:t xml:space="preserve">Indian River </w:t>
      </w:r>
      <w:ins w:id="58" w:author="Mark Scheuerell" w:date="2026-03-07T09:54:00Z" w16du:dateUtc="2026-03-07T17:54:00Z">
        <w:r w:rsidR="00351AE4">
          <w:t xml:space="preserve">in even years are largely in line with </w:t>
        </w:r>
      </w:ins>
      <w:del w:id="59"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60" w:author="Mark Scheuerell" w:date="2026-03-07T09:55:00Z" w16du:dateUtc="2026-03-07T17:55:00Z">
            <w:rPr>
              <w:i/>
              <w:iCs/>
            </w:rPr>
          </w:rPrChange>
        </w:rPr>
        <w:t>(</w:t>
      </w:r>
      <w:r w:rsidRPr="003C6E79">
        <w:rPr>
          <w:i/>
          <w:iCs/>
        </w:rPr>
        <w:t>outside</w:t>
      </w:r>
      <w:r w:rsidRPr="00351AE4">
        <w:rPr>
          <w:rPrChange w:id="61" w:author="Mark Scheuerell" w:date="2026-03-07T09:55:00Z" w16du:dateUtc="2026-03-07T17:55:00Z">
            <w:rPr>
              <w:i/>
              <w:iCs/>
            </w:rPr>
          </w:rPrChange>
        </w:rPr>
        <w:t>)</w:t>
      </w:r>
      <w:ins w:id="62" w:author="Mark Scheuerell" w:date="2026-03-07T09:55:00Z" w16du:dateUtc="2026-03-07T17:55:00Z">
        <w:r w:rsidR="00351AE4" w:rsidRPr="00351AE4">
          <w:rPr>
            <w:rPrChange w:id="63" w:author="Mark Scheuerell" w:date="2026-03-07T09:55:00Z" w16du:dateUtc="2026-03-07T17:55:00Z">
              <w:rPr>
                <w:i/>
                <w:iCs/>
              </w:rPr>
            </w:rPrChange>
          </w:rPr>
          <w:t>, where</w:t>
        </w:r>
        <w:r w:rsidR="00351AE4">
          <w:t xml:space="preserve">as </w:t>
        </w:r>
      </w:ins>
      <w:del w:id="64"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65" w:author="Mark Scheuerell" w:date="2026-03-07T09:56:00Z" w16du:dateUtc="2026-03-07T17:56:00Z">
        <w:r w:rsidR="00351AE4">
          <w:t xml:space="preserve">broader </w:t>
        </w:r>
      </w:ins>
      <w:r>
        <w:t xml:space="preserve">regional </w:t>
      </w:r>
      <w:del w:id="66" w:author="Mark Scheuerell" w:date="2026-03-07T09:56:00Z" w16du:dateUtc="2026-03-07T17:56:00Z">
        <w:r w:rsidDel="00351AE4">
          <w:delText>expectations</w:delText>
        </w:r>
      </w:del>
      <w:ins w:id="67" w:author="Mark Scheuerell" w:date="2026-03-07T09:56:00Z" w16du:dateUtc="2026-03-07T17:56:00Z">
        <w:r w:rsidR="00351AE4">
          <w:t>patterns</w:t>
        </w:r>
      </w:ins>
      <w:r>
        <w:t xml:space="preserve">. </w:t>
      </w:r>
      <w:commentRangeEnd w:id="52"/>
      <w:r w:rsidR="00351AE4">
        <w:rPr>
          <w:rStyle w:val="CommentReference"/>
          <w:sz w:val="24"/>
          <w:szCs w:val="24"/>
        </w:rPr>
        <w:commentReference w:id="52"/>
      </w:r>
      <w:r w:rsidR="007C5247">
        <w:t>Difference-in-</w:t>
      </w:r>
      <w:r w:rsidR="007C5247">
        <w:lastRenderedPageBreak/>
        <w:t xml:space="preserve">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68" w:author="Mark Scheuerell" w:date="2026-03-07T09:57:00Z" w16du:dateUtc="2026-03-07T17:57:00Z">
        <w:r w:rsidR="00C80629" w:rsidDel="00351AE4">
          <w:delText>That effect is found through</w:delText>
        </w:r>
      </w:del>
      <w:ins w:id="69" w:author="Mark Scheuerell" w:date="2026-03-07T09:57:00Z" w16du:dateUtc="2026-03-07T17:57:00Z">
        <w:r w:rsidR="00351AE4">
          <w:t>This finding was also consistent with</w:t>
        </w:r>
      </w:ins>
      <w:r w:rsidR="00C80629">
        <w:t xml:space="preserve"> time series modeling of Indian River abundances and hatchery returns</w:t>
      </w:r>
      <w:ins w:id="70" w:author="Mark Scheuerell" w:date="2026-03-07T09:57:00Z" w16du:dateUtc="2026-03-07T17:57:00Z">
        <w:r w:rsidR="00351AE4">
          <w:t xml:space="preserve">. Although </w:t>
        </w:r>
      </w:ins>
      <w:ins w:id="71" w:author="Mark Scheuerell" w:date="2026-03-07T09:58:00Z" w16du:dateUtc="2026-03-07T17:58:00Z">
        <w:r w:rsidR="00351AE4">
          <w:t xml:space="preserve">I found </w:t>
        </w:r>
      </w:ins>
      <w:del w:id="72"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73" w:author="Mark Scheuerell" w:date="2026-03-07T09:58:00Z" w16du:dateUtc="2026-03-07T17:58:00Z">
        <w:r w:rsidR="00351AE4">
          <w:t xml:space="preserve">adult </w:t>
        </w:r>
      </w:ins>
      <w:del w:id="74" w:author="Mark Scheuerell" w:date="2026-03-07T09:58:00Z" w16du:dateUtc="2026-03-07T17:58:00Z">
        <w:r w:rsidR="00C80629" w:rsidDel="00351AE4">
          <w:delText>abundance</w:delText>
        </w:r>
      </w:del>
      <w:ins w:id="75" w:author="Mark Scheuerell" w:date="2026-03-07T09:58:00Z" w16du:dateUtc="2026-03-07T17:58:00Z">
        <w:r w:rsidR="00351AE4">
          <w:t>numbers</w:t>
        </w:r>
      </w:ins>
      <w:del w:id="76"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77"/>
      <w:r>
        <w:t xml:space="preserve">While it is not the aim of this work to be prescriptive, </w:t>
      </w:r>
      <w:commentRangeEnd w:id="77"/>
      <w:r w:rsidR="00A26CD8">
        <w:rPr>
          <w:rStyle w:val="CommentReference"/>
          <w:sz w:val="24"/>
          <w:szCs w:val="24"/>
        </w:rPr>
        <w:commentReference w:id="77"/>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78" w:author="Mark Scheuerell" w:date="2026-03-07T10:07:00Z" w16du:dateUtc="2026-03-07T18:07:00Z">
        <w:r w:rsidR="00062BCE" w:rsidDel="00F4609B">
          <w:delText xml:space="preserve">is statistically shown to </w:delText>
        </w:r>
      </w:del>
      <w:r w:rsidR="00062BCE">
        <w:t>coincide</w:t>
      </w:r>
      <w:ins w:id="79" w:author="Mark Scheuerell" w:date="2026-03-07T10:07:00Z" w16du:dateUtc="2026-03-07T18:07:00Z">
        <w:r w:rsidR="00F4609B">
          <w:t>d with</w:t>
        </w:r>
      </w:ins>
      <w:r w:rsidR="00062BCE">
        <w:t xml:space="preserve"> an increase in the numbers of spawning pink salmon at Indian River, the effect of hatchery returns in the previous brood year on even-year pink salmon abundances are much lower than the effect of fish moving in the other direction. Taken together, </w:t>
      </w:r>
      <w:del w:id="80" w:author="Mark Scheuerell" w:date="2026-03-07T10:07:00Z" w16du:dateUtc="2026-03-07T18:07:00Z">
        <w:r w:rsidR="00062BCE" w:rsidDel="00F4609B">
          <w:delText xml:space="preserve">this suite of evidence makes </w:delText>
        </w:r>
      </w:del>
      <w:r w:rsidR="00062BCE">
        <w:t>it seem</w:t>
      </w:r>
      <w:ins w:id="81"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82"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83" w:author="Mark Scheuerell" w:date="2026-03-07T10:09:00Z" w16du:dateUtc="2026-03-07T18:09:00Z">
        <w:r w:rsidR="00460B8F">
          <w:t>s of</w:t>
        </w:r>
      </w:ins>
      <w:r w:rsidR="00CC7AA4">
        <w:t xml:space="preserve"> both the commencement and expansion of hatchery operations (1980 and 2010) </w:t>
      </w:r>
      <w:del w:id="84"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85" w:author="Mark Scheuerell" w:date="2026-03-07T10:11:00Z" w16du:dateUtc="2026-03-07T18:11:00Z">
        <w:r w:rsidR="00CC7AA4" w:rsidDel="00460B8F">
          <w:delText>while (like even-year runs),</w:delText>
        </w:r>
      </w:del>
      <w:ins w:id="86"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w:t>
      </w:r>
      <w:r w:rsidR="00CC7AA4">
        <w:lastRenderedPageBreak/>
        <w:t xml:space="preserve">direction, the difference in these effects is not as </w:t>
      </w:r>
      <w:del w:id="87" w:author="Mark Scheuerell" w:date="2026-03-07T10:11:00Z" w16du:dateUtc="2026-03-07T18:11:00Z">
        <w:r w:rsidR="00CC7AA4" w:rsidDel="00460B8F">
          <w:delText>great</w:delText>
        </w:r>
      </w:del>
      <w:ins w:id="88" w:author="Mark Scheuerell" w:date="2026-03-07T10:11:00Z" w16du:dateUtc="2026-03-07T18:11:00Z">
        <w:r w:rsidR="00460B8F">
          <w:t>large</w:t>
        </w:r>
      </w:ins>
      <w:r w:rsidR="00CC7AA4">
        <w:t xml:space="preserve">, </w:t>
      </w:r>
      <w:del w:id="89" w:author="Mark Scheuerell" w:date="2026-03-07T10:12:00Z" w16du:dateUtc="2026-03-07T18:12:00Z">
        <w:r w:rsidR="00CC7AA4" w:rsidDel="00460B8F">
          <w:delText>meaning it is more likely that</w:delText>
        </w:r>
      </w:del>
      <w:ins w:id="90" w:author="Mark Scheuerell" w:date="2026-03-07T10:12:00Z" w16du:dateUtc="2026-03-07T18:12:00Z">
        <w:r w:rsidR="00460B8F">
          <w:t>indicating</w:t>
        </w:r>
      </w:ins>
      <w:r w:rsidR="00CC7AA4">
        <w:t xml:space="preserve"> more fish from the hatchery </w:t>
      </w:r>
      <w:del w:id="91" w:author="Mark Scheuerell" w:date="2026-03-07T10:12:00Z" w16du:dateUtc="2026-03-07T18:12:00Z">
        <w:r w:rsidR="00CC7AA4" w:rsidDel="00460B8F">
          <w:delText>might be</w:delText>
        </w:r>
      </w:del>
      <w:ins w:id="92"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93"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 xml:space="preserve">inhabiting the same environment (odd- and even-year runs) with potentially different life histories and </w:t>
      </w:r>
      <w:r w:rsidR="002B1614">
        <w:lastRenderedPageBreak/>
        <w:t>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5989E02" w14:textId="1E5C63EE" w:rsidR="00FE133B" w:rsidRDefault="00FE133B" w:rsidP="000F7853">
      <w:pPr>
        <w:spacing w:line="240" w:lineRule="auto"/>
        <w:ind w:left="720" w:hanging="720"/>
        <w:rPr>
          <w:ins w:id="94" w:author="Brian E McGreal" w:date="2026-03-27T09:38:00Z" w16du:dateUtc="2026-03-27T16:38:00Z"/>
        </w:rPr>
      </w:pPr>
      <w:r w:rsidRPr="00FE133B">
        <w:t>Burnham, K. P., &amp;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AD430D6" w:rsidR="009D55B2" w:rsidRPr="00E66FA7" w:rsidRDefault="009D55B2" w:rsidP="009D55B2">
      <w:pPr>
        <w:spacing w:line="240" w:lineRule="auto"/>
        <w:ind w:left="720" w:hanging="720"/>
      </w:pPr>
      <w:ins w:id="95"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77777777" w:rsidR="00AF5677"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Brian McGreal" w:date="2026-03-30T12:41:00Z" w:initials="BM">
    <w:p w14:paraId="5FCED028" w14:textId="36CA80ED" w:rsidR="00A2387C" w:rsidRDefault="00A2387C">
      <w:pPr>
        <w:pStyle w:val="CommentText"/>
      </w:pPr>
      <w:r>
        <w:rPr>
          <w:rStyle w:val="CommentReference"/>
        </w:rPr>
        <w:annotationRef/>
      </w:r>
      <w:r>
        <w:t>Weird sentence</w:t>
      </w:r>
    </w:p>
  </w:comment>
  <w:comment w:id="39"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40"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8"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4"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2"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3"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6" w:author="Brian McGreal" w:date="2026-03-30T15:05:00Z" w:initials="BM">
    <w:p w14:paraId="090708CA" w14:textId="463CCD79" w:rsidR="001B7645" w:rsidRDefault="001B7645">
      <w:pPr>
        <w:pStyle w:val="CommentText"/>
      </w:pPr>
      <w:r>
        <w:rPr>
          <w:rStyle w:val="CommentReference"/>
        </w:rPr>
        <w:annotationRef/>
      </w:r>
      <w:r>
        <w:t>Here again</w:t>
      </w:r>
    </w:p>
  </w:comment>
  <w:comment w:id="45"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8"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49"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50"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51"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52"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77"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2BBF"/>
    <w:rsid w:val="00114A77"/>
    <w:rsid w:val="00121CF4"/>
    <w:rsid w:val="001262D0"/>
    <w:rsid w:val="00143CB9"/>
    <w:rsid w:val="001A405D"/>
    <w:rsid w:val="001A6AA2"/>
    <w:rsid w:val="001B7645"/>
    <w:rsid w:val="001D457C"/>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76D64"/>
    <w:rsid w:val="005B1667"/>
    <w:rsid w:val="005B1CFB"/>
    <w:rsid w:val="005B3ACD"/>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5815"/>
    <w:rsid w:val="006A0FFE"/>
    <w:rsid w:val="006B1A2E"/>
    <w:rsid w:val="006B5A94"/>
    <w:rsid w:val="006C6D25"/>
    <w:rsid w:val="006D7969"/>
    <w:rsid w:val="006E0493"/>
    <w:rsid w:val="006E6B42"/>
    <w:rsid w:val="00716B1F"/>
    <w:rsid w:val="00723599"/>
    <w:rsid w:val="00731AF8"/>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721BE"/>
    <w:rsid w:val="00976473"/>
    <w:rsid w:val="0097710D"/>
    <w:rsid w:val="009845B1"/>
    <w:rsid w:val="009978CD"/>
    <w:rsid w:val="009A51C2"/>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3D33"/>
    <w:rsid w:val="00AD445E"/>
    <w:rsid w:val="00AE03EE"/>
    <w:rsid w:val="00AE4507"/>
    <w:rsid w:val="00AE6A99"/>
    <w:rsid w:val="00AF5677"/>
    <w:rsid w:val="00B00D9B"/>
    <w:rsid w:val="00B23CD2"/>
    <w:rsid w:val="00B50797"/>
    <w:rsid w:val="00B66763"/>
    <w:rsid w:val="00B67742"/>
    <w:rsid w:val="00B96F76"/>
    <w:rsid w:val="00BB24CA"/>
    <w:rsid w:val="00BB43D3"/>
    <w:rsid w:val="00BB4FE2"/>
    <w:rsid w:val="00BD7B83"/>
    <w:rsid w:val="00BF04BF"/>
    <w:rsid w:val="00C16190"/>
    <w:rsid w:val="00C3066D"/>
    <w:rsid w:val="00C60F0A"/>
    <w:rsid w:val="00C61B5A"/>
    <w:rsid w:val="00C64BF8"/>
    <w:rsid w:val="00C66ED1"/>
    <w:rsid w:val="00C80629"/>
    <w:rsid w:val="00C874A9"/>
    <w:rsid w:val="00CA65D7"/>
    <w:rsid w:val="00CC7AA4"/>
    <w:rsid w:val="00CD3E62"/>
    <w:rsid w:val="00CD58A3"/>
    <w:rsid w:val="00CE633A"/>
    <w:rsid w:val="00D011BB"/>
    <w:rsid w:val="00D362A0"/>
    <w:rsid w:val="00D368CD"/>
    <w:rsid w:val="00D45C26"/>
    <w:rsid w:val="00D51675"/>
    <w:rsid w:val="00D56989"/>
    <w:rsid w:val="00D57B76"/>
    <w:rsid w:val="00D801ED"/>
    <w:rsid w:val="00D9784A"/>
    <w:rsid w:val="00DA70F0"/>
    <w:rsid w:val="00DC2443"/>
    <w:rsid w:val="00DC67C0"/>
    <w:rsid w:val="00DF38BD"/>
    <w:rsid w:val="00E06BFE"/>
    <w:rsid w:val="00E47684"/>
    <w:rsid w:val="00E65279"/>
    <w:rsid w:val="00E65F33"/>
    <w:rsid w:val="00E73316"/>
    <w:rsid w:val="00E82478"/>
    <w:rsid w:val="00EB0251"/>
    <w:rsid w:val="00EB1DB7"/>
    <w:rsid w:val="00ED5857"/>
    <w:rsid w:val="00ED5A07"/>
    <w:rsid w:val="00ED689D"/>
    <w:rsid w:val="00EF0488"/>
    <w:rsid w:val="00EF2ADE"/>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1171</TotalTime>
  <Pages>29</Pages>
  <Words>7767</Words>
  <Characters>45439</Characters>
  <Application>Microsoft Office Word</Application>
  <DocSecurity>0</DocSecurity>
  <Lines>1228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52</cp:revision>
  <dcterms:created xsi:type="dcterms:W3CDTF">2026-03-06T13:33:00Z</dcterms:created>
  <dcterms:modified xsi:type="dcterms:W3CDTF">2026-04-01T18:14:00Z</dcterms:modified>
</cp:coreProperties>
</file>