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5A390417" w:rsidR="00670218" w:rsidRDefault="00670218" w:rsidP="00612D9D">
      <w:pPr>
        <w:pStyle w:val="ListParagraph"/>
        <w:spacing w:after="0" w:line="480" w:lineRule="auto"/>
        <w:ind w:left="36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w:t>
      </w:r>
      <w:proofErr w:type="gramStart"/>
      <w:r>
        <w:t>variation’.</w:t>
      </w:r>
      <w:proofErr w:type="gramEnd"/>
      <w:r>
        <w:t xml:space="preserve"> Pursuant to this, park managers are often confronted with either the scarcity of native plant or animal species or an abundance of non-native (exotic, invasive) species that may damage park ecosystems </w:t>
      </w:r>
      <w:r>
        <w:rPr>
          <w:rFonts w:cstheme="minorHAnsi"/>
          <w:color w:val="202122"/>
          <w:shd w:val="clear" w:color="auto" w:fill="FFFFFF"/>
        </w:rPr>
        <w:t>(National Park Service 2025a)</w:t>
      </w:r>
      <w:r>
        <w:t>. However, harm to ecosystems can also be driven by a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While there is little debate that these occurrences generate a need for management action, 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across the NPS are confronted with these issues as they seek to interpret and implement the mandate to preserve resources in a natural condition. </w:t>
      </w:r>
    </w:p>
    <w:p w14:paraId="0DCE0F57" w14:textId="77777777" w:rsidR="00670218" w:rsidRDefault="00670218" w:rsidP="00612D9D">
      <w:pPr>
        <w:pStyle w:val="ListParagraph"/>
        <w:spacing w:after="0" w:line="480" w:lineRule="auto"/>
        <w:ind w:left="360" w:firstLine="360"/>
      </w:pPr>
      <w:r>
        <w:t xml:space="preserve">With these ideas in mind, my research focuses on Sitka National Historical Park (SITK) in Sitka, Alaska, a small 112-acre coastal park located in the state’s southern panhandle. SITK was designated a National Monument in 1910 and park in 1972, primarily </w:t>
      </w:r>
      <w:r w:rsidRPr="000D7F29">
        <w:rPr>
          <w:rFonts w:cstheme="minorHAnsi"/>
          <w:color w:val="202122"/>
          <w:shd w:val="clear" w:color="auto" w:fill="FFFFFF"/>
        </w:rPr>
        <w:t>to</w:t>
      </w:r>
      <w:r>
        <w:t xml:space="preserve"> conserve the site of an 1804 battle </w:t>
      </w:r>
      <w:r w:rsidRPr="000D7F29">
        <w:rPr>
          <w:rFonts w:cstheme="minorHAnsi"/>
          <w:color w:val="202122"/>
          <w:shd w:val="clear" w:color="auto" w:fill="FFFFFF"/>
        </w:rPr>
        <w:t xml:space="preserve">between </w:t>
      </w:r>
      <w:r>
        <w:rPr>
          <w:rFonts w:cstheme="minorHAnsi"/>
          <w:color w:val="202122"/>
          <w:shd w:val="clear" w:color="auto" w:fill="FFFFFF"/>
        </w:rPr>
        <w:t xml:space="preserve">the </w:t>
      </w:r>
      <w:r w:rsidRPr="000D7F29">
        <w:rPr>
          <w:rFonts w:cstheme="minorHAnsi"/>
          <w:color w:val="202122"/>
          <w:shd w:val="clear" w:color="auto" w:fill="FFFFFF"/>
        </w:rPr>
        <w:t xml:space="preserve">native Tlingit </w:t>
      </w:r>
      <w:proofErr w:type="spellStart"/>
      <w:r w:rsidRPr="000D7F29">
        <w:rPr>
          <w:rFonts w:cstheme="minorHAnsi"/>
          <w:color w:val="202122"/>
          <w:shd w:val="clear" w:color="auto" w:fill="FFFFFF"/>
        </w:rPr>
        <w:t>Kiks.ádi</w:t>
      </w:r>
      <w:proofErr w:type="spellEnd"/>
      <w:r w:rsidRPr="000D7F29">
        <w:rPr>
          <w:rFonts w:cstheme="minorHAnsi"/>
          <w:color w:val="202122"/>
          <w:shd w:val="clear" w:color="auto" w:fill="FFFFFF"/>
        </w:rPr>
        <w:t xml:space="preserve"> clan and Russian colonizers</w:t>
      </w:r>
      <w:r>
        <w:rPr>
          <w:rFonts w:cstheme="minorHAnsi"/>
          <w:color w:val="202122"/>
          <w:shd w:val="clear" w:color="auto" w:fill="FFFFFF"/>
        </w:rPr>
        <w:t xml:space="preserve"> </w:t>
      </w:r>
      <w:r>
        <w:t>(National Park Service 2025b)</w:t>
      </w:r>
      <w:r w:rsidRPr="000D7F29">
        <w:rPr>
          <w:rFonts w:cstheme="minorHAnsi"/>
          <w:color w:val="202122"/>
          <w:shd w:val="clear" w:color="auto" w:fill="FFFFFF"/>
        </w:rPr>
        <w:t>.  The park</w:t>
      </w:r>
      <w:r>
        <w:rPr>
          <w:rFonts w:cstheme="minorHAnsi"/>
          <w:color w:val="202122"/>
          <w:shd w:val="clear" w:color="auto" w:fill="FFFFFF"/>
        </w:rPr>
        <w:t xml:space="preserve">, which </w:t>
      </w:r>
      <w:r>
        <w:t>features a series of totem poles along designated trails and active traditional totem carving activities</w:t>
      </w:r>
      <w:r>
        <w:rPr>
          <w:rFonts w:cstheme="minorHAnsi"/>
          <w:color w:val="202122"/>
          <w:shd w:val="clear" w:color="auto" w:fill="FFFFFF"/>
        </w:rPr>
        <w:t>,</w:t>
      </w:r>
      <w:r w:rsidRPr="000D7F29">
        <w:rPr>
          <w:rFonts w:cstheme="minorHAnsi"/>
          <w:color w:val="202122"/>
          <w:shd w:val="clear" w:color="auto" w:fill="FFFFFF"/>
        </w:rPr>
        <w:t xml:space="preserve"> is visited by tens of </w:t>
      </w:r>
      <w:proofErr w:type="gramStart"/>
      <w:r w:rsidRPr="000D7F29">
        <w:rPr>
          <w:rFonts w:cstheme="minorHAnsi"/>
          <w:color w:val="202122"/>
          <w:shd w:val="clear" w:color="auto" w:fill="FFFFFF"/>
        </w:rPr>
        <w:lastRenderedPageBreak/>
        <w:t>thousands</w:t>
      </w:r>
      <w:proofErr w:type="gramEnd"/>
      <w:r w:rsidRPr="000D7F29">
        <w:rPr>
          <w:rFonts w:cstheme="minorHAnsi"/>
          <w:color w:val="202122"/>
          <w:shd w:val="clear" w:color="auto" w:fill="FFFFFF"/>
        </w:rPr>
        <w:t xml:space="preserve"> of tourists each </w:t>
      </w:r>
      <w:proofErr w:type="gramStart"/>
      <w:r w:rsidRPr="000D7F29">
        <w:rPr>
          <w:rFonts w:cstheme="minorHAnsi"/>
          <w:color w:val="202122"/>
          <w:shd w:val="clear" w:color="auto" w:fill="FFFFFF"/>
        </w:rPr>
        <w:t xml:space="preserve">year </w:t>
      </w:r>
      <w:r>
        <w:t>who</w:t>
      </w:r>
      <w:proofErr w:type="gramEnd"/>
      <w:r>
        <w:t xml:space="preserve"> learn about the history of Sitka and Tlingit culture. While its foundational purpose is the preservation of a historical event, today the park is managed to</w:t>
      </w:r>
      <w:r w:rsidRPr="000D7F29">
        <w:rPr>
          <w:rFonts w:cstheme="minorHAnsi"/>
          <w:color w:val="202122"/>
          <w:shd w:val="clear" w:color="auto" w:fill="FFFFFF"/>
        </w:rPr>
        <w:t xml:space="preserve"> preserve the </w:t>
      </w:r>
      <w:r>
        <w:rPr>
          <w:rFonts w:cstheme="minorHAnsi"/>
          <w:color w:val="202122"/>
          <w:shd w:val="clear" w:color="auto" w:fill="FFFFFF"/>
        </w:rPr>
        <w:t xml:space="preserve">natural resources present in the </w:t>
      </w:r>
      <w:r w:rsidRPr="000D7F29">
        <w:rPr>
          <w:rFonts w:cstheme="minorHAnsi"/>
          <w:color w:val="202122"/>
          <w:shd w:val="clear" w:color="auto" w:fill="FFFFFF"/>
        </w:rPr>
        <w:t>surrounding area,</w:t>
      </w:r>
      <w:r>
        <w:t xml:space="preserve"> ecosystems which include mature spruce-hemlock forests and the Indian River, the main reach and intertidal area of which fall within park boundaries</w:t>
      </w:r>
    </w:p>
    <w:p w14:paraId="6E37A897" w14:textId="77777777" w:rsidR="00670218" w:rsidRDefault="00670218" w:rsidP="00612D9D">
      <w:pPr>
        <w:pStyle w:val="ListParagraph"/>
        <w:spacing w:after="0" w:line="480" w:lineRule="auto"/>
        <w:ind w:left="360" w:firstLine="360"/>
      </w:pPr>
      <w:r w:rsidRPr="000D7F29">
        <w:rPr>
          <w:rFonts w:cstheme="minorHAnsi"/>
          <w:color w:val="202122"/>
          <w:shd w:val="clear" w:color="auto" w:fill="FFFFFF"/>
        </w:rPr>
        <w:t xml:space="preserve">Since time immemorial </w:t>
      </w:r>
      <w:proofErr w:type="spellStart"/>
      <w:r w:rsidRPr="000D7F29">
        <w:rPr>
          <w:rFonts w:cstheme="minorHAnsi"/>
          <w:color w:val="202122"/>
          <w:u w:val="single"/>
          <w:shd w:val="clear" w:color="auto" w:fill="FFFFFF"/>
        </w:rPr>
        <w:t>K</w:t>
      </w:r>
      <w:r w:rsidRPr="000D7F29">
        <w:rPr>
          <w:rFonts w:cstheme="minorHAnsi"/>
          <w:color w:val="202122"/>
          <w:shd w:val="clear" w:color="auto" w:fill="FFFFFF"/>
        </w:rPr>
        <w:t>aasda</w:t>
      </w:r>
      <w:proofErr w:type="spellEnd"/>
      <w:r w:rsidRPr="000D7F29">
        <w:rPr>
          <w:rFonts w:cstheme="minorHAnsi"/>
          <w:color w:val="202122"/>
          <w:shd w:val="clear" w:color="auto" w:fill="FFFFFF"/>
        </w:rPr>
        <w:t xml:space="preserve"> </w:t>
      </w:r>
      <w:proofErr w:type="spellStart"/>
      <w:r w:rsidRPr="000D7F29">
        <w:rPr>
          <w:rFonts w:cstheme="minorHAnsi"/>
          <w:color w:val="202122"/>
          <w:shd w:val="clear" w:color="auto" w:fill="FFFFFF"/>
        </w:rPr>
        <w:t>Héen</w:t>
      </w:r>
      <w:proofErr w:type="spellEnd"/>
      <w:r w:rsidRPr="000D7F29">
        <w:rPr>
          <w:rFonts w:cstheme="minorHAnsi"/>
          <w:color w:val="202122"/>
          <w:shd w:val="clear" w:color="auto" w:fill="FFFFFF"/>
        </w:rPr>
        <w:t xml:space="preserve"> (the Indian River) has been the location of a fishing camp and harvesting site for the </w:t>
      </w:r>
      <w:proofErr w:type="spellStart"/>
      <w:r w:rsidRPr="000D7F29">
        <w:rPr>
          <w:rFonts w:cstheme="minorHAnsi"/>
          <w:color w:val="202122"/>
          <w:shd w:val="clear" w:color="auto" w:fill="FFFFFF"/>
        </w:rPr>
        <w:t>Kiks.ádi</w:t>
      </w:r>
      <w:proofErr w:type="spellEnd"/>
      <w:r w:rsidRPr="000D7F29">
        <w:rPr>
          <w:rFonts w:cstheme="minorHAnsi"/>
          <w:color w:val="202122"/>
          <w:shd w:val="clear" w:color="auto" w:fill="FFFFFF"/>
        </w:rPr>
        <w:t xml:space="preserve"> clan</w:t>
      </w:r>
      <w:r>
        <w:rPr>
          <w:rFonts w:cstheme="minorHAnsi"/>
          <w:color w:val="202122"/>
          <w:shd w:val="clear" w:color="auto" w:fill="FFFFFF"/>
        </w:rPr>
        <w:t>, and</w:t>
      </w:r>
      <w:r w:rsidRPr="000D7F29">
        <w:rPr>
          <w:rFonts w:cstheme="minorHAnsi"/>
          <w:color w:val="202122"/>
          <w:shd w:val="clear" w:color="auto" w:fill="FFFFFF"/>
        </w:rPr>
        <w:t xml:space="preserve"> particularly valued for its close proximity to the clan’s winter villages, as well as for hosting runs of </w:t>
      </w:r>
      <w:r>
        <w:rPr>
          <w:rFonts w:cstheme="minorHAnsi"/>
          <w:color w:val="202122"/>
          <w:shd w:val="clear" w:color="auto" w:fill="FFFFFF"/>
        </w:rPr>
        <w:t xml:space="preserve">a variety of </w:t>
      </w:r>
      <w:r w:rsidRPr="000D7F29">
        <w:rPr>
          <w:rFonts w:cstheme="minorHAnsi"/>
          <w:color w:val="202122"/>
          <w:shd w:val="clear" w:color="auto" w:fill="FFFFFF"/>
        </w:rPr>
        <w:t>Pacific salmon species</w:t>
      </w:r>
      <w:r>
        <w:rPr>
          <w:rFonts w:cstheme="minorHAnsi"/>
          <w:color w:val="202122"/>
          <w:shd w:val="clear" w:color="auto" w:fill="FFFFFF"/>
        </w:rPr>
        <w:t>, including</w:t>
      </w:r>
      <w:r w:rsidRPr="000D7F29">
        <w:rPr>
          <w:rFonts w:cstheme="minorHAnsi"/>
          <w:color w:val="202122"/>
          <w:shd w:val="clear" w:color="auto" w:fill="FFFFFF"/>
        </w:rPr>
        <w:t xml:space="preserve"> chum (</w:t>
      </w:r>
      <w:r w:rsidRPr="000D7F29">
        <w:rPr>
          <w:i/>
          <w:iCs/>
        </w:rPr>
        <w:t xml:space="preserve">Oncorhynchus keta, </w:t>
      </w:r>
      <w:proofErr w:type="spellStart"/>
      <w:r>
        <w:rPr>
          <w:i/>
          <w:iCs/>
        </w:rPr>
        <w:t>T</w:t>
      </w:r>
      <w:r w:rsidRPr="00EB397D">
        <w:t>éel</w:t>
      </w:r>
      <w:proofErr w:type="spellEnd"/>
      <w:r w:rsidRPr="000D7F29">
        <w:rPr>
          <w:rFonts w:cstheme="minorHAnsi"/>
          <w:color w:val="202122"/>
          <w:shd w:val="clear" w:color="auto" w:fill="FFFFFF"/>
        </w:rPr>
        <w:t>), coho (</w:t>
      </w:r>
      <w:r w:rsidRPr="000D7F29">
        <w:rPr>
          <w:rFonts w:cstheme="minorHAnsi"/>
          <w:i/>
          <w:iCs/>
          <w:color w:val="202122"/>
          <w:shd w:val="clear" w:color="auto" w:fill="FFFFFF"/>
        </w:rPr>
        <w:t>O. kisutch</w:t>
      </w:r>
      <w:r w:rsidRPr="000D7F29">
        <w:rPr>
          <w:rFonts w:cstheme="minorHAnsi"/>
          <w:color w:val="202122"/>
          <w:shd w:val="clear" w:color="auto" w:fill="FFFFFF"/>
        </w:rPr>
        <w:t xml:space="preserve">, </w:t>
      </w:r>
      <w:proofErr w:type="spellStart"/>
      <w:r>
        <w:rPr>
          <w:rFonts w:cstheme="minorHAnsi"/>
          <w:color w:val="202122"/>
          <w:shd w:val="clear" w:color="auto" w:fill="FFFFFF"/>
        </w:rPr>
        <w:t>L</w:t>
      </w:r>
      <w:r w:rsidRPr="000D7F29">
        <w:rPr>
          <w:rFonts w:cstheme="minorHAnsi"/>
          <w:color w:val="202122"/>
          <w:shd w:val="clear" w:color="auto" w:fill="FFFFFF"/>
        </w:rPr>
        <w:t>’ook</w:t>
      </w:r>
      <w:proofErr w:type="spellEnd"/>
      <w:r w:rsidRPr="000D7F29">
        <w:rPr>
          <w:rFonts w:cstheme="minorHAnsi"/>
          <w:color w:val="202122"/>
          <w:shd w:val="clear" w:color="auto" w:fill="FFFFFF"/>
        </w:rPr>
        <w:t>), Chinook (</w:t>
      </w:r>
      <w:r w:rsidRPr="000D7F29">
        <w:rPr>
          <w:rFonts w:cstheme="minorHAnsi"/>
          <w:i/>
          <w:iCs/>
          <w:color w:val="202122"/>
          <w:shd w:val="clear" w:color="auto" w:fill="FFFFFF"/>
        </w:rPr>
        <w:t>O. tshawytscha</w:t>
      </w:r>
      <w:r w:rsidRPr="000D7F29">
        <w:rPr>
          <w:rFonts w:cstheme="minorHAnsi"/>
          <w:color w:val="202122"/>
          <w:shd w:val="clear" w:color="auto" w:fill="FFFFFF"/>
        </w:rPr>
        <w:t xml:space="preserve">, </w:t>
      </w:r>
      <w:proofErr w:type="spellStart"/>
      <w:r>
        <w:rPr>
          <w:rFonts w:cstheme="minorHAnsi"/>
          <w:color w:val="202122"/>
          <w:shd w:val="clear" w:color="auto" w:fill="FFFFFF"/>
        </w:rPr>
        <w:t>T</w:t>
      </w:r>
      <w:r w:rsidRPr="000D7F29">
        <w:rPr>
          <w:rFonts w:cstheme="minorHAnsi"/>
          <w:color w:val="202122"/>
          <w:shd w:val="clear" w:color="auto" w:fill="FFFFFF"/>
        </w:rPr>
        <w:t>’a</w:t>
      </w:r>
      <w:proofErr w:type="spellEnd"/>
      <w:r w:rsidRPr="000D7F29">
        <w:rPr>
          <w:rFonts w:cstheme="minorHAnsi"/>
          <w:color w:val="202122"/>
          <w:shd w:val="clear" w:color="auto" w:fill="FFFFFF"/>
        </w:rPr>
        <w:t>́)</w:t>
      </w:r>
      <w:r>
        <w:rPr>
          <w:rFonts w:cstheme="minorHAnsi"/>
          <w:color w:val="202122"/>
          <w:shd w:val="clear" w:color="auto" w:fill="FFFFFF"/>
        </w:rPr>
        <w:t xml:space="preserve">, and </w:t>
      </w:r>
      <w:r w:rsidRPr="000D7F29">
        <w:rPr>
          <w:rFonts w:cstheme="minorHAnsi"/>
          <w:color w:val="202122"/>
          <w:shd w:val="clear" w:color="auto" w:fill="FFFFFF"/>
        </w:rPr>
        <w:t>pink salmon (</w:t>
      </w:r>
      <w:r w:rsidRPr="000D7F29">
        <w:rPr>
          <w:rFonts w:cstheme="minorHAnsi"/>
          <w:i/>
          <w:iCs/>
          <w:color w:val="202122"/>
          <w:shd w:val="clear" w:color="auto" w:fill="FFFFFF"/>
        </w:rPr>
        <w:t xml:space="preserve">O. </w:t>
      </w:r>
      <w:proofErr w:type="spellStart"/>
      <w:r w:rsidRPr="000D7F29">
        <w:rPr>
          <w:rFonts w:cstheme="minorHAnsi"/>
          <w:i/>
          <w:iCs/>
          <w:color w:val="202122"/>
          <w:shd w:val="clear" w:color="auto" w:fill="FFFFFF"/>
        </w:rPr>
        <w:t>gorbuscha</w:t>
      </w:r>
      <w:proofErr w:type="spellEnd"/>
      <w:r w:rsidRPr="000D7F29">
        <w:rPr>
          <w:rFonts w:cstheme="minorHAnsi"/>
          <w:color w:val="202122"/>
          <w:shd w:val="clear" w:color="auto" w:fill="FFFFFF"/>
        </w:rPr>
        <w:t xml:space="preserve">, </w:t>
      </w:r>
      <w:proofErr w:type="spellStart"/>
      <w:r>
        <w:rPr>
          <w:rFonts w:cstheme="minorHAnsi"/>
          <w:color w:val="202122"/>
          <w:shd w:val="clear" w:color="auto" w:fill="FFFFFF"/>
        </w:rPr>
        <w:t>C</w:t>
      </w:r>
      <w:r w:rsidRPr="000D7F29">
        <w:rPr>
          <w:rFonts w:cstheme="minorHAnsi"/>
          <w:color w:val="202122"/>
          <w:shd w:val="clear" w:color="auto" w:fill="FFFFFF"/>
        </w:rPr>
        <w:t>háas</w:t>
      </w:r>
      <w:proofErr w:type="spellEnd"/>
      <w:r w:rsidRPr="000D7F29">
        <w:rPr>
          <w:rFonts w:cstheme="minorHAnsi"/>
          <w:color w:val="202122"/>
          <w:shd w:val="clear" w:color="auto" w:fill="FFFFFF"/>
        </w:rPr>
        <w:t xml:space="preserve">’) (Thornton 1998). </w:t>
      </w:r>
      <w:r>
        <w:rPr>
          <w:rFonts w:cstheme="minorHAnsi"/>
          <w:color w:val="202122"/>
          <w:shd w:val="clear" w:color="auto" w:fill="FFFFFF"/>
        </w:rPr>
        <w:t>Pink salmon are the</w:t>
      </w:r>
      <w:r w:rsidRPr="000D7F29">
        <w:rPr>
          <w:rFonts w:cstheme="minorHAnsi"/>
          <w:color w:val="202122"/>
          <w:shd w:val="clear" w:color="auto" w:fill="FFFFFF"/>
        </w:rPr>
        <w:t xml:space="preserve"> most abundant species </w:t>
      </w:r>
      <w:r>
        <w:rPr>
          <w:rFonts w:cstheme="minorHAnsi"/>
          <w:color w:val="202122"/>
          <w:shd w:val="clear" w:color="auto" w:fill="FFFFFF"/>
        </w:rPr>
        <w:t xml:space="preserve">at Indian </w:t>
      </w:r>
      <w:proofErr w:type="gramStart"/>
      <w:r>
        <w:rPr>
          <w:rFonts w:cstheme="minorHAnsi"/>
          <w:color w:val="202122"/>
          <w:shd w:val="clear" w:color="auto" w:fill="FFFFFF"/>
        </w:rPr>
        <w:t>River, and</w:t>
      </w:r>
      <w:proofErr w:type="gramEnd"/>
      <w:r w:rsidRPr="000D7F29">
        <w:rPr>
          <w:rFonts w:cstheme="minorHAnsi"/>
          <w:color w:val="202122"/>
          <w:shd w:val="clear" w:color="auto" w:fill="FFFFFF"/>
        </w:rPr>
        <w:t xml:space="preserve"> typically return to spawn in August.  </w:t>
      </w:r>
      <w:r>
        <w:rPr>
          <w:rFonts w:cstheme="minorHAnsi"/>
          <w:color w:val="202122"/>
          <w:shd w:val="clear" w:color="auto" w:fill="FFFFFF"/>
        </w:rPr>
        <w:t>E</w:t>
      </w:r>
      <w:r w:rsidRPr="000D7F29">
        <w:rPr>
          <w:rFonts w:cstheme="minorHAnsi"/>
          <w:color w:val="202122"/>
          <w:shd w:val="clear" w:color="auto" w:fill="FFFFFF"/>
        </w:rPr>
        <w:t xml:space="preserve">ggs hatch </w:t>
      </w:r>
      <w:r>
        <w:rPr>
          <w:rFonts w:cstheme="minorHAnsi"/>
          <w:color w:val="202122"/>
          <w:shd w:val="clear" w:color="auto" w:fill="FFFFFF"/>
        </w:rPr>
        <w:t xml:space="preserve">in the winter and in </w:t>
      </w:r>
      <w:r w:rsidRPr="000D7F29">
        <w:rPr>
          <w:rFonts w:cstheme="minorHAnsi"/>
          <w:color w:val="202122"/>
          <w:shd w:val="clear" w:color="auto" w:fill="FFFFFF"/>
        </w:rPr>
        <w:t xml:space="preserve">the </w:t>
      </w:r>
      <w:proofErr w:type="gramStart"/>
      <w:r w:rsidRPr="000D7F29">
        <w:rPr>
          <w:rFonts w:cstheme="minorHAnsi"/>
          <w:color w:val="202122"/>
          <w:shd w:val="clear" w:color="auto" w:fill="FFFFFF"/>
        </w:rPr>
        <w:t>spring</w:t>
      </w:r>
      <w:proofErr w:type="gramEnd"/>
      <w:r w:rsidRPr="000D7F29">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39FD720F" w14:textId="77777777" w:rsidR="00670218" w:rsidRDefault="00670218" w:rsidP="00612D9D">
      <w:pPr>
        <w:pStyle w:val="ListParagraph"/>
        <w:spacing w:after="0" w:line="480" w:lineRule="auto"/>
        <w:ind w:left="360"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The Alaska Department of Fish and Game (ADFG) peak escapement surveys have estimated that, since 1980, pink salmon abundance has increased from several thousand to regularly exceeding 100,000 fish annually (</w:t>
      </w:r>
      <w:proofErr w:type="spellStart"/>
      <w:r>
        <w:t>Stopha</w:t>
      </w:r>
      <w:proofErr w:type="spellEnd"/>
      <w:r>
        <w:t xml:space="preserve"> 2015). </w:t>
      </w:r>
    </w:p>
    <w:p w14:paraId="485C028F" w14:textId="77777777" w:rsidR="00670218" w:rsidRDefault="00670218" w:rsidP="00612D9D">
      <w:pPr>
        <w:spacing w:after="0" w:line="480" w:lineRule="auto"/>
      </w:pPr>
    </w:p>
    <w:p w14:paraId="0CDB0A55" w14:textId="77777777" w:rsidR="00670218" w:rsidRDefault="00670218" w:rsidP="00612D9D">
      <w:pPr>
        <w:pStyle w:val="ListParagraph"/>
        <w:spacing w:after="0" w:line="480" w:lineRule="auto"/>
        <w:ind w:left="360"/>
      </w:pPr>
      <w:r>
        <w:lastRenderedPageBreak/>
        <w:t xml:space="preserve">High abundances of salmon are concerning to park managers because, particularly when occurring at the same time as low in-stream flows, the high fish densities can impact the Indian River’s ability to sustain other resident fish species by crashing in-stream dissolved oxygen concentrations (Sergeant et al. 2023). However, high salmon densities are a naturally occurring phenomenon across the Pacific Rim, and incidences of high densities leading to low egg to fry survival and reduced recruitment or contributing to depleted in stream oxygen levels have been recorded (Sergeant et al. 2017, Tillotson and Quinn 2017). </w:t>
      </w:r>
    </w:p>
    <w:p w14:paraId="012C3E04" w14:textId="77777777" w:rsidR="00670218" w:rsidRDefault="00670218" w:rsidP="00612D9D">
      <w:pPr>
        <w:pStyle w:val="ListParagraph"/>
        <w:spacing w:after="0" w:line="480" w:lineRule="auto"/>
        <w:ind w:left="360"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founded in 1888 as a hybrid Indian re-education facility and utopian planned community, was at its inception granted water rights from the Indian River (Thornton 1998). Today, water is taken from a diversion upriver of the park’s boundary to maintain the hatchery operations. </w:t>
      </w:r>
      <w:r w:rsidRPr="00CD14B8">
        <w:t>This water is used to rear salmon fry, which imprint on its distinct chemical signature</w:t>
      </w:r>
      <w:r>
        <w:t xml:space="preserve">, </w:t>
      </w:r>
      <w:proofErr w:type="gramStart"/>
      <w:r>
        <w:t>and also</w:t>
      </w:r>
      <w:proofErr w:type="gramEnd"/>
      <w:r>
        <w:t xml:space="preserve"> used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 xml:space="preserve">fish. In late summer returning hatchery fish tend to aggregate in large schools just offshore, where commercial fisherman partnered with the hatchery purse seine the fish and sell the catch </w:t>
      </w:r>
      <w:r w:rsidRPr="00CD14B8">
        <w:t>for the purposes of cost recovery.</w:t>
      </w:r>
      <w:r>
        <w:t xml:space="preserve"> In recent years the hatchery has been permitted to propagate 3 million eggs, most of which survive and are released as fry to the ocean each year. While </w:t>
      </w:r>
      <w:r>
        <w:lastRenderedPageBreak/>
        <w:t xml:space="preserve">these eggs are extracted from hatchery broodstock, the original stock of eggs was taken primarily from pink salmon from the Indian River (even years) and </w:t>
      </w:r>
      <w:r w:rsidRPr="00CD14B8">
        <w:t>nearby Starrigavan Creek</w:t>
      </w:r>
      <w:r>
        <w:t xml:space="preserve"> (odd years) (</w:t>
      </w:r>
      <w:proofErr w:type="spellStart"/>
      <w:r>
        <w:t>Stopha</w:t>
      </w:r>
      <w:proofErr w:type="spellEnd"/>
      <w:r>
        <w:t xml:space="preserve"> 2105).</w:t>
      </w:r>
    </w:p>
    <w:p w14:paraId="3F008B98" w14:textId="77777777" w:rsidR="00670218" w:rsidRDefault="00670218" w:rsidP="00612D9D">
      <w:pPr>
        <w:pStyle w:val="ListParagraph"/>
        <w:spacing w:after="0" w:line="480" w:lineRule="auto"/>
        <w:ind w:left="360" w:firstLine="360"/>
      </w:pPr>
      <w:r>
        <w:t>If all pink salmon that were reared in the hatchery returned to the hatchery, the population dynamics of salmon in the Indian River would be unaffected.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w:t>
      </w:r>
      <w:r>
        <w:lastRenderedPageBreak/>
        <w:t xml:space="preserve">making up one third of all individuals sampled </w:t>
      </w:r>
      <w:proofErr w:type="gramStart"/>
      <w:r>
        <w:t>in a given year</w:t>
      </w:r>
      <w:proofErr w:type="gramEnd"/>
      <w:r>
        <w:t xml:space="preserve">. However, rates observed vary considerably, perhaps due to the time of year pink salmon are sampled, with some surveys observing rates of straying closer to 10% (Gende and Carter 2015). </w:t>
      </w:r>
    </w:p>
    <w:p w14:paraId="12F82D8C" w14:textId="77777777" w:rsidR="00670218" w:rsidRDefault="00670218" w:rsidP="00612D9D">
      <w:pPr>
        <w:pStyle w:val="ListParagraph"/>
        <w:spacing w:after="0" w:line="480" w:lineRule="auto"/>
        <w:ind w:left="360"/>
      </w:pPr>
    </w:p>
    <w:p w14:paraId="55F819D7" w14:textId="77777777" w:rsidR="00670218" w:rsidRDefault="00670218" w:rsidP="00612D9D">
      <w:pPr>
        <w:pStyle w:val="ListParagraph"/>
        <w:spacing w:after="0" w:line="480" w:lineRule="auto"/>
        <w:ind w:left="360"/>
        <w:rPr>
          <w:b/>
          <w:bCs/>
        </w:rPr>
      </w:pPr>
      <w:r>
        <w:rPr>
          <w:b/>
          <w:bCs/>
        </w:rPr>
        <w:t>Objectives</w:t>
      </w:r>
    </w:p>
    <w:p w14:paraId="2A043FF9" w14:textId="77777777" w:rsidR="00670218" w:rsidRDefault="00670218" w:rsidP="00612D9D">
      <w:pPr>
        <w:pStyle w:val="ListParagraph"/>
        <w:spacing w:after="0" w:line="480" w:lineRule="auto"/>
        <w:ind w:left="360"/>
      </w:pPr>
      <w:r>
        <w:t xml:space="preserve">My research seeks to assess whether the abundances of pink salmon observed in recent decades at Indian River exist within a natural range of variation relative to pink salmon streams elsewhere in the region. In addition, this research seeks to quantify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Pr="00D9784A" w:rsidRDefault="00670218" w:rsidP="00612D9D">
      <w:pPr>
        <w:pStyle w:val="ListParagraph"/>
        <w:spacing w:after="0" w:line="480" w:lineRule="auto"/>
        <w:ind w:left="360"/>
        <w:rPr>
          <w:b/>
          <w:bCs/>
          <w:u w:val="single"/>
        </w:rPr>
      </w:pPr>
      <w:r w:rsidRPr="00D9784A">
        <w:rPr>
          <w:b/>
          <w:bCs/>
          <w:u w:val="single"/>
        </w:rPr>
        <w:t>Methods</w:t>
      </w:r>
    </w:p>
    <w:p w14:paraId="31C0E635" w14:textId="21BE5208" w:rsidR="00670218" w:rsidRDefault="00670218" w:rsidP="00612D9D">
      <w:pPr>
        <w:pStyle w:val="ListParagraph"/>
        <w:spacing w:after="0" w:line="480" w:lineRule="auto"/>
        <w:ind w:left="360"/>
      </w:pPr>
      <w:r>
        <w:t xml:space="preserve">Data supporting this research </w:t>
      </w:r>
      <w:proofErr w:type="gramStart"/>
      <w:r>
        <w:t>are</w:t>
      </w:r>
      <w:proofErr w:type="gramEnd"/>
      <w:r>
        <w:t xml:space="preserve"> chiefly sourced from ADFG and NPS.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southern southeast, northern southeast (inside), and northern southeast (outside). The last group is composed of 35 streams</w:t>
      </w:r>
      <w:r w:rsidRPr="0013608A">
        <w:t xml:space="preserve"> </w:t>
      </w:r>
      <w:r>
        <w:t xml:space="preserve">in the vicinity 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to </w:t>
      </w:r>
      <w:r>
        <w:lastRenderedPageBreak/>
        <w:t xml:space="preserve">assess the accuracy of ADFG’s aerial survey efforts (A. Dupuis, ADFG, personal communication, August 19, 2024). </w:t>
      </w:r>
    </w:p>
    <w:p w14:paraId="1B42280F" w14:textId="77777777" w:rsidR="00670218" w:rsidRDefault="00670218" w:rsidP="00612D9D">
      <w:pPr>
        <w:pStyle w:val="ListParagraph"/>
        <w:spacing w:after="0" w:line="480" w:lineRule="auto"/>
        <w:ind w:left="360"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SJH also must provide ADFG with publicly available hatchery operation reports each year. These annual reports provide the number of pink salmon juveniles released, as well as estimates of the number of hatchery-raised </w:t>
      </w:r>
      <w:proofErr w:type="gramStart"/>
      <w:r>
        <w:t>adults salmon</w:t>
      </w:r>
      <w:proofErr w:type="gramEnd"/>
      <w:r>
        <w:t xml:space="preserve"> which survive the marine environment and return to the hatchery.</w:t>
      </w:r>
    </w:p>
    <w:p w14:paraId="3F14BB7C" w14:textId="77777777" w:rsidR="00670218" w:rsidRDefault="00670218" w:rsidP="00612D9D">
      <w:pPr>
        <w:pStyle w:val="ListParagraph"/>
        <w:spacing w:after="0" w:line="480" w:lineRule="auto"/>
        <w:ind w:left="360" w:firstLine="360"/>
      </w:pPr>
      <w:r>
        <w:t>This work also leverages data on rates of straying to Indian River from SJH, as well as rates of wild-origin fish returning to SJH as opposed to their stream of origin (presumably Indian River although it is not possible to determine where wild-origin fish originated). These data are generated through three distinct processes: sampling of cost-recovery fish caught by purse-seiners, sampling of fish recovered at SJH as broodstock, and through sam</w:t>
      </w:r>
      <w:r w:rsidRPr="007641C7">
        <w:rPr>
          <w:rFonts w:cstheme="minorHAnsi"/>
        </w:rPr>
        <w:t xml:space="preserve">pling of deceased fish at Indian River by NPS biologists. Stray rate data </w:t>
      </w:r>
      <w:r>
        <w:rPr>
          <w:rFonts w:cstheme="minorHAnsi"/>
        </w:rPr>
        <w:t xml:space="preserve">consist of </w:t>
      </w:r>
      <w:r w:rsidRPr="007641C7">
        <w:rPr>
          <w:rFonts w:cstheme="minorHAnsi"/>
          <w:color w:val="222222"/>
          <w:shd w:val="clear" w:color="auto" w:fill="FFFFFF"/>
        </w:rPr>
        <w:t xml:space="preserve">41 observations of stray rates </w:t>
      </w:r>
      <w:r>
        <w:rPr>
          <w:rFonts w:cstheme="minorHAnsi"/>
          <w:color w:val="222222"/>
          <w:shd w:val="clear" w:color="auto" w:fill="FFFFFF"/>
        </w:rPr>
        <w:t>(</w:t>
      </w:r>
      <w:r w:rsidRPr="007641C7">
        <w:rPr>
          <w:rFonts w:cstheme="minorHAnsi"/>
          <w:color w:val="222222"/>
          <w:shd w:val="clear" w:color="auto" w:fill="FFFFFF"/>
        </w:rPr>
        <w:t xml:space="preserve">both in the park and at the hatchery) </w:t>
      </w:r>
      <w:r>
        <w:rPr>
          <w:rFonts w:cstheme="minorHAnsi"/>
          <w:color w:val="222222"/>
          <w:shd w:val="clear" w:color="auto" w:fill="FFFFFF"/>
        </w:rPr>
        <w:t>from 2</w:t>
      </w:r>
      <w:r w:rsidRPr="007641C7">
        <w:rPr>
          <w:rFonts w:cstheme="minorHAnsi"/>
          <w:color w:val="222222"/>
          <w:shd w:val="clear" w:color="auto" w:fill="FFFFFF"/>
        </w:rPr>
        <w:t>011 onward at</w:t>
      </w:r>
      <w:r>
        <w:rPr>
          <w:rFonts w:cstheme="minorHAnsi"/>
          <w:color w:val="222222"/>
          <w:shd w:val="clear" w:color="auto" w:fill="FFFFFF"/>
        </w:rPr>
        <w:t xml:space="preserve"> different</w:t>
      </w:r>
      <w:r w:rsidRPr="007641C7">
        <w:rPr>
          <w:rFonts w:cstheme="minorHAnsi"/>
          <w:color w:val="222222"/>
          <w:shd w:val="clear" w:color="auto" w:fill="FFFFFF"/>
        </w:rPr>
        <w:t xml:space="preserve"> times throughout the season.</w:t>
      </w:r>
    </w:p>
    <w:p w14:paraId="41E95660" w14:textId="77777777" w:rsidR="00143CB9" w:rsidRDefault="00143CB9" w:rsidP="00612D9D">
      <w:pPr>
        <w:pStyle w:val="ListParagraph"/>
        <w:spacing w:after="0" w:line="480" w:lineRule="auto"/>
        <w:ind w:left="360"/>
        <w:rPr>
          <w:b/>
          <w:bCs/>
        </w:rPr>
      </w:pPr>
    </w:p>
    <w:p w14:paraId="79048D7D" w14:textId="6F12DE5C" w:rsidR="00670218" w:rsidRPr="00DE1FAA" w:rsidRDefault="00670218" w:rsidP="00612D9D">
      <w:pPr>
        <w:pStyle w:val="ListParagraph"/>
        <w:spacing w:after="0" w:line="480" w:lineRule="auto"/>
        <w:ind w:left="360"/>
        <w:rPr>
          <w:b/>
          <w:bCs/>
        </w:rPr>
      </w:pPr>
      <w:r>
        <w:rPr>
          <w:b/>
          <w:bCs/>
        </w:rPr>
        <w:t>MARSS Models</w:t>
      </w:r>
    </w:p>
    <w:p w14:paraId="3EB4F13E" w14:textId="77777777" w:rsidR="00670218" w:rsidRDefault="00670218" w:rsidP="00612D9D">
      <w:pPr>
        <w:pStyle w:val="ListParagraph"/>
        <w:spacing w:after="0" w:line="480" w:lineRule="auto"/>
        <w:ind w:left="360"/>
      </w:pPr>
      <w:r>
        <w:lastRenderedPageBreak/>
        <w:t xml:space="preserve">Multivariate autoregressive state-space (MARSS) models are well suited for parsing long running time series survey </w:t>
      </w:r>
      <w:proofErr w:type="gramStart"/>
      <w:r>
        <w:t>data, and</w:t>
      </w:r>
      <w:proofErr w:type="gramEnd"/>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likely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124577" w:rsidRDefault="00670218" w:rsidP="00612D9D">
      <w:pPr>
        <w:pStyle w:val="ListParagraph"/>
        <w:spacing w:after="0" w:line="480" w:lineRule="auto"/>
        <w:ind w:left="360" w:firstLine="360"/>
        <w:rPr>
          <w:rStyle w:val="mi"/>
          <w:rFonts w:cstheme="minorHAnsi"/>
          <w:bdr w:val="none" w:sz="0" w:space="0" w:color="auto" w:frame="1"/>
          <w:shd w:val="clear" w:color="auto" w:fill="FFFFFF"/>
        </w:rPr>
      </w:pPr>
      <w:r w:rsidRPr="00124577">
        <w:rPr>
          <w:rStyle w:val="mi"/>
          <w:rFonts w:cstheme="minorHAnsi"/>
          <w:bdr w:val="none" w:sz="0" w:space="0" w:color="auto" w:frame="1"/>
          <w:shd w:val="clear" w:color="auto" w:fill="FFFFFF"/>
        </w:rPr>
        <w:t xml:space="preserve">MARSS models are composed of a process (or state)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xml:space="preserve"> and an observation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7A20A5CA" w:rsidR="00670218" w:rsidRDefault="00670218" w:rsidP="00612D9D">
      <w:pPr>
        <w:pStyle w:val="ListParagraph"/>
        <w:spacing w:after="0" w:line="480" w:lineRule="auto"/>
        <w:ind w:left="360"/>
      </w:pPr>
      <w:r>
        <w:t xml:space="preserve">In the above, observed data </w:t>
      </w:r>
      <w:proofErr w:type="gramStart"/>
      <w:r>
        <w:t>in a given</w:t>
      </w:r>
      <w:proofErr w:type="gramEnd"/>
      <w:r>
        <w:t xml:space="preserve"> </w:t>
      </w:r>
      <w:proofErr w:type="gramStart"/>
      <w:r>
        <w:t>time period</w:t>
      </w:r>
      <w:proofErr w:type="gramEnd"/>
      <w: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r w:rsidRPr="003C5745">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w:t>
      </w:r>
      <w:r>
        <w:lastRenderedPageBreak/>
        <w:t xml:space="preserve">on whether </w:t>
      </w:r>
      <w:r w:rsidRPr="003C5745">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 is defined by </w:t>
      </w:r>
      <w:r w:rsidRPr="003C5745">
        <w:rPr>
          <w:rFonts w:ascii="MathJax_Math-italic" w:eastAsia="Times New Roman" w:hAnsi="MathJax_Math-italic" w:cs="Times New Roman"/>
          <w:b/>
          <w:bCs/>
          <w:kern w:val="0"/>
          <w:sz w:val="26"/>
          <w:szCs w:val="26"/>
          <w:bdr w:val="none" w:sz="0" w:space="0" w:color="auto" w:frame="1"/>
          <w14:ligatures w14:val="none"/>
        </w:rPr>
        <w:t>R</w:t>
      </w:r>
      <w:r w:rsidRPr="003C5745">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3C5745">
        <w:rPr>
          <w:rFonts w:ascii="MathJax_Main" w:eastAsia="Times New Roman" w:hAnsi="MathJax_Main" w:cs="Times New Roman"/>
          <w:kern w:val="0"/>
          <w:sz w:val="26"/>
          <w:szCs w:val="26"/>
          <w:bdr w:val="none" w:sz="0" w:space="0" w:color="auto" w:frame="1"/>
          <w14:ligatures w14:val="none"/>
        </w:rPr>
        <w:t xml:space="preserve"> </w:t>
      </w:r>
      <w:r>
        <w:t xml:space="preserve">and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w:t>
      </w:r>
      <w:proofErr w:type="gramStart"/>
      <w:r>
        <w:t>mean</w:t>
      </w:r>
      <w:proofErr w:type="gramEnd"/>
      <w:r>
        <w:t xml:space="preserve"> and how quickly the time series would return to the </w:t>
      </w:r>
      <w:proofErr w:type="gramStart"/>
      <w:r>
        <w:t>mean</w:t>
      </w:r>
      <w:proofErr w:type="gramEnd"/>
      <w:r>
        <w:t xml:space="preserve"> following some perturbation. Finally, the correlation of process error is defined by</w:t>
      </w:r>
      <w:r w:rsidRPr="003C5745">
        <w:rPr>
          <w:rFonts w:ascii="MathJax_Math-italic" w:eastAsia="Times New Roman" w:hAnsi="MathJax_Math-italic" w:cs="Times New Roman"/>
          <w:kern w:val="0"/>
          <w:sz w:val="26"/>
          <w:szCs w:val="26"/>
          <w:bdr w:val="none" w:sz="0" w:space="0" w:color="auto" w:frame="1"/>
          <w14:ligatures w14:val="none"/>
        </w:rPr>
        <w:t xml:space="preserve"> </w:t>
      </w:r>
      <w:r w:rsidRPr="003C5745">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3C5745">
        <w:rPr>
          <w:rFonts w:ascii="MathJax_Math-italic" w:eastAsia="Times New Roman" w:hAnsi="MathJax_Math-italic" w:cs="Times New Roman"/>
          <w:b/>
          <w:bCs/>
          <w:kern w:val="0"/>
          <w:sz w:val="26"/>
          <w:szCs w:val="26"/>
          <w:bdr w:val="none" w:sz="0" w:space="0" w:color="auto" w:frame="1"/>
          <w14:ligatures w14:val="none"/>
        </w:rPr>
        <w:t>c</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3C5745">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DE1FAA" w:rsidRDefault="00670218" w:rsidP="00612D9D">
      <w:pPr>
        <w:pStyle w:val="ListParagraph"/>
        <w:spacing w:after="0" w:line="480" w:lineRule="auto"/>
        <w:ind w:left="360"/>
        <w:rPr>
          <w:b/>
          <w:bCs/>
        </w:rPr>
      </w:pPr>
      <w:r>
        <w:rPr>
          <w:b/>
          <w:bCs/>
        </w:rPr>
        <w:t>Regional Abundance</w:t>
      </w:r>
    </w:p>
    <w:p w14:paraId="202321FB" w14:textId="77777777" w:rsidR="00670218" w:rsidRDefault="00670218" w:rsidP="00612D9D">
      <w:pPr>
        <w:pStyle w:val="ListParagraph"/>
        <w:spacing w:after="0" w:line="480" w:lineRule="auto"/>
        <w:ind w:left="360"/>
      </w:pPr>
      <w:r>
        <w:t>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north southeast (outside) index streams. These models include covariate controls for ocean climate and the observer of record for each time series observation (in north</w:t>
      </w:r>
      <w:r w:rsidRPr="007B271F">
        <w:t xml:space="preserve"> </w:t>
      </w:r>
      <w:r>
        <w:t xml:space="preserve">southeast (outside) index streams the observer was recorded in 77% of observations, with the rest being assigned an unknown observer). The specification of the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Thus far, the most parsimonious model as defined by AIC includes a 36x2 </w:t>
      </w:r>
      <w:r w:rsidRPr="006E4EB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w:t>
      </w:r>
      <w:r>
        <w:lastRenderedPageBreak/>
        <w:t>of a second state.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344E76">
        <w:rPr>
          <w:rFonts w:ascii="MathJax_Math-italic" w:eastAsia="Times New Roman" w:hAnsi="MathJax_Math-italic" w:cs="Times New Roman"/>
          <w:b/>
          <w:bCs/>
          <w:kern w:val="0"/>
          <w:sz w:val="26"/>
          <w:szCs w:val="26"/>
          <w:bdr w:val="none" w:sz="0" w:space="0" w:color="auto" w:frame="1"/>
          <w14:ligatures w14:val="none"/>
        </w:rPr>
        <w:t>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4426ED39" w14:textId="0D7C9E10" w:rsidR="00670218" w:rsidRDefault="00670218" w:rsidP="00612D9D">
      <w:pPr>
        <w:pStyle w:val="ListParagraph"/>
        <w:spacing w:after="0" w:line="480" w:lineRule="auto"/>
        <w:ind w:left="360"/>
      </w:pPr>
      <w:r>
        <w:t>The underlying state of Indian River pink salmon abundance seems to be higher than that of the surrounding region (Figure 3). This could indicate the impact of SJH pink salmon releases, but is far from conclusive in this regard, as there will always be above and below average runs even if habitat quality is roughly similar. Therefore, the next stage of this work will seek to isolate the effect hatchery operations have had on populations of pink salmon at Indian River.</w:t>
      </w:r>
    </w:p>
    <w:p w14:paraId="24677741" w14:textId="77777777" w:rsidR="00670218" w:rsidRDefault="00670218" w:rsidP="00612D9D">
      <w:pPr>
        <w:pStyle w:val="ListParagraph"/>
        <w:spacing w:after="0" w:line="480" w:lineRule="auto"/>
        <w:ind w:left="360"/>
      </w:pPr>
    </w:p>
    <w:p w14:paraId="3056C065" w14:textId="77777777" w:rsidR="00670218" w:rsidRPr="00DE1FAA" w:rsidRDefault="00670218" w:rsidP="00612D9D">
      <w:pPr>
        <w:pStyle w:val="ListParagraph"/>
        <w:spacing w:after="0" w:line="480" w:lineRule="auto"/>
        <w:ind w:left="360"/>
        <w:rPr>
          <w:b/>
          <w:bCs/>
        </w:rPr>
      </w:pPr>
      <w:r>
        <w:rPr>
          <w:b/>
          <w:bCs/>
        </w:rPr>
        <w:t>Effect of Hatchery Operations</w:t>
      </w:r>
    </w:p>
    <w:p w14:paraId="0B1FBCFC" w14:textId="77777777" w:rsidR="00670218" w:rsidRDefault="00670218" w:rsidP="00612D9D">
      <w:pPr>
        <w:pStyle w:val="ListParagraph"/>
        <w:spacing w:after="0" w:line="480" w:lineRule="auto"/>
        <w:ind w:left="360"/>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w:t>
      </w:r>
      <w:r>
        <w:lastRenderedPageBreak/>
        <w:t>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670E76FF" w14:textId="77777777" w:rsidR="00670218" w:rsidRDefault="00670218" w:rsidP="00612D9D">
      <w:pPr>
        <w:pStyle w:val="ListParagraph"/>
        <w:spacing w:after="0" w:line="480" w:lineRule="auto"/>
        <w:ind w:left="360" w:firstLine="36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6CAEED60" w14:textId="77777777" w:rsidR="00143CB9" w:rsidRDefault="00143CB9" w:rsidP="00612D9D">
      <w:pPr>
        <w:pStyle w:val="ListParagraph"/>
        <w:spacing w:after="0" w:line="480" w:lineRule="auto"/>
        <w:ind w:left="360"/>
      </w:pPr>
    </w:p>
    <w:p w14:paraId="5706F059" w14:textId="04E8A92E" w:rsidR="00670218" w:rsidRDefault="00670218" w:rsidP="00612D9D">
      <w:pPr>
        <w:pStyle w:val="ListParagraph"/>
        <w:spacing w:after="0" w:line="480" w:lineRule="auto"/>
        <w:ind w:left="360"/>
      </w:pPr>
      <w:r>
        <w:t xml:space="preserve">In the above, </w:t>
      </w:r>
      <w:proofErr w:type="spellStart"/>
      <w:r>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w:t>
      </w:r>
      <w:r>
        <w:lastRenderedPageBreak/>
        <w:t>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5D16AA19" w14:textId="77777777" w:rsidR="00670218" w:rsidRDefault="00670218" w:rsidP="00612D9D">
      <w:pPr>
        <w:pStyle w:val="ListParagraph"/>
        <w:spacing w:after="0" w:line="480" w:lineRule="auto"/>
        <w:ind w:left="360" w:firstLine="360"/>
      </w:pPr>
      <w:r>
        <w:t xml:space="preserve">Applying a DD framework to this research, observations of pink salmon abundances at Indian River are assigned to the treatment group while observations at neighboring ADFG index streams 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p>
    <w:p w14:paraId="498878BE" w14:textId="77777777" w:rsidR="00670218" w:rsidRDefault="00670218" w:rsidP="00612D9D">
      <w:pPr>
        <w:pStyle w:val="ListParagraph"/>
        <w:spacing w:after="0" w:line="480" w:lineRule="auto"/>
        <w:ind w:left="360"/>
      </w:pPr>
    </w:p>
    <w:p w14:paraId="138CEDF0" w14:textId="77777777" w:rsidR="00670218" w:rsidRPr="00DE1FAA" w:rsidRDefault="00670218" w:rsidP="00612D9D">
      <w:pPr>
        <w:pStyle w:val="ListParagraph"/>
        <w:spacing w:after="0" w:line="480" w:lineRule="auto"/>
        <w:ind w:left="360"/>
        <w:rPr>
          <w:b/>
          <w:bCs/>
        </w:rPr>
      </w:pPr>
      <w:r>
        <w:rPr>
          <w:b/>
          <w:bCs/>
        </w:rPr>
        <w:t>Effect of Hatchery Releases</w:t>
      </w:r>
    </w:p>
    <w:p w14:paraId="2090CCA8" w14:textId="77777777" w:rsidR="00670218" w:rsidRDefault="00670218" w:rsidP="00612D9D">
      <w:pPr>
        <w:pStyle w:val="ListParagraph"/>
        <w:spacing w:after="0" w:line="480" w:lineRule="auto"/>
        <w:ind w:left="360"/>
      </w:pPr>
      <w:r>
        <w:lastRenderedPageBreak/>
        <w:t xml:space="preserve">Next,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the model will estimate the effect of the number of fish returning to each system in time step </w:t>
      </w:r>
      <w:r>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times step </w:t>
      </w:r>
      <w:proofErr w:type="gramStart"/>
      <w:r>
        <w:rPr>
          <w:rFonts w:ascii="MathJax_Math-italic" w:eastAsia="Times New Roman" w:hAnsi="MathJax_Math-italic" w:cs="Times New Roman"/>
          <w:kern w:val="0"/>
          <w:sz w:val="26"/>
          <w:szCs w:val="26"/>
          <w:bdr w:val="none" w:sz="0" w:space="0" w:color="auto" w:frame="1"/>
          <w14:ligatures w14:val="none"/>
        </w:rPr>
        <w:t>t</w:t>
      </w:r>
      <w:r>
        <w:t>.</w:t>
      </w:r>
      <w:proofErr w:type="gramEnd"/>
      <w:r>
        <w:t xml:space="preserve"> It is important to note that, because escapement data are long transformed, the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 An example of such a model’s process equation written out in matrix form follows:</w:t>
      </w:r>
    </w:p>
    <w:p w14:paraId="6E0812E8" w14:textId="77777777" w:rsidR="00670218" w:rsidRDefault="00670218" w:rsidP="00612D9D">
      <w:pPr>
        <w:pStyle w:val="ListParagraph"/>
        <w:spacing w:after="0" w:line="480" w:lineRule="auto"/>
        <w:ind w:left="360"/>
      </w:pPr>
      <w:r>
        <w:rPr>
          <w:rFonts w:ascii="MathJax_Math-italic" w:eastAsia="Times New Roman" w:hAnsi="MathJax_Math-italic" w:cs="Times New Roman"/>
          <w:kern w:val="0"/>
          <w:sz w:val="26"/>
          <w:szCs w:val="26"/>
          <w:bdr w:val="none" w:sz="0" w:space="0" w:color="auto" w:frame="1"/>
          <w14:ligatures w14:val="none"/>
        </w:rPr>
        <w:t xml:space="preserve"> </w:t>
      </w:r>
    </w:p>
    <w:p w14:paraId="46CA523B" w14:textId="77777777" w:rsidR="00670218" w:rsidRDefault="00670218" w:rsidP="00612D9D">
      <w:pPr>
        <w:pStyle w:val="ListParagraph"/>
        <w:spacing w:after="0" w:line="480" w:lineRule="auto"/>
        <w:ind w:left="360"/>
        <w:jc w:val="center"/>
      </w:pPr>
      <w:r w:rsidRPr="008F21BB">
        <w:rPr>
          <w:noProof/>
        </w:rPr>
        <w:drawing>
          <wp:inline distT="0" distB="0" distL="0" distR="0" wp14:anchorId="758A741B" wp14:editId="5B952B4A">
            <wp:extent cx="2495678" cy="438173"/>
            <wp:effectExtent l="0" t="0" r="0" b="0"/>
            <wp:docPr id="2050713751"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13751" name="Picture 1" descr="A close up of a white background&#10;&#10;AI-generated content may be incorrect."/>
                    <pic:cNvPicPr/>
                  </pic:nvPicPr>
                  <pic:blipFill>
                    <a:blip r:embed="rId5"/>
                    <a:stretch>
                      <a:fillRect/>
                    </a:stretch>
                  </pic:blipFill>
                  <pic:spPr>
                    <a:xfrm>
                      <a:off x="0" y="0"/>
                      <a:ext cx="2495678" cy="438173"/>
                    </a:xfrm>
                    <a:prstGeom prst="rect">
                      <a:avLst/>
                    </a:prstGeom>
                  </pic:spPr>
                </pic:pic>
              </a:graphicData>
            </a:graphic>
          </wp:inline>
        </w:drawing>
      </w:r>
      <w:r w:rsidRPr="008F21BB">
        <w:t xml:space="preserve"> </w:t>
      </w:r>
    </w:p>
    <w:p w14:paraId="5AC17653" w14:textId="77777777" w:rsidR="00670218" w:rsidRDefault="00670218" w:rsidP="00612D9D">
      <w:pPr>
        <w:pStyle w:val="ListParagraph"/>
        <w:spacing w:after="0" w:line="480" w:lineRule="auto"/>
        <w:ind w:left="360"/>
      </w:pPr>
    </w:p>
    <w:p w14:paraId="4AE546A3" w14:textId="77777777" w:rsidR="00670218" w:rsidRDefault="00670218" w:rsidP="00612D9D">
      <w:pPr>
        <w:pStyle w:val="ListParagraph"/>
        <w:spacing w:after="0" w:line="480" w:lineRule="auto"/>
        <w:ind w:left="360"/>
      </w:pPr>
      <w:r>
        <w:t xml:space="preserve">Of particular interest are the terms </w:t>
      </w:r>
      <w:proofErr w:type="spellStart"/>
      <w:r w:rsidRPr="008F21BB">
        <w:rPr>
          <w:rFonts w:ascii="MathJax_Math-italic" w:eastAsia="Times New Roman" w:hAnsi="MathJax_Math-italic" w:cs="Times New Roman"/>
          <w:kern w:val="0"/>
          <w:sz w:val="26"/>
          <w:szCs w:val="26"/>
          <w:bdr w:val="none" w:sz="0" w:space="0" w:color="auto" w:frame="1"/>
          <w14:ligatures w14:val="none"/>
        </w:rPr>
        <w:t>b</w:t>
      </w:r>
      <w:r w:rsidRPr="008F21BB">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xml:space="preserve"> and </w:t>
      </w:r>
      <w:proofErr w:type="spellStart"/>
      <w:r w:rsidRPr="008F21BB">
        <w:rPr>
          <w:rFonts w:ascii="MathJax_Math-italic" w:eastAsia="Times New Roman" w:hAnsi="MathJax_Math-italic" w:cs="Times New Roman"/>
          <w:kern w:val="0"/>
          <w:sz w:val="26"/>
          <w:szCs w:val="26"/>
          <w:bdr w:val="none" w:sz="0" w:space="0" w:color="auto" w:frame="1"/>
          <w14:ligatures w14:val="none"/>
        </w:rPr>
        <w:t>b</w:t>
      </w:r>
      <w:r>
        <w:rPr>
          <w:rFonts w:ascii="MathJax_Math-italic" w:eastAsia="Times New Roman" w:hAnsi="MathJax_Math-italic" w:cs="Times New Roman"/>
          <w:kern w:val="0"/>
          <w:sz w:val="26"/>
          <w:szCs w:val="26"/>
          <w:bdr w:val="none" w:sz="0" w:space="0" w:color="auto" w:frame="1"/>
          <w:vertAlign w:val="subscript"/>
          <w14:ligatures w14:val="none"/>
        </w:rPr>
        <w:t>HR</w:t>
      </w:r>
      <w:proofErr w:type="spellEnd"/>
      <w:r>
        <w:t xml:space="preserve">, which describe the effects of fish returning to SJH in year </w:t>
      </w:r>
      <w:r>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Pr>
          <w:rFonts w:ascii="MathJax_Math-italic" w:eastAsia="Times New Roman" w:hAnsi="MathJax_Math-italic" w:cs="Times New Roman"/>
          <w:kern w:val="0"/>
          <w:sz w:val="26"/>
          <w:szCs w:val="26"/>
          <w:bdr w:val="none" w:sz="0" w:space="0" w:color="auto" w:frame="1"/>
          <w14:ligatures w14:val="none"/>
        </w:rPr>
        <w:t>t</w:t>
      </w:r>
      <w:r>
        <w:t xml:space="preserve">, and vice versa. An additional advantage of modeling the Indian River/SJH system directly is the ability </w:t>
      </w:r>
      <w:r>
        <w:lastRenderedPageBreak/>
        <w:t xml:space="preserve">to include additional control variable specific to the area (such as rainfall and temperature), in the effort to further isolate the effect of these systems on one another. </w:t>
      </w:r>
    </w:p>
    <w:p w14:paraId="7FCF4F38" w14:textId="77777777" w:rsidR="00670218" w:rsidRDefault="00670218" w:rsidP="00612D9D">
      <w:pPr>
        <w:spacing w:after="0" w:line="480" w:lineRule="auto"/>
      </w:pPr>
    </w:p>
    <w:p w14:paraId="4F1F1CCA" w14:textId="77777777" w:rsidR="00670218" w:rsidRPr="00D9784A" w:rsidRDefault="00670218" w:rsidP="00612D9D">
      <w:pPr>
        <w:pStyle w:val="ListParagraph"/>
        <w:spacing w:after="0" w:line="480" w:lineRule="auto"/>
        <w:ind w:left="360"/>
        <w:rPr>
          <w:b/>
          <w:bCs/>
          <w:u w:val="single"/>
        </w:rPr>
      </w:pPr>
      <w:bookmarkStart w:id="1" w:name="_Hlk201668133"/>
      <w:r w:rsidRPr="00D9784A">
        <w:rPr>
          <w:b/>
          <w:bCs/>
          <w:u w:val="single"/>
        </w:rPr>
        <w:t>Results</w:t>
      </w:r>
    </w:p>
    <w:p w14:paraId="77A05E8D" w14:textId="2004B8D1" w:rsidR="00670218" w:rsidRPr="0062154B" w:rsidRDefault="00670218" w:rsidP="00612D9D">
      <w:pPr>
        <w:pStyle w:val="ListParagraph"/>
        <w:spacing w:after="0" w:line="480" w:lineRule="auto"/>
        <w:ind w:left="360"/>
      </w:pPr>
      <w:r>
        <w:t xml:space="preserve">The numbers of pink salmon returning to Indian River are higher in most years than what might be expected for a stream of a given length in the north southeast (outside) sub-region (Figure 3). This does not necessarily mean that SJH is driving this behavior, and indeed, if all streams were modeled as representative of individual underlying states, there will likely be a range of behaviors distributed around some general trend. Estimating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Default="00670218" w:rsidP="00612D9D">
      <w:pPr>
        <w:pStyle w:val="ListParagraph"/>
        <w:spacing w:after="0" w:line="480" w:lineRule="auto"/>
        <w:ind w:left="360"/>
        <w:rPr>
          <w:b/>
          <w:bCs/>
        </w:rPr>
      </w:pPr>
    </w:p>
    <w:p w14:paraId="79B6696A" w14:textId="78F6E4BB" w:rsidR="00670218" w:rsidRPr="00D9784A" w:rsidRDefault="0093781E" w:rsidP="00612D9D">
      <w:pPr>
        <w:pStyle w:val="ListParagraph"/>
        <w:spacing w:after="0" w:line="480" w:lineRule="auto"/>
        <w:ind w:left="360"/>
        <w:rPr>
          <w:b/>
          <w:bCs/>
          <w:u w:val="single"/>
        </w:rPr>
      </w:pPr>
      <w:r w:rsidRPr="00D9784A">
        <w:rPr>
          <w:b/>
          <w:bCs/>
          <w:u w:val="single"/>
        </w:rPr>
        <w:t>Discussion</w:t>
      </w:r>
    </w:p>
    <w:p w14:paraId="4C8C71F7" w14:textId="6C1B0AED" w:rsidR="00BF04BF" w:rsidRDefault="00670218" w:rsidP="00612D9D">
      <w:pPr>
        <w:spacing w:after="0" w:line="480" w:lineRule="auto"/>
        <w:ind w:left="360"/>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w:t>
      </w:r>
      <w:r>
        <w:lastRenderedPageBreak/>
        <w:t xml:space="preserve">salmon at Indian River exist within a ‘natural range of variation’ requires context, and placing Indian River within this context will enable park officials to better understand their duties </w:t>
      </w:r>
      <w:proofErr w:type="gramStart"/>
      <w:r>
        <w:t>with regard to</w:t>
      </w:r>
      <w:proofErr w:type="gramEnd"/>
      <w:r>
        <w:t xml:space="preserve">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114A77"/>
    <w:rsid w:val="00143CB9"/>
    <w:rsid w:val="001E1CBF"/>
    <w:rsid w:val="001E29F4"/>
    <w:rsid w:val="003B4882"/>
    <w:rsid w:val="003C5745"/>
    <w:rsid w:val="00412816"/>
    <w:rsid w:val="005363D0"/>
    <w:rsid w:val="00612D9D"/>
    <w:rsid w:val="00614E66"/>
    <w:rsid w:val="00633AFA"/>
    <w:rsid w:val="00670218"/>
    <w:rsid w:val="00802542"/>
    <w:rsid w:val="008C0B8C"/>
    <w:rsid w:val="008C0E5E"/>
    <w:rsid w:val="0093781E"/>
    <w:rsid w:val="009D4DE7"/>
    <w:rsid w:val="00A93D33"/>
    <w:rsid w:val="00BF04BF"/>
    <w:rsid w:val="00D368CD"/>
    <w:rsid w:val="00D57B76"/>
    <w:rsid w:val="00D9784A"/>
    <w:rsid w:val="00E65279"/>
    <w:rsid w:val="00F67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TotalTime>
  <Pages>14</Pages>
  <Words>3616</Words>
  <Characters>19033</Characters>
  <Application>Microsoft Office Word</Application>
  <DocSecurity>0</DocSecurity>
  <Lines>290</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15</cp:revision>
  <dcterms:created xsi:type="dcterms:W3CDTF">2026-01-12T21:48:00Z</dcterms:created>
  <dcterms:modified xsi:type="dcterms:W3CDTF">2026-02-23T17:49:00Z</dcterms:modified>
</cp:coreProperties>
</file>